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0D735D" w14:paraId="7359B24F" w14:textId="77777777" w:rsidTr="0050008E">
        <w:trPr>
          <w:cantSplit/>
        </w:trPr>
        <w:tc>
          <w:tcPr>
            <w:tcW w:w="6911" w:type="dxa"/>
          </w:tcPr>
          <w:p w14:paraId="2127A284" w14:textId="77777777" w:rsidR="00BB1D82" w:rsidRPr="000D735D" w:rsidRDefault="00851625" w:rsidP="0001320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0D735D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0D735D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0D735D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0D735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0D735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89265D8" w14:textId="77777777" w:rsidR="00BB1D82" w:rsidRPr="000D735D" w:rsidRDefault="000A55AE" w:rsidP="00013209">
            <w:pPr>
              <w:spacing w:before="0"/>
              <w:jc w:val="right"/>
              <w:rPr>
                <w:lang w:val="fr-CH"/>
              </w:rPr>
            </w:pPr>
            <w:r w:rsidRPr="000D735D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1CE81048" wp14:editId="0DC55F9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0D735D" w14:paraId="60838D50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31A6C4C" w14:textId="77777777" w:rsidR="00BB1D82" w:rsidRPr="000D735D" w:rsidRDefault="00BB1D82" w:rsidP="00013209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7B97328" w14:textId="77777777" w:rsidR="00BB1D82" w:rsidRPr="000D735D" w:rsidRDefault="00BB1D82" w:rsidP="00013209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0D735D" w14:paraId="41B70F97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1D1105A" w14:textId="77777777" w:rsidR="00BB1D82" w:rsidRPr="000D735D" w:rsidRDefault="00BB1D82" w:rsidP="0001320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6D21D0" w14:textId="77777777" w:rsidR="00BB1D82" w:rsidRPr="000D735D" w:rsidRDefault="00BB1D82" w:rsidP="00013209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0D735D" w14:paraId="2BFCE34D" w14:textId="77777777" w:rsidTr="00BB1D82">
        <w:trPr>
          <w:cantSplit/>
        </w:trPr>
        <w:tc>
          <w:tcPr>
            <w:tcW w:w="6911" w:type="dxa"/>
          </w:tcPr>
          <w:p w14:paraId="26DDE455" w14:textId="77777777" w:rsidR="00BB1D82" w:rsidRPr="000D735D" w:rsidRDefault="006D4724" w:rsidP="0001320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0D735D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298D4781" w14:textId="77777777" w:rsidR="00BB1D82" w:rsidRPr="000D735D" w:rsidRDefault="006D4724" w:rsidP="00013209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0D735D">
              <w:rPr>
                <w:rFonts w:ascii="Verdana" w:hAnsi="Verdana"/>
                <w:b/>
                <w:sz w:val="20"/>
                <w:lang w:val="fr-CH"/>
              </w:rPr>
              <w:t>Addendum 10 au</w:t>
            </w:r>
            <w:r w:rsidRPr="000D735D">
              <w:rPr>
                <w:rFonts w:ascii="Verdana" w:hAnsi="Verdana"/>
                <w:b/>
                <w:sz w:val="20"/>
                <w:lang w:val="fr-CH"/>
              </w:rPr>
              <w:br/>
              <w:t>Document 16(Add.13)</w:t>
            </w:r>
            <w:r w:rsidR="00BB1D82" w:rsidRPr="000D735D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0D735D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0D735D" w14:paraId="3A6D0F7D" w14:textId="77777777" w:rsidTr="00BB1D82">
        <w:trPr>
          <w:cantSplit/>
        </w:trPr>
        <w:tc>
          <w:tcPr>
            <w:tcW w:w="6911" w:type="dxa"/>
          </w:tcPr>
          <w:p w14:paraId="1FA8C6BC" w14:textId="77777777" w:rsidR="00690C7B" w:rsidRPr="000D735D" w:rsidRDefault="00690C7B" w:rsidP="0001320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28DCD1E5" w14:textId="77777777" w:rsidR="00690C7B" w:rsidRPr="000D735D" w:rsidRDefault="00690C7B" w:rsidP="0001320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0D735D">
              <w:rPr>
                <w:rFonts w:ascii="Verdana" w:hAnsi="Verdana"/>
                <w:b/>
                <w:sz w:val="20"/>
                <w:lang w:val="fr-CH"/>
              </w:rPr>
              <w:t>4 octobre 2019</w:t>
            </w:r>
          </w:p>
        </w:tc>
      </w:tr>
      <w:tr w:rsidR="00690C7B" w:rsidRPr="000D735D" w14:paraId="6BB13CA4" w14:textId="77777777" w:rsidTr="00BB1D82">
        <w:trPr>
          <w:cantSplit/>
        </w:trPr>
        <w:tc>
          <w:tcPr>
            <w:tcW w:w="6911" w:type="dxa"/>
          </w:tcPr>
          <w:p w14:paraId="04F80B53" w14:textId="77777777" w:rsidR="00690C7B" w:rsidRPr="000D735D" w:rsidRDefault="00690C7B" w:rsidP="0001320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3AD72B9F" w14:textId="77777777" w:rsidR="00690C7B" w:rsidRPr="000D735D" w:rsidRDefault="00690C7B" w:rsidP="0001320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0D735D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0D735D" w14:paraId="31E74927" w14:textId="77777777" w:rsidTr="00C11970">
        <w:trPr>
          <w:cantSplit/>
        </w:trPr>
        <w:tc>
          <w:tcPr>
            <w:tcW w:w="10031" w:type="dxa"/>
            <w:gridSpan w:val="2"/>
          </w:tcPr>
          <w:p w14:paraId="09703D2B" w14:textId="77777777" w:rsidR="00690C7B" w:rsidRPr="000D735D" w:rsidRDefault="00690C7B" w:rsidP="0001320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0D735D" w14:paraId="1C9906B9" w14:textId="77777777" w:rsidTr="0050008E">
        <w:trPr>
          <w:cantSplit/>
        </w:trPr>
        <w:tc>
          <w:tcPr>
            <w:tcW w:w="10031" w:type="dxa"/>
            <w:gridSpan w:val="2"/>
          </w:tcPr>
          <w:p w14:paraId="10EE2F4B" w14:textId="77777777" w:rsidR="00690C7B" w:rsidRPr="000D735D" w:rsidRDefault="00690C7B" w:rsidP="00013209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0D735D">
              <w:rPr>
                <w:lang w:val="fr-CH"/>
              </w:rPr>
              <w:t>Propositions européennes communes</w:t>
            </w:r>
          </w:p>
        </w:tc>
      </w:tr>
      <w:tr w:rsidR="00690C7B" w:rsidRPr="000D735D" w14:paraId="60BF99C1" w14:textId="77777777" w:rsidTr="0050008E">
        <w:trPr>
          <w:cantSplit/>
        </w:trPr>
        <w:tc>
          <w:tcPr>
            <w:tcW w:w="10031" w:type="dxa"/>
            <w:gridSpan w:val="2"/>
          </w:tcPr>
          <w:p w14:paraId="35A39CB5" w14:textId="77777777" w:rsidR="00690C7B" w:rsidRPr="000D735D" w:rsidRDefault="00690C7B" w:rsidP="00013209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0D735D">
              <w:rPr>
                <w:lang w:val="fr-CH"/>
              </w:rPr>
              <w:t>Propositions pour les travaux de la conférence</w:t>
            </w:r>
          </w:p>
        </w:tc>
      </w:tr>
      <w:tr w:rsidR="00690C7B" w:rsidRPr="000D735D" w14:paraId="3E816E7E" w14:textId="77777777" w:rsidTr="0050008E">
        <w:trPr>
          <w:cantSplit/>
        </w:trPr>
        <w:tc>
          <w:tcPr>
            <w:tcW w:w="10031" w:type="dxa"/>
            <w:gridSpan w:val="2"/>
          </w:tcPr>
          <w:p w14:paraId="317A5E53" w14:textId="77777777" w:rsidR="00690C7B" w:rsidRPr="000D735D" w:rsidRDefault="00690C7B" w:rsidP="00013209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:rsidRPr="000D735D" w14:paraId="6025BB7D" w14:textId="77777777" w:rsidTr="0050008E">
        <w:trPr>
          <w:cantSplit/>
        </w:trPr>
        <w:tc>
          <w:tcPr>
            <w:tcW w:w="10031" w:type="dxa"/>
            <w:gridSpan w:val="2"/>
          </w:tcPr>
          <w:p w14:paraId="0678B789" w14:textId="77777777" w:rsidR="00690C7B" w:rsidRPr="000D735D" w:rsidRDefault="00690C7B" w:rsidP="00013209">
            <w:pPr>
              <w:pStyle w:val="Agendaitem"/>
            </w:pPr>
            <w:bookmarkStart w:id="4" w:name="dtitle3" w:colFirst="0" w:colLast="0"/>
            <w:bookmarkEnd w:id="3"/>
            <w:r w:rsidRPr="000D735D">
              <w:t>Point 1.13 de l'ordre du jour</w:t>
            </w:r>
          </w:p>
        </w:tc>
      </w:tr>
    </w:tbl>
    <w:bookmarkEnd w:id="4"/>
    <w:p w14:paraId="22969782" w14:textId="43EE8002" w:rsidR="001C0E40" w:rsidRPr="000D735D" w:rsidRDefault="00F530A6" w:rsidP="00013209">
      <w:pPr>
        <w:rPr>
          <w:lang w:val="fr-CH"/>
        </w:rPr>
      </w:pPr>
      <w:r w:rsidRPr="000D735D">
        <w:rPr>
          <w:lang w:val="fr-CH"/>
        </w:rPr>
        <w:t>1.13</w:t>
      </w:r>
      <w:r w:rsidRPr="000D735D">
        <w:rPr>
          <w:lang w:val="fr-CH"/>
        </w:rPr>
        <w:tab/>
        <w:t xml:space="preserve">envisager l'identification de bandes de fréquences pour le développement futur des Télécommunications mobiles internationales (IMT), y compris des attributions additionnelles possibles à titre primaire au service mobile, conformément à la Résolution </w:t>
      </w:r>
      <w:r w:rsidRPr="000D735D">
        <w:rPr>
          <w:b/>
          <w:bCs/>
          <w:lang w:val="fr-CH"/>
        </w:rPr>
        <w:t>238 (CMR-15)</w:t>
      </w:r>
      <w:r w:rsidR="00FB2B4C" w:rsidRPr="000D735D">
        <w:rPr>
          <w:lang w:val="fr-CH"/>
        </w:rPr>
        <w:t>.</w:t>
      </w:r>
    </w:p>
    <w:p w14:paraId="69B1ABA2" w14:textId="786AA32A" w:rsidR="0034540D" w:rsidRPr="000D735D" w:rsidRDefault="0034540D" w:rsidP="00FB2B4C">
      <w:pPr>
        <w:pStyle w:val="Title4"/>
        <w:rPr>
          <w:lang w:val="fr-CH"/>
        </w:rPr>
      </w:pPr>
      <w:r w:rsidRPr="000D735D">
        <w:rPr>
          <w:lang w:val="fr-CH"/>
        </w:rPr>
        <w:t>Part</w:t>
      </w:r>
      <w:r w:rsidR="00EC15BA" w:rsidRPr="000D735D">
        <w:rPr>
          <w:lang w:val="fr-CH"/>
        </w:rPr>
        <w:t>ie</w:t>
      </w:r>
      <w:r w:rsidRPr="000D735D">
        <w:rPr>
          <w:lang w:val="fr-CH"/>
        </w:rPr>
        <w:t xml:space="preserve"> 10 – </w:t>
      </w:r>
      <w:r w:rsidR="00EC15BA" w:rsidRPr="000D735D">
        <w:rPr>
          <w:lang w:val="fr-CH"/>
        </w:rPr>
        <w:t>Bande de fréquences</w:t>
      </w:r>
      <w:r w:rsidRPr="000D735D">
        <w:rPr>
          <w:lang w:val="fr-CH"/>
        </w:rPr>
        <w:t xml:space="preserve"> 81</w:t>
      </w:r>
      <w:r w:rsidR="00013209" w:rsidRPr="000D735D">
        <w:rPr>
          <w:lang w:val="fr-CH"/>
        </w:rPr>
        <w:noBreakHyphen/>
      </w:r>
      <w:r w:rsidRPr="000D735D">
        <w:rPr>
          <w:lang w:val="fr-CH"/>
        </w:rPr>
        <w:t>86</w:t>
      </w:r>
      <w:r w:rsidR="00013209" w:rsidRPr="000D735D">
        <w:rPr>
          <w:lang w:val="fr-CH"/>
        </w:rPr>
        <w:t> </w:t>
      </w:r>
      <w:r w:rsidRPr="000D735D">
        <w:rPr>
          <w:lang w:val="fr-CH"/>
        </w:rPr>
        <w:t>GHz</w:t>
      </w:r>
    </w:p>
    <w:p w14:paraId="6012550B" w14:textId="77777777" w:rsidR="0034540D" w:rsidRPr="000D735D" w:rsidRDefault="0034540D" w:rsidP="00013209">
      <w:pPr>
        <w:pStyle w:val="Headingb"/>
        <w:rPr>
          <w:lang w:val="fr-CH"/>
        </w:rPr>
      </w:pPr>
      <w:r w:rsidRPr="000D735D">
        <w:rPr>
          <w:lang w:val="fr-CH"/>
        </w:rPr>
        <w:t>Introduction</w:t>
      </w:r>
    </w:p>
    <w:p w14:paraId="3A55761E" w14:textId="2F48597F" w:rsidR="0034540D" w:rsidRPr="000D735D" w:rsidRDefault="00EC15BA" w:rsidP="00013209">
      <w:pPr>
        <w:rPr>
          <w:lang w:val="fr-CH"/>
        </w:rPr>
      </w:pPr>
      <w:r w:rsidRPr="000D735D">
        <w:rPr>
          <w:lang w:val="fr-CH"/>
        </w:rPr>
        <w:t>On trouvera dans le présent Addendum la proposition européenne commune concernant la bande de fréquences</w:t>
      </w:r>
      <w:r w:rsidR="0034540D" w:rsidRPr="000D735D">
        <w:rPr>
          <w:lang w:val="fr-CH"/>
        </w:rPr>
        <w:t xml:space="preserve"> 81</w:t>
      </w:r>
      <w:r w:rsidR="00013209" w:rsidRPr="000D735D">
        <w:rPr>
          <w:lang w:val="fr-CH"/>
        </w:rPr>
        <w:noBreakHyphen/>
      </w:r>
      <w:r w:rsidR="0034540D" w:rsidRPr="000D735D">
        <w:rPr>
          <w:lang w:val="fr-CH"/>
        </w:rPr>
        <w:t>86</w:t>
      </w:r>
      <w:r w:rsidR="00013209" w:rsidRPr="000D735D">
        <w:rPr>
          <w:lang w:val="fr-CH"/>
        </w:rPr>
        <w:t> </w:t>
      </w:r>
      <w:r w:rsidR="0034540D" w:rsidRPr="000D735D">
        <w:rPr>
          <w:lang w:val="fr-CH"/>
        </w:rPr>
        <w:t xml:space="preserve">GHz </w:t>
      </w:r>
      <w:r w:rsidRPr="000D735D">
        <w:rPr>
          <w:lang w:val="fr-CH"/>
        </w:rPr>
        <w:t>au titre du point</w:t>
      </w:r>
      <w:r w:rsidR="0034540D" w:rsidRPr="000D735D">
        <w:rPr>
          <w:lang w:val="fr-CH"/>
        </w:rPr>
        <w:t xml:space="preserve"> 1.13</w:t>
      </w:r>
      <w:r w:rsidRPr="000D735D">
        <w:rPr>
          <w:lang w:val="fr-CH"/>
        </w:rPr>
        <w:t xml:space="preserve"> de l'ordre du jour de la CMR</w:t>
      </w:r>
      <w:r w:rsidR="00013209" w:rsidRPr="000D735D">
        <w:rPr>
          <w:lang w:val="fr-CH"/>
        </w:rPr>
        <w:noBreakHyphen/>
      </w:r>
      <w:r w:rsidRPr="000D735D">
        <w:rPr>
          <w:lang w:val="fr-CH"/>
        </w:rPr>
        <w:t>19</w:t>
      </w:r>
      <w:r w:rsidR="0034540D" w:rsidRPr="000D735D">
        <w:rPr>
          <w:lang w:val="fr-CH"/>
        </w:rPr>
        <w:t>.</w:t>
      </w:r>
    </w:p>
    <w:p w14:paraId="063F1BB0" w14:textId="2B5DB79B" w:rsidR="003A583E" w:rsidRPr="000D735D" w:rsidRDefault="00EC15BA" w:rsidP="00013209">
      <w:pPr>
        <w:pStyle w:val="Headingb"/>
        <w:rPr>
          <w:lang w:val="fr-CH"/>
        </w:rPr>
      </w:pPr>
      <w:r w:rsidRPr="000D735D">
        <w:rPr>
          <w:lang w:val="fr-CH"/>
        </w:rPr>
        <w:t>Proposition</w:t>
      </w:r>
    </w:p>
    <w:p w14:paraId="3E15F106" w14:textId="77777777" w:rsidR="0015203F" w:rsidRPr="000D735D" w:rsidRDefault="0015203F" w:rsidP="0001320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0D735D">
        <w:rPr>
          <w:lang w:val="fr-CH"/>
        </w:rPr>
        <w:br w:type="page"/>
      </w:r>
    </w:p>
    <w:p w14:paraId="6ACC54F5" w14:textId="77777777" w:rsidR="007F3F42" w:rsidRPr="000D735D" w:rsidRDefault="00F530A6" w:rsidP="00013209">
      <w:pPr>
        <w:pStyle w:val="ArtNo"/>
        <w:spacing w:before="0"/>
        <w:rPr>
          <w:lang w:val="fr-CH"/>
        </w:rPr>
      </w:pPr>
      <w:bookmarkStart w:id="5" w:name="_Toc455752914"/>
      <w:bookmarkStart w:id="6" w:name="_Toc455756153"/>
      <w:r w:rsidRPr="000D735D">
        <w:rPr>
          <w:lang w:val="fr-CH"/>
        </w:rPr>
        <w:lastRenderedPageBreak/>
        <w:t xml:space="preserve">ARTICLE </w:t>
      </w:r>
      <w:r w:rsidRPr="000D735D">
        <w:rPr>
          <w:rStyle w:val="href"/>
          <w:color w:val="000000"/>
          <w:lang w:val="fr-CH"/>
        </w:rPr>
        <w:t>5</w:t>
      </w:r>
      <w:bookmarkEnd w:id="5"/>
      <w:bookmarkEnd w:id="6"/>
    </w:p>
    <w:p w14:paraId="3BE43CC8" w14:textId="77777777" w:rsidR="007F3F42" w:rsidRPr="000D735D" w:rsidRDefault="00F530A6" w:rsidP="00013209">
      <w:pPr>
        <w:pStyle w:val="Arttitle"/>
        <w:rPr>
          <w:lang w:val="fr-CH"/>
        </w:rPr>
      </w:pPr>
      <w:bookmarkStart w:id="7" w:name="_Toc455752915"/>
      <w:bookmarkStart w:id="8" w:name="_Toc455756154"/>
      <w:r w:rsidRPr="000D735D">
        <w:rPr>
          <w:lang w:val="fr-CH"/>
        </w:rPr>
        <w:t>Attribution des bandes de fréquences</w:t>
      </w:r>
      <w:bookmarkEnd w:id="7"/>
      <w:bookmarkEnd w:id="8"/>
    </w:p>
    <w:p w14:paraId="3DFC8F36" w14:textId="77777777" w:rsidR="00D73104" w:rsidRPr="000D735D" w:rsidRDefault="00F530A6" w:rsidP="00013209">
      <w:pPr>
        <w:pStyle w:val="Section1"/>
        <w:keepNext/>
        <w:rPr>
          <w:b w:val="0"/>
          <w:color w:val="000000"/>
          <w:lang w:val="fr-CH"/>
        </w:rPr>
      </w:pPr>
      <w:r w:rsidRPr="000D735D">
        <w:rPr>
          <w:lang w:val="fr-CH"/>
        </w:rPr>
        <w:t>Section IV – Tableau d'attribution des bandes de fréquences</w:t>
      </w:r>
      <w:r w:rsidRPr="000D735D">
        <w:rPr>
          <w:lang w:val="fr-CH"/>
        </w:rPr>
        <w:br/>
      </w:r>
      <w:r w:rsidRPr="000D735D">
        <w:rPr>
          <w:b w:val="0"/>
          <w:bCs/>
          <w:lang w:val="fr-CH"/>
        </w:rPr>
        <w:t xml:space="preserve">(Voir le numéro </w:t>
      </w:r>
      <w:r w:rsidRPr="000D735D">
        <w:rPr>
          <w:lang w:val="fr-CH"/>
        </w:rPr>
        <w:t>2.1</w:t>
      </w:r>
      <w:r w:rsidRPr="000D735D">
        <w:rPr>
          <w:b w:val="0"/>
          <w:bCs/>
          <w:lang w:val="fr-CH"/>
        </w:rPr>
        <w:t>)</w:t>
      </w:r>
      <w:r w:rsidRPr="000D735D">
        <w:rPr>
          <w:b w:val="0"/>
          <w:color w:val="000000"/>
          <w:lang w:val="fr-CH"/>
        </w:rPr>
        <w:br/>
      </w:r>
    </w:p>
    <w:p w14:paraId="1D0EDA32" w14:textId="77777777" w:rsidR="000164D2" w:rsidRPr="000D735D" w:rsidRDefault="00F530A6" w:rsidP="00013209">
      <w:pPr>
        <w:pStyle w:val="Proposal"/>
        <w:rPr>
          <w:lang w:val="fr-CH"/>
        </w:rPr>
      </w:pPr>
      <w:r w:rsidRPr="000D735D">
        <w:rPr>
          <w:u w:val="single"/>
          <w:lang w:val="fr-CH"/>
        </w:rPr>
        <w:t>NOC</w:t>
      </w:r>
      <w:r w:rsidRPr="000D735D">
        <w:rPr>
          <w:lang w:val="fr-CH"/>
        </w:rPr>
        <w:tab/>
        <w:t>EUR/16A13A10/1</w:t>
      </w:r>
    </w:p>
    <w:p w14:paraId="5DD55FE4" w14:textId="1F6AE5DC" w:rsidR="00EB19FF" w:rsidRPr="000D735D" w:rsidRDefault="00F530A6" w:rsidP="00013209">
      <w:pPr>
        <w:pStyle w:val="Tabletitle"/>
        <w:spacing w:before="120"/>
        <w:rPr>
          <w:color w:val="000000"/>
          <w:lang w:val="fr-CH"/>
        </w:rPr>
      </w:pPr>
      <w:r w:rsidRPr="000D735D">
        <w:rPr>
          <w:color w:val="000000"/>
          <w:lang w:val="fr-CH"/>
        </w:rPr>
        <w:t>81-86</w:t>
      </w:r>
      <w:r w:rsidR="0034540D" w:rsidRPr="000D735D">
        <w:rPr>
          <w:color w:val="000000"/>
          <w:lang w:val="fr-CH"/>
        </w:rPr>
        <w:t> </w:t>
      </w:r>
      <w:r w:rsidRPr="000D735D">
        <w:rPr>
          <w:color w:val="000000"/>
          <w:lang w:val="fr-CH"/>
        </w:rPr>
        <w:t>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:rsidRPr="000D735D" w14:paraId="0E8B2E1C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CA2B7" w14:textId="77777777" w:rsidR="007F3F42" w:rsidRPr="000D735D" w:rsidRDefault="00F530A6" w:rsidP="00013209">
            <w:pPr>
              <w:pStyle w:val="Tablehead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>Attribution aux services</w:t>
            </w:r>
          </w:p>
        </w:tc>
      </w:tr>
      <w:tr w:rsidR="007F3F42" w:rsidRPr="000D735D" w14:paraId="20C57B8A" w14:textId="77777777" w:rsidTr="00381B50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3AB" w14:textId="77777777" w:rsidR="007F3F42" w:rsidRPr="000D735D" w:rsidRDefault="00F530A6" w:rsidP="00013209">
            <w:pPr>
              <w:pStyle w:val="Tablehead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9323" w14:textId="77777777" w:rsidR="007F3F42" w:rsidRPr="000D735D" w:rsidRDefault="00F530A6" w:rsidP="00013209">
            <w:pPr>
              <w:pStyle w:val="Tablehead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9283" w14:textId="77777777" w:rsidR="007F3F42" w:rsidRPr="000D735D" w:rsidRDefault="00F530A6" w:rsidP="00013209">
            <w:pPr>
              <w:pStyle w:val="Tablehead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>Région 3</w:t>
            </w:r>
          </w:p>
        </w:tc>
      </w:tr>
      <w:tr w:rsidR="007F3F42" w:rsidRPr="000D735D" w14:paraId="5830014A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12FB4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rStyle w:val="Tablefreq"/>
                <w:lang w:val="fr-CH"/>
              </w:rPr>
              <w:t>81-84</w:t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 xml:space="preserve">FIXE </w:t>
            </w:r>
            <w:r w:rsidRPr="000D735D">
              <w:rPr>
                <w:rStyle w:val="Artref"/>
                <w:lang w:val="fr-CH"/>
              </w:rPr>
              <w:t>5.338A</w:t>
            </w:r>
          </w:p>
          <w:p w14:paraId="3B2FECAD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FIXE PAR SATELLITE (Terre vers espa</w:t>
            </w:r>
            <w:bookmarkStart w:id="9" w:name="_GoBack"/>
            <w:bookmarkEnd w:id="9"/>
            <w:r w:rsidRPr="000D735D">
              <w:rPr>
                <w:color w:val="000000"/>
                <w:lang w:val="fr-CH"/>
              </w:rPr>
              <w:t>ce)</w:t>
            </w:r>
          </w:p>
          <w:p w14:paraId="38976BFC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MOBILE</w:t>
            </w:r>
          </w:p>
          <w:p w14:paraId="241672CC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MOBILE PAR SATELLITE (Terre vers espace)</w:t>
            </w:r>
          </w:p>
          <w:p w14:paraId="0C3EC432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RADIOASTRONOMIE</w:t>
            </w:r>
          </w:p>
          <w:p w14:paraId="5EF95B99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 xml:space="preserve">Recherche spatiale (espace vers Terre) </w:t>
            </w:r>
          </w:p>
          <w:p w14:paraId="1F3BE795" w14:textId="77777777" w:rsidR="007F3F42" w:rsidRPr="000D735D" w:rsidRDefault="00F530A6" w:rsidP="00013209">
            <w:pPr>
              <w:pStyle w:val="TableTextS5"/>
              <w:rPr>
                <w:rStyle w:val="Artref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rStyle w:val="Artref"/>
                <w:lang w:val="fr-CH"/>
              </w:rPr>
              <w:t>5.149  5.561A</w:t>
            </w:r>
          </w:p>
        </w:tc>
      </w:tr>
      <w:tr w:rsidR="007F3F42" w:rsidRPr="000D735D" w14:paraId="0809C7A9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CA2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rStyle w:val="Tablefreq"/>
                <w:lang w:val="fr-CH"/>
              </w:rPr>
              <w:t>84-86</w:t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 xml:space="preserve">FIXE </w:t>
            </w:r>
            <w:r w:rsidRPr="000D735D">
              <w:rPr>
                <w:rStyle w:val="Artref"/>
                <w:lang w:val="fr-CH"/>
              </w:rPr>
              <w:t>5.338A</w:t>
            </w:r>
          </w:p>
          <w:p w14:paraId="70248A24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 xml:space="preserve">FIXE PAR SATELLITE (Terre vers espace)  </w:t>
            </w:r>
            <w:r w:rsidRPr="000D735D">
              <w:rPr>
                <w:rStyle w:val="Artref"/>
                <w:lang w:val="fr-CH"/>
              </w:rPr>
              <w:t>5.561B</w:t>
            </w:r>
          </w:p>
          <w:p w14:paraId="44D4785F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MOBILE</w:t>
            </w:r>
          </w:p>
          <w:p w14:paraId="261AA091" w14:textId="77777777" w:rsidR="007F3F42" w:rsidRPr="000D735D" w:rsidRDefault="00F530A6" w:rsidP="00013209">
            <w:pPr>
              <w:pStyle w:val="TableTextS5"/>
              <w:rPr>
                <w:color w:val="000000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  <w:t>RADIOASTRONOMIE</w:t>
            </w:r>
          </w:p>
          <w:p w14:paraId="668E9C29" w14:textId="77777777" w:rsidR="007F3F42" w:rsidRPr="000D735D" w:rsidRDefault="00F530A6" w:rsidP="00013209">
            <w:pPr>
              <w:pStyle w:val="TableTextS5"/>
              <w:rPr>
                <w:rStyle w:val="Artref"/>
                <w:lang w:val="fr-CH"/>
              </w:rPr>
            </w:pP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color w:val="000000"/>
                <w:lang w:val="fr-CH"/>
              </w:rPr>
              <w:tab/>
            </w:r>
            <w:r w:rsidRPr="000D735D">
              <w:rPr>
                <w:rStyle w:val="Artref"/>
                <w:lang w:val="fr-CH"/>
              </w:rPr>
              <w:t>5.149</w:t>
            </w:r>
          </w:p>
        </w:tc>
      </w:tr>
    </w:tbl>
    <w:p w14:paraId="38F4D06F" w14:textId="127D6EA5" w:rsidR="00D15915" w:rsidRPr="000D735D" w:rsidRDefault="00F530A6" w:rsidP="00013209">
      <w:pPr>
        <w:pStyle w:val="Reasons"/>
        <w:rPr>
          <w:lang w:val="fr-CH"/>
        </w:rPr>
      </w:pPr>
      <w:r w:rsidRPr="000D735D">
        <w:rPr>
          <w:b/>
          <w:lang w:val="fr-CH"/>
        </w:rPr>
        <w:t>Motifs:</w:t>
      </w:r>
      <w:r w:rsidRPr="000D735D">
        <w:rPr>
          <w:lang w:val="fr-CH"/>
        </w:rPr>
        <w:tab/>
      </w:r>
      <w:r w:rsidR="00D15915" w:rsidRPr="000D735D">
        <w:rPr>
          <w:lang w:val="fr-CH"/>
        </w:rPr>
        <w:t>La bande de fréquences 81</w:t>
      </w:r>
      <w:r w:rsidR="00013209" w:rsidRPr="000D735D">
        <w:rPr>
          <w:lang w:val="fr-CH"/>
        </w:rPr>
        <w:noBreakHyphen/>
      </w:r>
      <w:r w:rsidR="00D15915" w:rsidRPr="000D735D">
        <w:rPr>
          <w:lang w:val="fr-CH"/>
        </w:rPr>
        <w:t>86</w:t>
      </w:r>
      <w:r w:rsidR="00013209" w:rsidRPr="000D735D">
        <w:rPr>
          <w:lang w:val="fr-CH"/>
        </w:rPr>
        <w:t> </w:t>
      </w:r>
      <w:r w:rsidR="00D15915" w:rsidRPr="000D735D">
        <w:rPr>
          <w:lang w:val="fr-CH"/>
        </w:rPr>
        <w:t>GHz, appariée à la bande 71</w:t>
      </w:r>
      <w:r w:rsidR="00013209" w:rsidRPr="000D735D">
        <w:rPr>
          <w:lang w:val="fr-CH"/>
        </w:rPr>
        <w:noBreakHyphen/>
      </w:r>
      <w:r w:rsidR="00D15915" w:rsidRPr="000D735D">
        <w:rPr>
          <w:lang w:val="fr-CH"/>
        </w:rPr>
        <w:t>76</w:t>
      </w:r>
      <w:r w:rsidR="00013209" w:rsidRPr="000D735D">
        <w:rPr>
          <w:lang w:val="fr-CH"/>
        </w:rPr>
        <w:t> </w:t>
      </w:r>
      <w:r w:rsidR="00D15915" w:rsidRPr="000D735D">
        <w:rPr>
          <w:lang w:val="fr-CH"/>
        </w:rPr>
        <w:t xml:space="preserve">GHz, est </w:t>
      </w:r>
      <w:r w:rsidR="00EA3D68" w:rsidRPr="000D735D">
        <w:rPr>
          <w:lang w:val="fr-CH"/>
        </w:rPr>
        <w:t xml:space="preserve">utilisée pour les </w:t>
      </w:r>
      <w:r w:rsidR="00D15915" w:rsidRPr="000D735D">
        <w:rPr>
          <w:lang w:val="fr-CH"/>
        </w:rPr>
        <w:t xml:space="preserve">liaisons fixes et elle est importante pour les liaisons de raccordement 5G. Par voie de conséquence, l'utilisation des liaisons fixes devrait augmenter dans le futur. </w:t>
      </w:r>
      <w:r w:rsidR="000413E6" w:rsidRPr="000D735D">
        <w:rPr>
          <w:lang w:val="fr-CH"/>
        </w:rPr>
        <w:t xml:space="preserve">Les études ont montré que le niveau actuel des rayonnements non désirés des IMT-2020 ne suffirait pas pour assurer la protection des capteurs </w:t>
      </w:r>
      <w:r w:rsidR="00DB179F" w:rsidRPr="000D735D">
        <w:rPr>
          <w:lang w:val="fr-CH"/>
        </w:rPr>
        <w:t>du SETS (passive) dans la bande de fréquences 86</w:t>
      </w:r>
      <w:r w:rsidR="00013209" w:rsidRPr="000D735D">
        <w:rPr>
          <w:lang w:val="fr-CH"/>
        </w:rPr>
        <w:noBreakHyphen/>
      </w:r>
      <w:r w:rsidR="00DB179F" w:rsidRPr="000D735D">
        <w:rPr>
          <w:lang w:val="fr-CH"/>
        </w:rPr>
        <w:t>92</w:t>
      </w:r>
      <w:r w:rsidR="00013209" w:rsidRPr="000D735D">
        <w:rPr>
          <w:lang w:val="fr-CH"/>
        </w:rPr>
        <w:t> </w:t>
      </w:r>
      <w:r w:rsidR="00DB179F" w:rsidRPr="000D735D">
        <w:rPr>
          <w:lang w:val="fr-CH"/>
        </w:rPr>
        <w:t xml:space="preserve">GHz </w:t>
      </w:r>
      <w:r w:rsidR="00D1050A" w:rsidRPr="000D735D">
        <w:rPr>
          <w:lang w:val="fr-CH"/>
        </w:rPr>
        <w:t xml:space="preserve">et que </w:t>
      </w:r>
      <w:r w:rsidR="008E71FB" w:rsidRPr="000D735D">
        <w:rPr>
          <w:lang w:val="fr-CH"/>
        </w:rPr>
        <w:t xml:space="preserve">seule une réduction des rayonnements des IMT-2020 dans cette bande pourrait garantir </w:t>
      </w:r>
      <w:r w:rsidR="00EA3D68" w:rsidRPr="000D735D">
        <w:rPr>
          <w:lang w:val="fr-CH"/>
        </w:rPr>
        <w:t xml:space="preserve">une telle </w:t>
      </w:r>
      <w:r w:rsidR="008E71FB" w:rsidRPr="000D735D">
        <w:rPr>
          <w:lang w:val="fr-CH"/>
        </w:rPr>
        <w:t>protection. Certaines études ont également montré qu'il serait nécessaire de limiter les rayonnements non désirés, tant des stations de base (BS) que des équipements d'utilisateur (UE) IMT-2020, afin d'assurer la protection des radars automobiles fonctionnant dans la bande de fréquences 76</w:t>
      </w:r>
      <w:r w:rsidR="00013209" w:rsidRPr="000D735D">
        <w:rPr>
          <w:lang w:val="fr-CH"/>
        </w:rPr>
        <w:noBreakHyphen/>
      </w:r>
      <w:r w:rsidR="008E71FB" w:rsidRPr="000D735D">
        <w:rPr>
          <w:lang w:val="fr-CH"/>
        </w:rPr>
        <w:t>81</w:t>
      </w:r>
      <w:r w:rsidR="00013209" w:rsidRPr="000D735D">
        <w:rPr>
          <w:lang w:val="fr-CH"/>
        </w:rPr>
        <w:t> </w:t>
      </w:r>
      <w:r w:rsidR="008E71FB" w:rsidRPr="000D735D">
        <w:rPr>
          <w:lang w:val="fr-CH"/>
        </w:rPr>
        <w:t>GHz. Du fait de ces contraintes, la bande de fréquences 81</w:t>
      </w:r>
      <w:r w:rsidR="00013209" w:rsidRPr="000D735D">
        <w:rPr>
          <w:lang w:val="fr-CH"/>
        </w:rPr>
        <w:noBreakHyphen/>
      </w:r>
      <w:r w:rsidR="008E71FB" w:rsidRPr="000D735D">
        <w:rPr>
          <w:lang w:val="fr-CH"/>
        </w:rPr>
        <w:t>86</w:t>
      </w:r>
      <w:r w:rsidR="00013209" w:rsidRPr="000D735D">
        <w:rPr>
          <w:lang w:val="fr-CH"/>
        </w:rPr>
        <w:t> </w:t>
      </w:r>
      <w:r w:rsidR="008E71FB" w:rsidRPr="000D735D">
        <w:rPr>
          <w:lang w:val="fr-CH"/>
        </w:rPr>
        <w:t>GHz ne convient pas pour les IMT.</w:t>
      </w:r>
    </w:p>
    <w:p w14:paraId="7A3D4E0C" w14:textId="6D070786" w:rsidR="000164D2" w:rsidRPr="000D735D" w:rsidRDefault="0034540D" w:rsidP="00013209">
      <w:pPr>
        <w:jc w:val="center"/>
        <w:rPr>
          <w:lang w:val="fr-CH"/>
        </w:rPr>
      </w:pPr>
      <w:r w:rsidRPr="000D735D">
        <w:rPr>
          <w:lang w:val="fr-CH"/>
        </w:rPr>
        <w:t>______________</w:t>
      </w:r>
    </w:p>
    <w:sectPr w:rsidR="000164D2" w:rsidRPr="000D735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4202" w14:textId="77777777" w:rsidR="0070076C" w:rsidRDefault="0070076C">
      <w:r>
        <w:separator/>
      </w:r>
    </w:p>
  </w:endnote>
  <w:endnote w:type="continuationSeparator" w:id="0">
    <w:p w14:paraId="065706FE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6697" w14:textId="0CEC9F5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25CC2">
      <w:rPr>
        <w:noProof/>
        <w:lang w:val="en-US"/>
      </w:rPr>
      <w:t>P:\FRA\ITU-R\CONF-R\CMR19\000\016ADD13ADD10F.docx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5CC2">
      <w:rPr>
        <w:noProof/>
      </w:rPr>
      <w:t>22.10.19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5CC2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AD43" w14:textId="41F90562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25CC2">
      <w:rPr>
        <w:lang w:val="en-US"/>
      </w:rPr>
      <w:t>P:\FRA\ITU-R\CONF-R\CMR19\000\016ADD13ADD10F.docx</w:t>
    </w:r>
    <w:r>
      <w:fldChar w:fldCharType="end"/>
    </w:r>
    <w:r w:rsidR="00F530A6">
      <w:t xml:space="preserve"> (461999)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C667" w14:textId="67ED1247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25CC2">
      <w:rPr>
        <w:lang w:val="en-US"/>
      </w:rPr>
      <w:t>P:\FRA\ITU-R\CONF-R\CMR19\000\016ADD13ADD10F.docx</w:t>
    </w:r>
    <w:r>
      <w:fldChar w:fldCharType="end"/>
    </w:r>
    <w:r w:rsidR="00F530A6">
      <w:t xml:space="preserve"> (461999)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060D4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CAEC68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9CA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23D9D">
      <w:rPr>
        <w:noProof/>
      </w:rPr>
      <w:t>2</w:t>
    </w:r>
    <w:r>
      <w:fldChar w:fldCharType="end"/>
    </w:r>
  </w:p>
  <w:p w14:paraId="5E58EE1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16(Add.13)(Add.10)-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3209"/>
    <w:rsid w:val="000164D2"/>
    <w:rsid w:val="00016648"/>
    <w:rsid w:val="0003522F"/>
    <w:rsid w:val="000413E6"/>
    <w:rsid w:val="00063A1F"/>
    <w:rsid w:val="0007426D"/>
    <w:rsid w:val="00080E2C"/>
    <w:rsid w:val="00081366"/>
    <w:rsid w:val="000863B3"/>
    <w:rsid w:val="000A4755"/>
    <w:rsid w:val="000A55AE"/>
    <w:rsid w:val="000B2E0C"/>
    <w:rsid w:val="000B3D0C"/>
    <w:rsid w:val="000D735D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540D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40DC3"/>
    <w:rsid w:val="00466211"/>
    <w:rsid w:val="00467B26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96A24"/>
    <w:rsid w:val="005A7C75"/>
    <w:rsid w:val="005C3768"/>
    <w:rsid w:val="005C6C3F"/>
    <w:rsid w:val="00613635"/>
    <w:rsid w:val="0062093D"/>
    <w:rsid w:val="00637ECF"/>
    <w:rsid w:val="00647B59"/>
    <w:rsid w:val="00661C83"/>
    <w:rsid w:val="00690C7B"/>
    <w:rsid w:val="006A4B45"/>
    <w:rsid w:val="006D4724"/>
    <w:rsid w:val="006F5FA2"/>
    <w:rsid w:val="0070076C"/>
    <w:rsid w:val="00701BAE"/>
    <w:rsid w:val="00721F04"/>
    <w:rsid w:val="00725CC2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8E71FB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23D9D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050A"/>
    <w:rsid w:val="00D119A7"/>
    <w:rsid w:val="00D15915"/>
    <w:rsid w:val="00D25FBA"/>
    <w:rsid w:val="00D32B28"/>
    <w:rsid w:val="00D42954"/>
    <w:rsid w:val="00D66EAC"/>
    <w:rsid w:val="00D730DF"/>
    <w:rsid w:val="00D772F0"/>
    <w:rsid w:val="00D77BDC"/>
    <w:rsid w:val="00DB179F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D68"/>
    <w:rsid w:val="00EA3F38"/>
    <w:rsid w:val="00EA5AB6"/>
    <w:rsid w:val="00EC15BA"/>
    <w:rsid w:val="00EC7615"/>
    <w:rsid w:val="00ED16AA"/>
    <w:rsid w:val="00ED6B8D"/>
    <w:rsid w:val="00EE3D7B"/>
    <w:rsid w:val="00EF662E"/>
    <w:rsid w:val="00F10064"/>
    <w:rsid w:val="00F148F1"/>
    <w:rsid w:val="00F530A6"/>
    <w:rsid w:val="00F711A7"/>
    <w:rsid w:val="00FA3BBF"/>
    <w:rsid w:val="00FB2B4C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FA94A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R16-WRC19-C-0016!A13-A10!MSW-F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7D94FA-C7D8-4A04-B33D-41D202DB1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978C9-14D3-465D-B512-B8C7B4A38BD2}">
  <ds:schemaRefs>
    <ds:schemaRef ds:uri="32a1a8c5-2265-4ebc-b7a0-2071e2c5c9bb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5B022B-3A69-4347-96D0-ADB129A29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1918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R16-WRC19-C-0016!A13-A10!MSW-F</vt:lpstr>
    </vt:vector>
  </TitlesOfParts>
  <Manager>Secrétariat général - Pool</Manager>
  <Company>Union internationale des télécommunications (UIT)</Company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R16-WRC19-C-0016!A13-A10!MSW-F</dc:title>
  <dc:subject>Conférence mondiale des radiocommunications - 2019</dc:subject>
  <dc:creator>Documents Proposals Manager (DPM)</dc:creator>
  <cp:keywords>DPM_v2019.10.15.2_prod</cp:keywords>
  <dc:description/>
  <cp:lastModifiedBy>French</cp:lastModifiedBy>
  <cp:revision>8</cp:revision>
  <cp:lastPrinted>2019-10-22T13:47:00Z</cp:lastPrinted>
  <dcterms:created xsi:type="dcterms:W3CDTF">2019-10-22T10:46:00Z</dcterms:created>
  <dcterms:modified xsi:type="dcterms:W3CDTF">2019-10-22T13:49:00Z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