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14:paraId="59256BC5" w14:textId="77777777" w:rsidTr="00F55E63">
        <w:trPr>
          <w:cantSplit/>
          <w:trHeight w:val="20"/>
        </w:trPr>
        <w:tc>
          <w:tcPr>
            <w:tcW w:w="6619" w:type="dxa"/>
          </w:tcPr>
          <w:p w14:paraId="0BBC2D51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</w:t>
            </w:r>
            <w:r w:rsidRPr="00275969">
              <w:rPr>
                <w:rFonts w:ascii="Verdana Bold" w:hAnsi="Verdana Bold"/>
                <w:sz w:val="27"/>
                <w:szCs w:val="40"/>
              </w:rPr>
              <w:t>19</w:t>
            </w:r>
            <w:r w:rsidRPr="00F545E4">
              <w:rPr>
                <w:rFonts w:ascii="Verdana Bold" w:hAnsi="Verdana Bold"/>
                <w:sz w:val="27"/>
                <w:szCs w:val="40"/>
              </w:rPr>
              <w:t>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275969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275969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275969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4D232A95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4EA58AD6" wp14:editId="3FCC21AA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0418A018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0BA45603" w14:textId="77777777" w:rsidR="00280E04" w:rsidRPr="00960962" w:rsidRDefault="00280E04" w:rsidP="00EA135F">
            <w:pPr>
              <w:spacing w:line="240" w:lineRule="exact"/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3A8464B7" w14:textId="77777777" w:rsidR="00280E04" w:rsidRPr="00A9645C" w:rsidRDefault="00280E04" w:rsidP="00EA135F">
            <w:pPr>
              <w:spacing w:line="240" w:lineRule="exact"/>
              <w:rPr>
                <w:lang w:bidi="ar-EG"/>
              </w:rPr>
            </w:pPr>
          </w:p>
        </w:tc>
      </w:tr>
      <w:tr w:rsidR="00280E04" w14:paraId="2AC26ED1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3FC26381" w14:textId="77777777" w:rsidR="00280E04" w:rsidRPr="00BD6EF3" w:rsidRDefault="00280E04" w:rsidP="00EA135F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1F701AD7" w14:textId="77777777" w:rsidR="00280E04" w:rsidRPr="00BD6EF3" w:rsidRDefault="00280E04" w:rsidP="00EA135F">
            <w:pPr>
              <w:pStyle w:val="Adress"/>
              <w:framePr w:hSpace="0" w:wrap="auto" w:xAlign="left" w:yAlign="inline"/>
              <w:spacing w:before="0" w:after="20"/>
            </w:pPr>
          </w:p>
        </w:tc>
      </w:tr>
      <w:tr w:rsidR="00A809E8" w:rsidRPr="00F545E4" w14:paraId="19748627" w14:textId="77777777" w:rsidTr="00F55E63">
        <w:trPr>
          <w:cantSplit/>
        </w:trPr>
        <w:tc>
          <w:tcPr>
            <w:tcW w:w="6619" w:type="dxa"/>
          </w:tcPr>
          <w:p w14:paraId="0022110F" w14:textId="77777777" w:rsidR="00A809E8" w:rsidRPr="00F545E4" w:rsidRDefault="00F55E63" w:rsidP="00EA135F">
            <w:pPr>
              <w:pStyle w:val="Committee"/>
              <w:framePr w:hSpace="0" w:wrap="auto" w:hAnchor="text" w:yAlign="inline"/>
              <w:bidi/>
              <w:spacing w:before="0" w:after="20"/>
              <w:rPr>
                <w:rFonts w:ascii="Verdana Bold" w:hAnsi="Verdana Bold"/>
                <w:sz w:val="19"/>
                <w:szCs w:val="30"/>
                <w:rtl/>
                <w:lang w:bidi="ar-EG"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35F52AB7" w14:textId="60EDE502" w:rsidR="00A809E8" w:rsidRPr="00275969" w:rsidRDefault="00A42DF6" w:rsidP="00EA135F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 w:rsidRPr="00275969">
              <w:rPr>
                <w:rFonts w:hint="cs"/>
                <w:rtl/>
              </w:rPr>
              <w:t xml:space="preserve">الإضافة </w:t>
            </w:r>
            <w:r w:rsidR="007C7603" w:rsidRPr="00275969">
              <w:t>10</w:t>
            </w:r>
            <w:r w:rsidR="007C7603" w:rsidRPr="00275969">
              <w:br/>
            </w:r>
            <w:r w:rsidRPr="00275969">
              <w:rPr>
                <w:rFonts w:hint="cs"/>
                <w:rtl/>
              </w:rPr>
              <w:t xml:space="preserve">للوثيقة </w:t>
            </w:r>
            <w:r w:rsidR="007C7603" w:rsidRPr="00275969">
              <w:rPr>
                <w:rFonts w:eastAsia="SimSun"/>
              </w:rPr>
              <w:t>16(Add.</w:t>
            </w:r>
            <w:proofErr w:type="gramStart"/>
            <w:r w:rsidR="007C7603" w:rsidRPr="00275969">
              <w:rPr>
                <w:rFonts w:eastAsia="SimSun"/>
              </w:rPr>
              <w:t>13)-</w:t>
            </w:r>
            <w:proofErr w:type="gramEnd"/>
            <w:r w:rsidR="007C7603" w:rsidRPr="00275969">
              <w:rPr>
                <w:rFonts w:eastAsia="SimSun"/>
              </w:rPr>
              <w:t>A</w:t>
            </w:r>
          </w:p>
        </w:tc>
      </w:tr>
      <w:tr w:rsidR="00A809E8" w:rsidRPr="00F545E4" w14:paraId="68B44A54" w14:textId="77777777" w:rsidTr="00F55E63">
        <w:trPr>
          <w:cantSplit/>
        </w:trPr>
        <w:tc>
          <w:tcPr>
            <w:tcW w:w="6619" w:type="dxa"/>
          </w:tcPr>
          <w:p w14:paraId="264B3599" w14:textId="77777777" w:rsidR="00A809E8" w:rsidRPr="00F545E4" w:rsidRDefault="00A809E8" w:rsidP="00EA135F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2E540799" w14:textId="77777777" w:rsidR="00A809E8" w:rsidRPr="00275969" w:rsidRDefault="00F55E63" w:rsidP="00EA135F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 w:rsidRPr="00275969">
              <w:rPr>
                <w:rFonts w:eastAsia="SimSun"/>
              </w:rPr>
              <w:t>4</w:t>
            </w:r>
            <w:r w:rsidRPr="00275969">
              <w:rPr>
                <w:rFonts w:eastAsia="SimSun"/>
                <w:rtl/>
              </w:rPr>
              <w:t xml:space="preserve"> أكتوبر </w:t>
            </w:r>
            <w:r w:rsidRPr="00275969">
              <w:rPr>
                <w:rFonts w:eastAsia="SimSun"/>
              </w:rPr>
              <w:t>2019</w:t>
            </w:r>
          </w:p>
        </w:tc>
      </w:tr>
      <w:tr w:rsidR="00A809E8" w:rsidRPr="00F545E4" w14:paraId="5CE961CF" w14:textId="77777777" w:rsidTr="00F55E63">
        <w:trPr>
          <w:cantSplit/>
        </w:trPr>
        <w:tc>
          <w:tcPr>
            <w:tcW w:w="6619" w:type="dxa"/>
          </w:tcPr>
          <w:p w14:paraId="679458DF" w14:textId="77777777" w:rsidR="00A809E8" w:rsidRPr="00F545E4" w:rsidRDefault="00A809E8" w:rsidP="00EA135F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4122537B" w14:textId="77777777" w:rsidR="00A809E8" w:rsidRPr="00275969" w:rsidRDefault="00F55E63" w:rsidP="00EA135F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  <w:r w:rsidRPr="00275969">
              <w:rPr>
                <w:rtl/>
              </w:rPr>
              <w:t>الأصل: بالإنكليزية</w:t>
            </w:r>
          </w:p>
        </w:tc>
      </w:tr>
      <w:tr w:rsidR="00764079" w14:paraId="1F175919" w14:textId="77777777" w:rsidTr="00F55E63">
        <w:trPr>
          <w:cantSplit/>
        </w:trPr>
        <w:tc>
          <w:tcPr>
            <w:tcW w:w="9672" w:type="dxa"/>
            <w:gridSpan w:val="2"/>
          </w:tcPr>
          <w:p w14:paraId="005A3106" w14:textId="77777777" w:rsidR="00764079" w:rsidRPr="00275969" w:rsidRDefault="00764079" w:rsidP="00EA135F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</w:tr>
      <w:tr w:rsidR="00764079" w14:paraId="6D8D5EF4" w14:textId="77777777" w:rsidTr="00F55E63">
        <w:trPr>
          <w:cantSplit/>
        </w:trPr>
        <w:tc>
          <w:tcPr>
            <w:tcW w:w="9672" w:type="dxa"/>
            <w:gridSpan w:val="2"/>
          </w:tcPr>
          <w:p w14:paraId="5DC1C41C" w14:textId="77777777" w:rsidR="00764079" w:rsidRPr="00E621A3" w:rsidRDefault="00F55E63" w:rsidP="00F55E63">
            <w:pPr>
              <w:pStyle w:val="Source"/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5AD3DB26" w14:textId="77777777" w:rsidTr="00F55E63">
        <w:trPr>
          <w:cantSplit/>
        </w:trPr>
        <w:tc>
          <w:tcPr>
            <w:tcW w:w="9672" w:type="dxa"/>
            <w:gridSpan w:val="2"/>
          </w:tcPr>
          <w:p w14:paraId="6380AF59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4F08A36F" w14:textId="77777777" w:rsidTr="00F55E63">
        <w:trPr>
          <w:cantSplit/>
        </w:trPr>
        <w:tc>
          <w:tcPr>
            <w:tcW w:w="9672" w:type="dxa"/>
            <w:gridSpan w:val="2"/>
          </w:tcPr>
          <w:p w14:paraId="0C8B1747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5F4A8FB2" w14:textId="77777777" w:rsidTr="00F55E63">
        <w:trPr>
          <w:cantSplit/>
        </w:trPr>
        <w:tc>
          <w:tcPr>
            <w:tcW w:w="9672" w:type="dxa"/>
            <w:gridSpan w:val="2"/>
          </w:tcPr>
          <w:p w14:paraId="1972AC59" w14:textId="4F99A407" w:rsidR="00764079" w:rsidRPr="0012545F" w:rsidRDefault="00DB4CC9" w:rsidP="00346237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346237">
              <w:rPr>
                <w:rFonts w:hint="cs"/>
                <w:rtl/>
                <w:lang w:val="en-US"/>
              </w:rPr>
              <w:t xml:space="preserve"> </w:t>
            </w:r>
            <w:r w:rsidR="00346237" w:rsidRPr="00275969">
              <w:rPr>
                <w:lang w:val="en-US"/>
              </w:rPr>
              <w:t>13</w:t>
            </w:r>
            <w:r w:rsidR="00346237">
              <w:rPr>
                <w:lang w:val="en-US"/>
              </w:rPr>
              <w:t>.</w:t>
            </w:r>
            <w:r w:rsidR="00346237" w:rsidRPr="00275969">
              <w:rPr>
                <w:lang w:val="en-US"/>
              </w:rPr>
              <w:t>1</w:t>
            </w:r>
          </w:p>
        </w:tc>
      </w:tr>
    </w:tbl>
    <w:p w14:paraId="4A7796CD" w14:textId="2E41AAFB" w:rsidR="001D597A" w:rsidRDefault="00346237" w:rsidP="008213CF">
      <w:pPr>
        <w:rPr>
          <w:rFonts w:eastAsia="SimSun"/>
          <w:rtl/>
          <w:lang w:eastAsia="zh-CN"/>
        </w:rPr>
      </w:pPr>
      <w:r w:rsidRPr="00275969">
        <w:rPr>
          <w:rFonts w:eastAsia="SimSun"/>
          <w:lang w:eastAsia="zh-CN" w:bidi="ar-SY"/>
        </w:rPr>
        <w:t>13</w:t>
      </w:r>
      <w:r w:rsidRPr="00723691">
        <w:rPr>
          <w:rFonts w:eastAsia="SimSun"/>
          <w:lang w:eastAsia="zh-CN" w:bidi="ar-SY"/>
        </w:rPr>
        <w:t>.</w:t>
      </w:r>
      <w:r w:rsidRPr="00275969">
        <w:rPr>
          <w:rFonts w:eastAsia="SimSun"/>
          <w:lang w:eastAsia="zh-CN" w:bidi="ar-SY"/>
        </w:rPr>
        <w:t>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>النظر في </w:t>
      </w:r>
      <w:r w:rsidRPr="00723691">
        <w:rPr>
          <w:rFonts w:eastAsia="SimSun" w:hint="cs"/>
          <w:rtl/>
          <w:lang w:eastAsia="zh-CN"/>
        </w:rPr>
        <w:t>تحديد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نطاقات</w:t>
      </w:r>
      <w:r w:rsidRPr="00723691">
        <w:rPr>
          <w:rFonts w:eastAsia="SimSun"/>
          <w:rtl/>
          <w:lang w:eastAsia="zh-CN"/>
        </w:rPr>
        <w:t xml:space="preserve"> تردد</w:t>
      </w:r>
      <w:r w:rsidRPr="00723691">
        <w:rPr>
          <w:rFonts w:eastAsia="SimSun" w:hint="cs"/>
          <w:rtl/>
          <w:lang w:eastAsia="zh-CN"/>
        </w:rPr>
        <w:t xml:space="preserve"> من أجل التطوير المستقبلي للاتصالات المتنقلة الدولية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(IMT)</w:t>
      </w:r>
      <w:r w:rsidRPr="00723691">
        <w:rPr>
          <w:rFonts w:eastAsia="SimSun" w:hint="cs"/>
          <w:rtl/>
          <w:lang w:eastAsia="zh-CN"/>
        </w:rPr>
        <w:t>،</w:t>
      </w:r>
      <w:r w:rsidRPr="00723691">
        <w:rPr>
          <w:rFonts w:eastAsia="SimSun"/>
          <w:rtl/>
          <w:lang w:eastAsia="zh-CN"/>
        </w:rPr>
        <w:t xml:space="preserve"> بما في ذلك</w:t>
      </w:r>
      <w:r w:rsidRPr="00723691">
        <w:rPr>
          <w:rFonts w:eastAsia="SimSun" w:hint="cs"/>
          <w:rtl/>
          <w:lang w:eastAsia="zh-CN"/>
        </w:rPr>
        <w:t xml:space="preserve"> إمكانية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توزيع</w:t>
      </w:r>
      <w:r w:rsidRPr="00723691">
        <w:rPr>
          <w:rFonts w:eastAsia="SimSun"/>
          <w:rtl/>
          <w:lang w:eastAsia="zh-CN"/>
        </w:rPr>
        <w:t xml:space="preserve"> ترددات إضافية للخدمة المتنقلة</w:t>
      </w:r>
      <w:r w:rsidRPr="00723691">
        <w:rPr>
          <w:rFonts w:eastAsia="SimSun" w:hint="cs"/>
          <w:rtl/>
          <w:lang w:eastAsia="zh-CN"/>
        </w:rPr>
        <w:t xml:space="preserve"> على أساس أولي</w:t>
      </w:r>
      <w:r w:rsidRPr="00723691">
        <w:rPr>
          <w:rFonts w:eastAsia="SimSun"/>
          <w:rtl/>
          <w:lang w:eastAsia="zh-CN"/>
        </w:rPr>
        <w:t xml:space="preserve">، وفقاً </w:t>
      </w:r>
      <w:r w:rsidRPr="002E6F3B">
        <w:rPr>
          <w:rFonts w:eastAsia="SimSun"/>
          <w:rtl/>
          <w:lang w:eastAsia="zh-CN"/>
        </w:rPr>
        <w:t>للقرار</w:t>
      </w:r>
      <w:r w:rsidRPr="002E6F3B">
        <w:rPr>
          <w:rFonts w:eastAsia="SimSun" w:hint="cs"/>
          <w:rtl/>
          <w:lang w:eastAsia="zh-CN"/>
        </w:rPr>
        <w:t> </w:t>
      </w:r>
      <w:r w:rsidRPr="00275969">
        <w:rPr>
          <w:rFonts w:eastAsia="SimSun"/>
          <w:b/>
          <w:bCs/>
          <w:lang w:eastAsia="zh-CN" w:bidi="ar-SY"/>
        </w:rPr>
        <w:t>238</w:t>
      </w:r>
      <w:r w:rsidRPr="002E6F3B">
        <w:rPr>
          <w:rFonts w:eastAsia="SimSun"/>
          <w:b/>
          <w:bCs/>
          <w:lang w:eastAsia="zh-CN" w:bidi="ar-SY"/>
        </w:rPr>
        <w:t> (WRC</w:t>
      </w:r>
      <w:r w:rsidRPr="002E6F3B">
        <w:rPr>
          <w:rFonts w:eastAsia="SimSun"/>
          <w:b/>
          <w:bCs/>
          <w:lang w:eastAsia="zh-CN" w:bidi="ar-SY"/>
        </w:rPr>
        <w:noBreakHyphen/>
      </w:r>
      <w:r w:rsidRPr="00275969">
        <w:rPr>
          <w:rFonts w:eastAsia="SimSun"/>
          <w:b/>
          <w:bCs/>
          <w:lang w:eastAsia="zh-CN" w:bidi="ar-SY"/>
        </w:rPr>
        <w:t>15</w:t>
      </w:r>
      <w:r w:rsidRPr="002E6F3B">
        <w:rPr>
          <w:rFonts w:eastAsia="SimSun"/>
          <w:b/>
          <w:bCs/>
          <w:lang w:eastAsia="zh-CN" w:bidi="ar-SY"/>
        </w:rPr>
        <w:t>)</w:t>
      </w:r>
      <w:r w:rsidRPr="00723691">
        <w:rPr>
          <w:rFonts w:eastAsia="SimSun" w:hint="cs"/>
          <w:rtl/>
          <w:lang w:eastAsia="zh-CN"/>
        </w:rPr>
        <w:t>؛</w:t>
      </w:r>
    </w:p>
    <w:p w14:paraId="057B965A" w14:textId="74BEC325" w:rsidR="00A42DF6" w:rsidRPr="00A42DF6" w:rsidRDefault="00A42DF6" w:rsidP="00EA135F">
      <w:pPr>
        <w:pStyle w:val="Title4"/>
        <w:rPr>
          <w:rFonts w:eastAsia="SimSun"/>
          <w:rtl/>
        </w:rPr>
      </w:pPr>
      <w:r w:rsidRPr="00A42DF6">
        <w:rPr>
          <w:rFonts w:eastAsia="SimSun" w:hint="cs"/>
          <w:rtl/>
        </w:rPr>
        <w:t xml:space="preserve">الجزء </w:t>
      </w:r>
      <w:r w:rsidR="00346237" w:rsidRPr="00275969">
        <w:rPr>
          <w:rFonts w:eastAsia="SimSun"/>
        </w:rPr>
        <w:t>10</w:t>
      </w:r>
      <w:r w:rsidRPr="00A42DF6">
        <w:rPr>
          <w:rFonts w:eastAsia="SimSun"/>
          <w:rtl/>
        </w:rPr>
        <w:t xml:space="preserve"> </w:t>
      </w:r>
      <w:r w:rsidR="00346237">
        <w:rPr>
          <w:rFonts w:eastAsia="SimSun" w:hint="cs"/>
          <w:rtl/>
        </w:rPr>
        <w:t xml:space="preserve">- </w:t>
      </w:r>
      <w:r w:rsidRPr="00A42DF6">
        <w:rPr>
          <w:rFonts w:eastAsia="SimSun" w:hint="cs"/>
          <w:rtl/>
        </w:rPr>
        <w:t xml:space="preserve">نطاق التردد </w:t>
      </w:r>
      <w:r w:rsidRPr="00A42DF6">
        <w:rPr>
          <w:rFonts w:eastAsia="SimSun"/>
          <w:lang w:bidi="ar-SY"/>
        </w:rPr>
        <w:t xml:space="preserve">GHz </w:t>
      </w:r>
      <w:r w:rsidRPr="00275969">
        <w:rPr>
          <w:rFonts w:eastAsia="SimSun"/>
          <w:lang w:bidi="ar-SY"/>
        </w:rPr>
        <w:t>86</w:t>
      </w:r>
      <w:r w:rsidRPr="00A42DF6">
        <w:rPr>
          <w:rFonts w:eastAsia="SimSun"/>
          <w:lang w:bidi="ar-SY"/>
        </w:rPr>
        <w:t>-</w:t>
      </w:r>
      <w:r w:rsidRPr="00275969">
        <w:rPr>
          <w:rFonts w:eastAsia="SimSun"/>
          <w:lang w:bidi="ar-SY"/>
        </w:rPr>
        <w:t>81</w:t>
      </w:r>
    </w:p>
    <w:p w14:paraId="3BB272C6" w14:textId="77777777" w:rsidR="00A42DF6" w:rsidRPr="00A42DF6" w:rsidRDefault="00A42DF6" w:rsidP="00A42DF6">
      <w:pPr>
        <w:rPr>
          <w:b/>
          <w:bCs/>
          <w:rtl/>
          <w:lang w:bidi="ar-EG"/>
        </w:rPr>
      </w:pPr>
      <w:r w:rsidRPr="00A42DF6">
        <w:rPr>
          <w:rFonts w:hint="cs"/>
          <w:b/>
          <w:bCs/>
          <w:rtl/>
          <w:lang w:bidi="ar-EG"/>
        </w:rPr>
        <w:t>مقدمة</w:t>
      </w:r>
    </w:p>
    <w:p w14:paraId="47E9D791" w14:textId="07916EC2" w:rsidR="00A42DF6" w:rsidRPr="00A42DF6" w:rsidRDefault="00A42DF6" w:rsidP="00A42DF6">
      <w:pPr>
        <w:rPr>
          <w:lang w:val="en-GB"/>
        </w:rPr>
      </w:pPr>
      <w:r w:rsidRPr="00A42DF6">
        <w:rPr>
          <w:rFonts w:hint="cs"/>
          <w:rtl/>
          <w:lang w:bidi="ar-SY"/>
        </w:rPr>
        <w:t xml:space="preserve">تعرض هذه </w:t>
      </w:r>
      <w:r w:rsidR="00275969">
        <w:rPr>
          <w:rFonts w:hint="cs"/>
          <w:rtl/>
          <w:lang w:bidi="ar-EG"/>
        </w:rPr>
        <w:t xml:space="preserve">الإضافة </w:t>
      </w:r>
      <w:r w:rsidRPr="00A42DF6">
        <w:rPr>
          <w:rFonts w:hint="cs"/>
          <w:rtl/>
          <w:lang w:bidi="ar-SY"/>
        </w:rPr>
        <w:t xml:space="preserve">المقترح الأوروبي المشترك بشأن نطاقات التردد </w:t>
      </w:r>
      <w:r w:rsidRPr="00A42DF6">
        <w:rPr>
          <w:lang w:val="fr-CH"/>
        </w:rPr>
        <w:t>GHz </w:t>
      </w:r>
      <w:r w:rsidRPr="00275969">
        <w:t>86</w:t>
      </w:r>
      <w:r>
        <w:t>-</w:t>
      </w:r>
      <w:r w:rsidRPr="00275969">
        <w:t>81</w:t>
      </w:r>
      <w:r w:rsidRPr="00A42DF6">
        <w:rPr>
          <w:rFonts w:hint="cs"/>
          <w:rtl/>
        </w:rPr>
        <w:t xml:space="preserve"> في إطار</w:t>
      </w:r>
      <w:r w:rsidRPr="00A42DF6">
        <w:rPr>
          <w:rFonts w:hint="cs"/>
          <w:rtl/>
          <w:lang w:bidi="ar-SY"/>
        </w:rPr>
        <w:t xml:space="preserve"> البند </w:t>
      </w:r>
      <w:r w:rsidRPr="00275969">
        <w:t>13</w:t>
      </w:r>
      <w:r w:rsidRPr="00A42DF6">
        <w:rPr>
          <w:lang w:val="fr-CH"/>
        </w:rPr>
        <w:t>.</w:t>
      </w:r>
      <w:r w:rsidRPr="00275969">
        <w:t>1</w:t>
      </w:r>
      <w:r w:rsidRPr="00A42DF6">
        <w:rPr>
          <w:rFonts w:hint="cs"/>
          <w:rtl/>
          <w:lang w:bidi="ar-SY"/>
        </w:rPr>
        <w:t xml:space="preserve"> من جدول أعمال المؤتمر العالمي للاتصالات الراديوية لعام </w:t>
      </w:r>
      <w:r w:rsidRPr="00275969">
        <w:t>2019</w:t>
      </w:r>
      <w:r w:rsidRPr="00A42DF6">
        <w:rPr>
          <w:rFonts w:hint="cs"/>
          <w:rtl/>
        </w:rPr>
        <w:t xml:space="preserve"> </w:t>
      </w:r>
      <w:r w:rsidRPr="00A42DF6">
        <w:rPr>
          <w:lang w:val="en-GB"/>
        </w:rPr>
        <w:t>(WRC-</w:t>
      </w:r>
      <w:r w:rsidRPr="00275969">
        <w:t>19</w:t>
      </w:r>
      <w:r w:rsidRPr="00A42DF6">
        <w:rPr>
          <w:lang w:val="en-GB"/>
        </w:rPr>
        <w:t>)</w:t>
      </w:r>
      <w:r w:rsidRPr="00A42DF6">
        <w:rPr>
          <w:rFonts w:hint="cs"/>
          <w:rtl/>
          <w:lang w:bidi="ar-SY"/>
        </w:rPr>
        <w:t>.</w:t>
      </w:r>
    </w:p>
    <w:p w14:paraId="70FFB402" w14:textId="77777777" w:rsidR="00A42DF6" w:rsidRPr="00A42DF6" w:rsidRDefault="00A42DF6" w:rsidP="00A42DF6">
      <w:pPr>
        <w:rPr>
          <w:b/>
          <w:bCs/>
          <w:rtl/>
          <w:lang w:bidi="ar-EG"/>
        </w:rPr>
      </w:pPr>
      <w:r w:rsidRPr="00A42DF6">
        <w:rPr>
          <w:rFonts w:hint="cs"/>
          <w:b/>
          <w:bCs/>
          <w:rtl/>
          <w:lang w:bidi="ar-EG"/>
        </w:rPr>
        <w:t>المقترحات</w:t>
      </w:r>
    </w:p>
    <w:p w14:paraId="68E108F7" w14:textId="77777777" w:rsidR="002F3E46" w:rsidRDefault="002F3E46" w:rsidP="008614B8"/>
    <w:p w14:paraId="1C21EB69" w14:textId="77777777" w:rsidR="0012545F" w:rsidRDefault="0012545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  <w:r>
        <w:rPr>
          <w:rtl/>
        </w:rPr>
        <w:br w:type="page"/>
      </w:r>
    </w:p>
    <w:p w14:paraId="246F0195" w14:textId="77777777" w:rsidR="00632DB3" w:rsidRDefault="00346237" w:rsidP="00632DB3">
      <w:pPr>
        <w:pStyle w:val="ArtNo"/>
        <w:spacing w:before="0"/>
        <w:rPr>
          <w:rtl/>
        </w:rPr>
      </w:pPr>
      <w:bookmarkStart w:id="1" w:name="_Toc454442698"/>
      <w:r>
        <w:rPr>
          <w:rtl/>
        </w:rPr>
        <w:lastRenderedPageBreak/>
        <w:t xml:space="preserve">المـادة </w:t>
      </w:r>
      <w:r w:rsidRPr="00275969">
        <w:rPr>
          <w:rStyle w:val="href"/>
        </w:rPr>
        <w:t>5</w:t>
      </w:r>
      <w:bookmarkEnd w:id="1"/>
    </w:p>
    <w:p w14:paraId="519C6E6B" w14:textId="77777777" w:rsidR="00632DB3" w:rsidRDefault="00346237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7944EF09" w14:textId="77777777" w:rsidR="00632DB3" w:rsidRDefault="00346237" w:rsidP="00632DB3">
      <w:pPr>
        <w:pStyle w:val="Section1"/>
        <w:rPr>
          <w:rtl/>
        </w:rPr>
      </w:pPr>
      <w:r>
        <w:rPr>
          <w:rtl/>
        </w:rPr>
        <w:t xml:space="preserve">القسم </w:t>
      </w:r>
      <w:proofErr w:type="gramStart"/>
      <w:r>
        <w:t>IV</w:t>
      </w:r>
      <w:r>
        <w:rPr>
          <w:rtl/>
        </w:rPr>
        <w:t xml:space="preserve">  </w:t>
      </w:r>
      <w:r>
        <w:rPr>
          <w:rFonts w:hint="cs"/>
          <w:rtl/>
        </w:rPr>
        <w:t>-</w:t>
      </w:r>
      <w:proofErr w:type="gramEnd"/>
      <w:r>
        <w:rPr>
          <w:rFonts w:hint="cs"/>
          <w:rtl/>
        </w:rPr>
        <w:t xml:space="preserve">  جدول توزيع نطاقات التردد</w:t>
      </w:r>
      <w:r>
        <w:rPr>
          <w:rFonts w:hint="cs"/>
          <w:rtl/>
        </w:rPr>
        <w:br/>
      </w:r>
      <w:bookmarkStart w:id="4" w:name="_GoBack"/>
      <w:bookmarkEnd w:id="4"/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 w:rsidRPr="00275969">
        <w:rPr>
          <w:sz w:val="22"/>
          <w:szCs w:val="30"/>
        </w:rPr>
        <w:t>1</w:t>
      </w:r>
      <w:r>
        <w:rPr>
          <w:sz w:val="22"/>
          <w:szCs w:val="30"/>
        </w:rPr>
        <w:t>.</w:t>
      </w:r>
      <w:r w:rsidRPr="00275969">
        <w:rPr>
          <w:sz w:val="22"/>
          <w:szCs w:val="30"/>
        </w:rPr>
        <w:t>2</w:t>
      </w:r>
      <w:r>
        <w:rPr>
          <w:b w:val="0"/>
          <w:bCs w:val="0"/>
          <w:sz w:val="22"/>
          <w:szCs w:val="30"/>
          <w:rtl/>
        </w:rPr>
        <w:t>)</w:t>
      </w:r>
    </w:p>
    <w:p w14:paraId="6493293F" w14:textId="77777777" w:rsidR="00612991" w:rsidRDefault="00346237">
      <w:pPr>
        <w:pStyle w:val="Proposal"/>
      </w:pPr>
      <w:r>
        <w:rPr>
          <w:u w:val="single"/>
        </w:rPr>
        <w:t>NOC</w:t>
      </w:r>
      <w:r>
        <w:tab/>
        <w:t>EUR/</w:t>
      </w:r>
      <w:r w:rsidRPr="00275969">
        <w:t>16</w:t>
      </w:r>
      <w:r>
        <w:t>A</w:t>
      </w:r>
      <w:r w:rsidRPr="00275969">
        <w:t>13</w:t>
      </w:r>
      <w:r>
        <w:t>A</w:t>
      </w:r>
      <w:r w:rsidRPr="00275969">
        <w:t>10</w:t>
      </w:r>
      <w:r>
        <w:t>/</w:t>
      </w:r>
      <w:r w:rsidRPr="00275969">
        <w:t>1</w:t>
      </w:r>
    </w:p>
    <w:p w14:paraId="7CA25530" w14:textId="77777777" w:rsidR="006444B7" w:rsidRDefault="00346237">
      <w:pPr>
        <w:pStyle w:val="Tabletitle"/>
        <w:rPr>
          <w:rtl/>
        </w:rPr>
      </w:pPr>
      <w:r>
        <w:t xml:space="preserve">GHz </w:t>
      </w:r>
      <w:r w:rsidRPr="00275969">
        <w:t>86</w:t>
      </w:r>
      <w:r>
        <w:t>-</w:t>
      </w:r>
      <w:r w:rsidRPr="00275969">
        <w:t>81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03"/>
        <w:gridCol w:w="3103"/>
        <w:gridCol w:w="3093"/>
      </w:tblGrid>
      <w:tr w:rsidR="00632DB3" w14:paraId="0DB52966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0393" w14:textId="77777777" w:rsidR="00632DB3" w:rsidRDefault="00346237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rPr>
                <w:rtl/>
              </w:rPr>
            </w:pPr>
            <w:r>
              <w:rPr>
                <w:rtl/>
              </w:rPr>
              <w:t>التوزيع على الخدمات</w:t>
            </w:r>
          </w:p>
        </w:tc>
      </w:tr>
      <w:tr w:rsidR="00632DB3" w14:paraId="172DDD53" w14:textId="77777777" w:rsidTr="00D40848">
        <w:trPr>
          <w:cantSplit/>
          <w:jc w:val="center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DF6E" w14:textId="77777777" w:rsidR="00632DB3" w:rsidRDefault="00346237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</w:pPr>
            <w:r>
              <w:rPr>
                <w:rtl/>
              </w:rPr>
              <w:t xml:space="preserve">الإقليم </w:t>
            </w:r>
            <w:r w:rsidRPr="00275969"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73B3" w14:textId="77777777" w:rsidR="00632DB3" w:rsidRDefault="00346237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</w:pPr>
            <w:r>
              <w:rPr>
                <w:rtl/>
              </w:rPr>
              <w:t xml:space="preserve">الإقليم </w:t>
            </w:r>
            <w:r w:rsidRPr="00275969">
              <w:t>2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73DD" w14:textId="77777777" w:rsidR="00632DB3" w:rsidRDefault="00346237" w:rsidP="00D40848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</w:pPr>
            <w:r>
              <w:rPr>
                <w:rtl/>
              </w:rPr>
              <w:t xml:space="preserve">الإقليم </w:t>
            </w:r>
            <w:r w:rsidRPr="00275969">
              <w:t>3</w:t>
            </w:r>
          </w:p>
        </w:tc>
      </w:tr>
      <w:tr w:rsidR="00632DB3" w14:paraId="4770B813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06C2D" w14:textId="77777777" w:rsidR="00632DB3" w:rsidRDefault="00346237" w:rsidP="00D40848">
            <w:pPr>
              <w:pStyle w:val="TabletextS5"/>
              <w:tabs>
                <w:tab w:val="clear" w:pos="1985"/>
                <w:tab w:val="left" w:pos="374"/>
              </w:tabs>
            </w:pPr>
            <w:r w:rsidRPr="00275969">
              <w:rPr>
                <w:rStyle w:val="Tablefreq"/>
              </w:rPr>
              <w:t>84</w:t>
            </w:r>
            <w:r>
              <w:rPr>
                <w:rStyle w:val="Tablefreq"/>
              </w:rPr>
              <w:t>-</w:t>
            </w:r>
            <w:r w:rsidRPr="00275969">
              <w:rPr>
                <w:rStyle w:val="Tablefreq"/>
              </w:rPr>
              <w:t>81</w:t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  <w:r>
              <w:rPr>
                <w:rtl/>
              </w:rPr>
              <w:t xml:space="preserve">  </w:t>
            </w:r>
            <w:r w:rsidRPr="00275969">
              <w:rPr>
                <w:rStyle w:val="Artref"/>
              </w:rPr>
              <w:t>338</w:t>
            </w:r>
            <w:r>
              <w:rPr>
                <w:rStyle w:val="Artref"/>
              </w:rPr>
              <w:t>A.</w:t>
            </w:r>
            <w:r w:rsidRPr="00275969">
              <w:rPr>
                <w:rStyle w:val="Artref"/>
              </w:rPr>
              <w:t>5</w:t>
            </w:r>
          </w:p>
          <w:p w14:paraId="2092EEF0" w14:textId="77777777" w:rsidR="00632DB3" w:rsidRDefault="00346237" w:rsidP="00D40848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ثابتة ساتلية</w:t>
            </w:r>
            <w:r>
              <w:rPr>
                <w:rtl/>
              </w:rPr>
              <w:t xml:space="preserve"> (أرض-فضاء)</w:t>
            </w:r>
          </w:p>
          <w:p w14:paraId="3FE538F1" w14:textId="77777777" w:rsidR="00632DB3" w:rsidRDefault="00346237" w:rsidP="00D40848">
            <w:pPr>
              <w:pStyle w:val="TabletextS5"/>
              <w:tabs>
                <w:tab w:val="clear" w:pos="1985"/>
                <w:tab w:val="left" w:pos="374"/>
              </w:tabs>
              <w:rPr>
                <w:b/>
                <w:bCs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</w:t>
            </w:r>
          </w:p>
          <w:p w14:paraId="57C64187" w14:textId="77777777" w:rsidR="00632DB3" w:rsidRDefault="00346237" w:rsidP="00D40848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 ساتلية</w:t>
            </w:r>
            <w:r>
              <w:rPr>
                <w:rtl/>
              </w:rPr>
              <w:t xml:space="preserve"> (أرض-فضاء)</w:t>
            </w:r>
          </w:p>
          <w:p w14:paraId="6BCCB8EC" w14:textId="77777777" w:rsidR="00632DB3" w:rsidRDefault="00346237" w:rsidP="00D40848">
            <w:pPr>
              <w:pStyle w:val="TabletextS5"/>
              <w:tabs>
                <w:tab w:val="clear" w:pos="1985"/>
                <w:tab w:val="left" w:pos="374"/>
              </w:tabs>
              <w:rPr>
                <w:b/>
                <w:bCs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فلك راديوي</w:t>
            </w:r>
          </w:p>
          <w:p w14:paraId="27DF309E" w14:textId="77777777" w:rsidR="00632DB3" w:rsidRDefault="00346237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  <w:t>أبحاث فضائية (فضاء-أرض)</w:t>
            </w:r>
          </w:p>
          <w:p w14:paraId="3858F30B" w14:textId="77777777" w:rsidR="00632DB3" w:rsidRDefault="00346237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Pr="00275969">
              <w:rPr>
                <w:rStyle w:val="Artref"/>
              </w:rPr>
              <w:t>149</w:t>
            </w:r>
            <w:r>
              <w:rPr>
                <w:rStyle w:val="Artref"/>
              </w:rPr>
              <w:t>.</w:t>
            </w:r>
            <w:r w:rsidRPr="00275969">
              <w:rPr>
                <w:rStyle w:val="Artref"/>
              </w:rPr>
              <w:t>5</w:t>
            </w:r>
            <w:r>
              <w:rPr>
                <w:rtl/>
              </w:rPr>
              <w:t xml:space="preserve">  </w:t>
            </w:r>
            <w:r w:rsidRPr="00275969">
              <w:rPr>
                <w:rStyle w:val="Artref"/>
              </w:rPr>
              <w:t>561</w:t>
            </w:r>
            <w:r>
              <w:rPr>
                <w:rStyle w:val="Artref"/>
              </w:rPr>
              <w:t>A.</w:t>
            </w:r>
            <w:r w:rsidRPr="00275969">
              <w:rPr>
                <w:rStyle w:val="Artref"/>
              </w:rPr>
              <w:t>5</w:t>
            </w:r>
          </w:p>
        </w:tc>
      </w:tr>
      <w:tr w:rsidR="00632DB3" w14:paraId="659A74B7" w14:textId="77777777" w:rsidTr="00D40848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8AE4" w14:textId="77777777" w:rsidR="00632DB3" w:rsidRDefault="00346237" w:rsidP="00D40848">
            <w:pPr>
              <w:pStyle w:val="TabletextS5"/>
              <w:tabs>
                <w:tab w:val="clear" w:pos="1985"/>
                <w:tab w:val="left" w:pos="374"/>
              </w:tabs>
            </w:pPr>
            <w:r w:rsidRPr="00275969">
              <w:rPr>
                <w:rStyle w:val="Tablefreq"/>
              </w:rPr>
              <w:t>86</w:t>
            </w:r>
            <w:r>
              <w:rPr>
                <w:rStyle w:val="Tablefreq"/>
              </w:rPr>
              <w:t>-</w:t>
            </w:r>
            <w:r w:rsidRPr="00275969">
              <w:rPr>
                <w:rStyle w:val="Tablefreq"/>
              </w:rPr>
              <w:t>84</w:t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  <w:r>
              <w:rPr>
                <w:rtl/>
              </w:rPr>
              <w:t xml:space="preserve">   </w:t>
            </w:r>
            <w:r w:rsidRPr="00275969">
              <w:rPr>
                <w:rStyle w:val="Artref"/>
              </w:rPr>
              <w:t>338</w:t>
            </w:r>
            <w:r>
              <w:rPr>
                <w:rStyle w:val="Artref"/>
              </w:rPr>
              <w:t>A.</w:t>
            </w:r>
            <w:r w:rsidRPr="00275969">
              <w:rPr>
                <w:rStyle w:val="Artref"/>
              </w:rPr>
              <w:t>5</w:t>
            </w:r>
          </w:p>
          <w:p w14:paraId="5BA72C6F" w14:textId="77777777" w:rsidR="00632DB3" w:rsidRDefault="00346237" w:rsidP="00D40848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</w:r>
            <w:r>
              <w:rPr>
                <w:b/>
                <w:bCs/>
                <w:rtl/>
              </w:rPr>
              <w:tab/>
              <w:t xml:space="preserve">ثابتة ساتلية </w:t>
            </w:r>
            <w:r>
              <w:rPr>
                <w:rtl/>
              </w:rPr>
              <w:t>(أرض-فضاء</w:t>
            </w:r>
            <w:proofErr w:type="gramStart"/>
            <w:r>
              <w:rPr>
                <w:rtl/>
              </w:rPr>
              <w:t xml:space="preserve">)  </w:t>
            </w:r>
            <w:r w:rsidRPr="00275969">
              <w:rPr>
                <w:rStyle w:val="Artref"/>
              </w:rPr>
              <w:t>561</w:t>
            </w:r>
            <w:r>
              <w:rPr>
                <w:rStyle w:val="Artref"/>
              </w:rPr>
              <w:t>B.</w:t>
            </w:r>
            <w:r w:rsidRPr="00275969">
              <w:rPr>
                <w:rStyle w:val="Artref"/>
              </w:rPr>
              <w:t>5</w:t>
            </w:r>
            <w:proofErr w:type="gramEnd"/>
          </w:p>
          <w:p w14:paraId="376095D6" w14:textId="77777777" w:rsidR="00632DB3" w:rsidRDefault="00346237" w:rsidP="00D40848">
            <w:pPr>
              <w:pStyle w:val="TabletextS5"/>
              <w:tabs>
                <w:tab w:val="clear" w:pos="1985"/>
                <w:tab w:val="left" w:pos="374"/>
              </w:tabs>
              <w:rPr>
                <w:b/>
                <w:bCs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</w:t>
            </w:r>
          </w:p>
          <w:p w14:paraId="0F6101B8" w14:textId="77777777" w:rsidR="00632DB3" w:rsidRDefault="00346237" w:rsidP="00D40848">
            <w:pPr>
              <w:pStyle w:val="TabletextS5"/>
              <w:tabs>
                <w:tab w:val="clear" w:pos="1985"/>
                <w:tab w:val="left" w:pos="374"/>
              </w:tabs>
              <w:rPr>
                <w:b/>
                <w:bCs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فلك راديوي</w:t>
            </w:r>
          </w:p>
          <w:p w14:paraId="178BB48E" w14:textId="77777777" w:rsidR="00632DB3" w:rsidRDefault="00346237" w:rsidP="00D40848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rPr>
                <w:rtl/>
              </w:rPr>
              <w:tab/>
            </w:r>
            <w:r>
              <w:rPr>
                <w:rtl/>
              </w:rPr>
              <w:tab/>
            </w:r>
            <w:r>
              <w:rPr>
                <w:rtl/>
              </w:rPr>
              <w:tab/>
            </w:r>
            <w:r w:rsidRPr="00275969">
              <w:rPr>
                <w:rStyle w:val="Artref"/>
              </w:rPr>
              <w:t>149</w:t>
            </w:r>
            <w:r>
              <w:rPr>
                <w:rStyle w:val="Artref"/>
              </w:rPr>
              <w:t>.</w:t>
            </w:r>
            <w:r w:rsidRPr="00275969">
              <w:rPr>
                <w:rStyle w:val="Artref"/>
              </w:rPr>
              <w:t>5</w:t>
            </w:r>
          </w:p>
        </w:tc>
      </w:tr>
    </w:tbl>
    <w:p w14:paraId="717C751B" w14:textId="6A7AE0E9" w:rsidR="00612991" w:rsidRPr="00275969" w:rsidRDefault="00346237">
      <w:pPr>
        <w:pStyle w:val="Reasons"/>
        <w:rPr>
          <w:rFonts w:ascii="Times New Roman" w:hAnsi="Times New Roman"/>
          <w:b w:val="0"/>
          <w:bCs w:val="0"/>
          <w:rtl/>
          <w:lang w:bidi="ar-EG"/>
        </w:rPr>
      </w:pPr>
      <w:r>
        <w:rPr>
          <w:rtl/>
        </w:rPr>
        <w:t>الأسباب:</w:t>
      </w:r>
      <w:r>
        <w:tab/>
      </w:r>
      <w:r w:rsidR="001D60A6" w:rsidRPr="00275969">
        <w:rPr>
          <w:rFonts w:ascii="Times New Roman" w:hAnsi="Times New Roman" w:hint="cs"/>
          <w:b w:val="0"/>
          <w:bCs w:val="0"/>
          <w:rtl/>
        </w:rPr>
        <w:t xml:space="preserve">إن نطاق التردد </w:t>
      </w:r>
      <w:r w:rsidR="001D60A6" w:rsidRPr="00275969">
        <w:rPr>
          <w:rFonts w:ascii="Times New Roman" w:hAnsi="Times New Roman"/>
          <w:b w:val="0"/>
          <w:bCs w:val="0"/>
        </w:rPr>
        <w:t>GHz</w:t>
      </w:r>
      <w:r w:rsidR="00275969">
        <w:rPr>
          <w:rFonts w:ascii="Times New Roman" w:hAnsi="Times New Roman"/>
          <w:b w:val="0"/>
          <w:bCs w:val="0"/>
        </w:rPr>
        <w:t> </w:t>
      </w:r>
      <w:r w:rsidR="00275969" w:rsidRPr="00275969">
        <w:rPr>
          <w:rFonts w:ascii="Times New Roman" w:hAnsi="Times New Roman" w:hint="cs"/>
          <w:b w:val="0"/>
          <w:bCs w:val="0"/>
        </w:rPr>
        <w:t>86</w:t>
      </w:r>
      <w:r w:rsidR="00275969">
        <w:rPr>
          <w:rFonts w:ascii="Times New Roman" w:hAnsi="Times New Roman"/>
          <w:b w:val="0"/>
          <w:bCs w:val="0"/>
        </w:rPr>
        <w:t>-</w:t>
      </w:r>
      <w:r w:rsidR="00275969" w:rsidRPr="00275969">
        <w:rPr>
          <w:rFonts w:ascii="Times New Roman" w:hAnsi="Times New Roman" w:hint="cs"/>
          <w:b w:val="0"/>
          <w:bCs w:val="0"/>
        </w:rPr>
        <w:t>81</w:t>
      </w:r>
      <w:r w:rsidR="001D60A6" w:rsidRPr="00275969">
        <w:rPr>
          <w:rFonts w:ascii="Times New Roman" w:hAnsi="Times New Roman" w:hint="cs"/>
          <w:b w:val="0"/>
          <w:bCs w:val="0"/>
          <w:rtl/>
        </w:rPr>
        <w:t xml:space="preserve">، المقترن بالنطاق </w:t>
      </w:r>
      <w:r w:rsidR="00301A7A" w:rsidRPr="00275969">
        <w:rPr>
          <w:rFonts w:ascii="Times New Roman" w:hAnsi="Times New Roman"/>
          <w:b w:val="0"/>
          <w:bCs w:val="0"/>
        </w:rPr>
        <w:t>GHz</w:t>
      </w:r>
      <w:r w:rsidR="00275969">
        <w:rPr>
          <w:rFonts w:ascii="Times New Roman" w:hAnsi="Times New Roman"/>
          <w:b w:val="0"/>
          <w:bCs w:val="0"/>
        </w:rPr>
        <w:t> </w:t>
      </w:r>
      <w:r w:rsidR="00275969" w:rsidRPr="00275969">
        <w:rPr>
          <w:rFonts w:ascii="Times New Roman" w:hAnsi="Times New Roman" w:hint="cs"/>
          <w:b w:val="0"/>
          <w:bCs w:val="0"/>
        </w:rPr>
        <w:t>76</w:t>
      </w:r>
      <w:r w:rsidR="00275969">
        <w:rPr>
          <w:rFonts w:ascii="Times New Roman" w:hAnsi="Times New Roman"/>
          <w:b w:val="0"/>
          <w:bCs w:val="0"/>
        </w:rPr>
        <w:t>-</w:t>
      </w:r>
      <w:r w:rsidR="00275969" w:rsidRPr="00275969">
        <w:rPr>
          <w:rFonts w:ascii="Times New Roman" w:hAnsi="Times New Roman" w:hint="cs"/>
          <w:b w:val="0"/>
          <w:bCs w:val="0"/>
        </w:rPr>
        <w:t>71</w:t>
      </w:r>
      <w:r w:rsidR="00E47F77" w:rsidRPr="00275969">
        <w:rPr>
          <w:rFonts w:ascii="Times New Roman" w:hAnsi="Times New Roman" w:hint="cs"/>
          <w:b w:val="0"/>
          <w:bCs w:val="0"/>
          <w:rtl/>
        </w:rPr>
        <w:t>،</w:t>
      </w:r>
      <w:r w:rsidR="00301A7A" w:rsidRPr="00275969">
        <w:rPr>
          <w:rFonts w:ascii="Times New Roman" w:hAnsi="Times New Roman" w:hint="cs"/>
          <w:b w:val="0"/>
          <w:bCs w:val="0"/>
          <w:rtl/>
        </w:rPr>
        <w:t xml:space="preserve"> هو نطاق</w:t>
      </w:r>
      <w:r w:rsidR="00E2330B" w:rsidRPr="00275969">
        <w:rPr>
          <w:rFonts w:ascii="Times New Roman" w:hAnsi="Times New Roman" w:hint="cs"/>
          <w:b w:val="0"/>
          <w:bCs w:val="0"/>
          <w:rtl/>
        </w:rPr>
        <w:t xml:space="preserve"> </w:t>
      </w:r>
      <w:r w:rsidR="007364CC" w:rsidRPr="00275969">
        <w:rPr>
          <w:rFonts w:ascii="Times New Roman" w:hAnsi="Times New Roman" w:hint="cs"/>
          <w:b w:val="0"/>
          <w:bCs w:val="0"/>
          <w:rtl/>
        </w:rPr>
        <w:t>ذو أهمية بالنسبة</w:t>
      </w:r>
      <w:r w:rsidR="00E2330B" w:rsidRPr="00275969">
        <w:rPr>
          <w:rFonts w:ascii="Times New Roman" w:hAnsi="Times New Roman" w:hint="cs"/>
          <w:b w:val="0"/>
          <w:bCs w:val="0"/>
          <w:rtl/>
        </w:rPr>
        <w:t xml:space="preserve"> </w:t>
      </w:r>
      <w:r w:rsidR="007364CC" w:rsidRPr="00275969">
        <w:rPr>
          <w:rFonts w:ascii="Times New Roman" w:hAnsi="Times New Roman" w:hint="cs"/>
          <w:b w:val="0"/>
          <w:bCs w:val="0"/>
          <w:rtl/>
        </w:rPr>
        <w:t>ل</w:t>
      </w:r>
      <w:r w:rsidR="00E2330B" w:rsidRPr="00275969">
        <w:rPr>
          <w:rFonts w:ascii="Times New Roman" w:hAnsi="Times New Roman" w:hint="cs"/>
          <w:b w:val="0"/>
          <w:bCs w:val="0"/>
          <w:rtl/>
        </w:rPr>
        <w:t xml:space="preserve">لوصلة </w:t>
      </w:r>
      <w:r w:rsidR="007364CC" w:rsidRPr="00275969">
        <w:rPr>
          <w:rFonts w:ascii="Times New Roman" w:hAnsi="Times New Roman" w:hint="cs"/>
          <w:b w:val="0"/>
          <w:bCs w:val="0"/>
          <w:rtl/>
        </w:rPr>
        <w:t>ال</w:t>
      </w:r>
      <w:r w:rsidR="00E2330B" w:rsidRPr="00275969">
        <w:rPr>
          <w:rFonts w:ascii="Times New Roman" w:hAnsi="Times New Roman" w:hint="cs"/>
          <w:b w:val="0"/>
          <w:bCs w:val="0"/>
          <w:rtl/>
        </w:rPr>
        <w:t xml:space="preserve">ثابتة </w:t>
      </w:r>
      <w:r w:rsidR="007364CC" w:rsidRPr="00275969">
        <w:rPr>
          <w:rFonts w:ascii="Times New Roman" w:hAnsi="Times New Roman" w:hint="cs"/>
          <w:b w:val="0"/>
          <w:bCs w:val="0"/>
          <w:rtl/>
        </w:rPr>
        <w:t>في مجال</w:t>
      </w:r>
      <w:r w:rsidR="00E2330B" w:rsidRPr="00275969">
        <w:rPr>
          <w:rFonts w:ascii="Times New Roman" w:hAnsi="Times New Roman" w:hint="cs"/>
          <w:b w:val="0"/>
          <w:bCs w:val="0"/>
          <w:rtl/>
        </w:rPr>
        <w:t xml:space="preserve"> </w:t>
      </w:r>
      <w:r w:rsidR="007364CC" w:rsidRPr="00275969">
        <w:rPr>
          <w:rFonts w:ascii="Times New Roman" w:hAnsi="Times New Roman" w:hint="cs"/>
          <w:b w:val="0"/>
          <w:bCs w:val="0"/>
          <w:rtl/>
        </w:rPr>
        <w:t>ال</w:t>
      </w:r>
      <w:r w:rsidR="00E2330B" w:rsidRPr="00275969">
        <w:rPr>
          <w:rFonts w:ascii="Times New Roman" w:hAnsi="Times New Roman" w:hint="cs"/>
          <w:b w:val="0"/>
          <w:bCs w:val="0"/>
          <w:rtl/>
        </w:rPr>
        <w:t xml:space="preserve">توصيل </w:t>
      </w:r>
      <w:r w:rsidR="007364CC" w:rsidRPr="00275969">
        <w:rPr>
          <w:rFonts w:ascii="Times New Roman" w:hAnsi="Times New Roman" w:hint="cs"/>
          <w:b w:val="0"/>
          <w:bCs w:val="0"/>
          <w:rtl/>
        </w:rPr>
        <w:t>ل</w:t>
      </w:r>
      <w:r w:rsidR="00E2330B" w:rsidRPr="00275969">
        <w:rPr>
          <w:rFonts w:ascii="Times New Roman" w:hAnsi="Times New Roman" w:hint="cs"/>
          <w:b w:val="0"/>
          <w:bCs w:val="0"/>
          <w:rtl/>
        </w:rPr>
        <w:t>لجيل الخامس</w:t>
      </w:r>
      <w:r w:rsidR="00420680">
        <w:rPr>
          <w:rFonts w:ascii="Times New Roman" w:hAnsi="Times New Roman" w:hint="cs"/>
          <w:b w:val="0"/>
          <w:bCs w:val="0"/>
          <w:rtl/>
        </w:rPr>
        <w:t xml:space="preserve"> </w:t>
      </w:r>
      <w:r w:rsidR="00420680">
        <w:rPr>
          <w:rFonts w:ascii="Times New Roman" w:hAnsi="Times New Roman"/>
          <w:b w:val="0"/>
          <w:bCs w:val="0"/>
        </w:rPr>
        <w:t>(G5)</w:t>
      </w:r>
      <w:r w:rsidR="00E2330B" w:rsidRPr="00275969">
        <w:rPr>
          <w:rFonts w:ascii="Times New Roman" w:hAnsi="Times New Roman" w:hint="cs"/>
          <w:b w:val="0"/>
          <w:bCs w:val="0"/>
          <w:rtl/>
        </w:rPr>
        <w:t xml:space="preserve">. ولذلك يُتوقع </w:t>
      </w:r>
      <w:r w:rsidR="007364CC" w:rsidRPr="00275969">
        <w:rPr>
          <w:rFonts w:ascii="Times New Roman" w:hAnsi="Times New Roman" w:hint="cs"/>
          <w:b w:val="0"/>
          <w:bCs w:val="0"/>
          <w:rtl/>
        </w:rPr>
        <w:t>أن يزداد</w:t>
      </w:r>
      <w:r w:rsidR="00E2330B" w:rsidRPr="00275969">
        <w:rPr>
          <w:rFonts w:ascii="Times New Roman" w:hAnsi="Times New Roman" w:hint="cs"/>
          <w:b w:val="0"/>
          <w:bCs w:val="0"/>
          <w:rtl/>
        </w:rPr>
        <w:t xml:space="preserve"> استعمال الوصلة الثابتة في المستقبل. وقد بيَّنت الدراسات أن مستويات ا</w:t>
      </w:r>
      <w:r w:rsidR="009521FF" w:rsidRPr="00275969">
        <w:rPr>
          <w:rFonts w:ascii="Times New Roman" w:hAnsi="Times New Roman" w:hint="cs"/>
          <w:b w:val="0"/>
          <w:bCs w:val="0"/>
          <w:rtl/>
        </w:rPr>
        <w:t>ل</w:t>
      </w:r>
      <w:r w:rsidR="004A09F7" w:rsidRPr="00275969">
        <w:rPr>
          <w:rFonts w:ascii="Times New Roman" w:hAnsi="Times New Roman" w:hint="cs"/>
          <w:b w:val="0"/>
          <w:bCs w:val="0"/>
          <w:rtl/>
        </w:rPr>
        <w:t>بث</w:t>
      </w:r>
      <w:r w:rsidR="009521FF" w:rsidRPr="00275969">
        <w:rPr>
          <w:rFonts w:ascii="Times New Roman" w:hAnsi="Times New Roman" w:hint="cs"/>
          <w:b w:val="0"/>
          <w:bCs w:val="0"/>
          <w:rtl/>
        </w:rPr>
        <w:t xml:space="preserve"> الحالية</w:t>
      </w:r>
      <w:r w:rsidR="00E2330B" w:rsidRPr="00275969">
        <w:rPr>
          <w:rFonts w:ascii="Times New Roman" w:hAnsi="Times New Roman" w:hint="cs"/>
          <w:b w:val="0"/>
          <w:bCs w:val="0"/>
          <w:rtl/>
        </w:rPr>
        <w:t xml:space="preserve"> غير الم</w:t>
      </w:r>
      <w:r w:rsidR="004A09F7" w:rsidRPr="00275969">
        <w:rPr>
          <w:rFonts w:ascii="Times New Roman" w:hAnsi="Times New Roman" w:hint="cs"/>
          <w:b w:val="0"/>
          <w:bCs w:val="0"/>
          <w:rtl/>
        </w:rPr>
        <w:t>طلوبة</w:t>
      </w:r>
      <w:r w:rsidR="009521FF" w:rsidRPr="00275969">
        <w:rPr>
          <w:rFonts w:ascii="Times New Roman" w:hAnsi="Times New Roman" w:hint="cs"/>
          <w:b w:val="0"/>
          <w:bCs w:val="0"/>
          <w:rtl/>
        </w:rPr>
        <w:t xml:space="preserve"> </w:t>
      </w:r>
      <w:r w:rsidR="009521FF" w:rsidRPr="00275969">
        <w:rPr>
          <w:rFonts w:ascii="Times New Roman" w:hAnsi="Times New Roman"/>
          <w:b w:val="0"/>
          <w:bCs w:val="0"/>
          <w:rtl/>
        </w:rPr>
        <w:t>للاتصالات المتنقلة الدولية</w:t>
      </w:r>
      <w:r w:rsidR="00B457E3" w:rsidRPr="00275969">
        <w:rPr>
          <w:rFonts w:ascii="Times New Roman" w:hAnsi="Times New Roman" w:hint="cs"/>
          <w:b w:val="0"/>
          <w:bCs w:val="0"/>
          <w:rtl/>
        </w:rPr>
        <w:t>-</w:t>
      </w:r>
      <w:r w:rsidR="00B457E3" w:rsidRPr="00275969">
        <w:rPr>
          <w:rFonts w:ascii="Times New Roman" w:hAnsi="Times New Roman" w:hint="cs"/>
          <w:b w:val="0"/>
          <w:bCs w:val="0"/>
        </w:rPr>
        <w:t>2020</w:t>
      </w:r>
      <w:r w:rsidR="00B457E3" w:rsidRPr="00275969">
        <w:rPr>
          <w:rFonts w:ascii="Times New Roman" w:hAnsi="Times New Roman" w:hint="cs"/>
          <w:b w:val="0"/>
          <w:bCs w:val="0"/>
          <w:rtl/>
        </w:rPr>
        <w:t xml:space="preserve"> </w:t>
      </w:r>
      <w:r w:rsidR="009521FF" w:rsidRPr="00275969">
        <w:rPr>
          <w:rFonts w:ascii="Times New Roman" w:hAnsi="Times New Roman" w:hint="cs"/>
          <w:b w:val="0"/>
          <w:bCs w:val="0"/>
          <w:rtl/>
        </w:rPr>
        <w:t xml:space="preserve">لن تكون كافية لضمان حماية أجهزة استشعار </w:t>
      </w:r>
      <w:r w:rsidR="009521FF" w:rsidRPr="00275969">
        <w:rPr>
          <w:rFonts w:ascii="Times New Roman" w:hAnsi="Times New Roman"/>
          <w:b w:val="0"/>
          <w:bCs w:val="0"/>
          <w:rtl/>
        </w:rPr>
        <w:t>خدمة استكشاف الأرض الساتلية</w:t>
      </w:r>
      <w:r w:rsidR="009521FF" w:rsidRPr="00275969">
        <w:rPr>
          <w:rFonts w:ascii="Times New Roman" w:hAnsi="Times New Roman" w:hint="cs"/>
          <w:b w:val="0"/>
          <w:bCs w:val="0"/>
          <w:rtl/>
        </w:rPr>
        <w:t xml:space="preserve"> (المنفعلة) في نطاق التردد </w:t>
      </w:r>
      <w:r w:rsidR="00275969">
        <w:rPr>
          <w:rFonts w:ascii="Times New Roman" w:hAnsi="Times New Roman"/>
          <w:b w:val="0"/>
          <w:bCs w:val="0"/>
        </w:rPr>
        <w:t>GHz </w:t>
      </w:r>
      <w:r w:rsidR="009521FF" w:rsidRPr="00275969">
        <w:rPr>
          <w:rFonts w:ascii="Times New Roman" w:hAnsi="Times New Roman" w:hint="cs"/>
          <w:b w:val="0"/>
          <w:bCs w:val="0"/>
        </w:rPr>
        <w:t>92</w:t>
      </w:r>
      <w:r w:rsidR="00275969">
        <w:rPr>
          <w:rFonts w:ascii="Times New Roman" w:hAnsi="Times New Roman"/>
          <w:b w:val="0"/>
          <w:bCs w:val="0"/>
        </w:rPr>
        <w:t>-</w:t>
      </w:r>
      <w:r w:rsidR="00275969" w:rsidRPr="00275969">
        <w:rPr>
          <w:rFonts w:ascii="Times New Roman" w:hAnsi="Times New Roman" w:hint="cs"/>
          <w:b w:val="0"/>
          <w:bCs w:val="0"/>
        </w:rPr>
        <w:t>86</w:t>
      </w:r>
      <w:r w:rsidR="009521FF" w:rsidRPr="00275969">
        <w:rPr>
          <w:rFonts w:ascii="Times New Roman" w:hAnsi="Times New Roman" w:hint="cs"/>
          <w:b w:val="0"/>
          <w:bCs w:val="0"/>
          <w:rtl/>
        </w:rPr>
        <w:t xml:space="preserve"> وأن تخفيض </w:t>
      </w:r>
      <w:r w:rsidR="004A09F7" w:rsidRPr="00275969">
        <w:rPr>
          <w:rFonts w:ascii="Times New Roman" w:hAnsi="Times New Roman" w:hint="cs"/>
          <w:b w:val="0"/>
          <w:bCs w:val="0"/>
          <w:rtl/>
        </w:rPr>
        <w:t xml:space="preserve">عمليات البث </w:t>
      </w:r>
      <w:r w:rsidR="007364CC" w:rsidRPr="00275969">
        <w:rPr>
          <w:rFonts w:ascii="Times New Roman" w:hAnsi="Times New Roman" w:hint="cs"/>
          <w:b w:val="0"/>
          <w:bCs w:val="0"/>
          <w:rtl/>
        </w:rPr>
        <w:t>ل</w:t>
      </w:r>
      <w:r w:rsidR="009521FF" w:rsidRPr="00275969">
        <w:rPr>
          <w:rFonts w:ascii="Times New Roman" w:hAnsi="Times New Roman"/>
          <w:b w:val="0"/>
          <w:bCs w:val="0"/>
          <w:rtl/>
        </w:rPr>
        <w:t>لاتصالات المتنقلة الدولية</w:t>
      </w:r>
      <w:r w:rsidR="00275969">
        <w:rPr>
          <w:rFonts w:ascii="Times New Roman" w:hAnsi="Times New Roman" w:hint="cs"/>
          <w:b w:val="0"/>
          <w:bCs w:val="0"/>
          <w:rtl/>
        </w:rPr>
        <w:t>-</w:t>
      </w:r>
      <w:r w:rsidR="009521FF" w:rsidRPr="00275969">
        <w:rPr>
          <w:rFonts w:ascii="Times New Roman" w:hAnsi="Times New Roman" w:hint="cs"/>
          <w:b w:val="0"/>
          <w:bCs w:val="0"/>
        </w:rPr>
        <w:t>2020</w:t>
      </w:r>
      <w:r w:rsidR="009521FF" w:rsidRPr="00275969">
        <w:rPr>
          <w:rFonts w:ascii="Times New Roman" w:hAnsi="Times New Roman" w:hint="cs"/>
          <w:b w:val="0"/>
          <w:bCs w:val="0"/>
          <w:rtl/>
        </w:rPr>
        <w:t xml:space="preserve"> في هذا النطاق</w:t>
      </w:r>
      <w:r w:rsidR="004A09F7" w:rsidRPr="00275969">
        <w:rPr>
          <w:rFonts w:ascii="Times New Roman" w:hAnsi="Times New Roman" w:hint="cs"/>
          <w:b w:val="0"/>
          <w:bCs w:val="0"/>
          <w:rtl/>
        </w:rPr>
        <w:t xml:space="preserve"> يمكنه</w:t>
      </w:r>
      <w:r w:rsidR="009521FF" w:rsidRPr="00275969">
        <w:rPr>
          <w:rFonts w:ascii="Times New Roman" w:hAnsi="Times New Roman" w:hint="cs"/>
          <w:b w:val="0"/>
          <w:bCs w:val="0"/>
          <w:rtl/>
        </w:rPr>
        <w:t xml:space="preserve"> </w:t>
      </w:r>
      <w:r w:rsidR="004A09F7" w:rsidRPr="00275969">
        <w:rPr>
          <w:rFonts w:ascii="Times New Roman" w:hAnsi="Times New Roman" w:hint="cs"/>
          <w:b w:val="0"/>
          <w:bCs w:val="0"/>
          <w:rtl/>
        </w:rPr>
        <w:t>هو وحده أن يضمن</w:t>
      </w:r>
      <w:r w:rsidR="009521FF" w:rsidRPr="00275969">
        <w:rPr>
          <w:rFonts w:ascii="Times New Roman" w:hAnsi="Times New Roman" w:hint="cs"/>
          <w:b w:val="0"/>
          <w:bCs w:val="0"/>
          <w:rtl/>
        </w:rPr>
        <w:t xml:space="preserve"> هذه الحماية.</w:t>
      </w:r>
      <w:r w:rsidR="004A09F7" w:rsidRPr="00275969">
        <w:rPr>
          <w:rFonts w:ascii="Times New Roman" w:hAnsi="Times New Roman" w:hint="cs"/>
          <w:b w:val="0"/>
          <w:bCs w:val="0"/>
          <w:rtl/>
        </w:rPr>
        <w:t xml:space="preserve"> وأظهرت بعض الدراسات أيضاً أن عمليات البث غير المطلوبة</w:t>
      </w:r>
      <w:r w:rsidR="00A42206" w:rsidRPr="00275969">
        <w:rPr>
          <w:rFonts w:ascii="Times New Roman" w:hAnsi="Times New Roman" w:hint="cs"/>
          <w:b w:val="0"/>
          <w:bCs w:val="0"/>
          <w:rtl/>
        </w:rPr>
        <w:t xml:space="preserve"> لكل من المحطة الأساسية ومعدات</w:t>
      </w:r>
      <w:r w:rsidR="00275969">
        <w:rPr>
          <w:rFonts w:ascii="Times New Roman" w:hAnsi="Times New Roman" w:hint="eastAsia"/>
          <w:b w:val="0"/>
          <w:bCs w:val="0"/>
          <w:rtl/>
        </w:rPr>
        <w:t> </w:t>
      </w:r>
      <w:r w:rsidR="00A42206" w:rsidRPr="00275969">
        <w:rPr>
          <w:rFonts w:ascii="Times New Roman" w:hAnsi="Times New Roman" w:hint="cs"/>
          <w:b w:val="0"/>
          <w:bCs w:val="0"/>
          <w:rtl/>
        </w:rPr>
        <w:t>المستخدم في إطار ا</w:t>
      </w:r>
      <w:r w:rsidR="00A42206" w:rsidRPr="00275969">
        <w:rPr>
          <w:rFonts w:ascii="Times New Roman" w:hAnsi="Times New Roman"/>
          <w:b w:val="0"/>
          <w:bCs w:val="0"/>
          <w:rtl/>
        </w:rPr>
        <w:t>لاتصالات المتنقلة الدولية</w:t>
      </w:r>
      <w:r w:rsidR="00B457E3" w:rsidRPr="00275969">
        <w:rPr>
          <w:rFonts w:ascii="Times New Roman" w:hAnsi="Times New Roman" w:hint="cs"/>
          <w:b w:val="0"/>
          <w:bCs w:val="0"/>
          <w:rtl/>
        </w:rPr>
        <w:t>-</w:t>
      </w:r>
      <w:r w:rsidR="00A42206" w:rsidRPr="00275969">
        <w:rPr>
          <w:rFonts w:ascii="Times New Roman" w:hAnsi="Times New Roman" w:hint="cs"/>
          <w:b w:val="0"/>
          <w:bCs w:val="0"/>
        </w:rPr>
        <w:t>2020</w:t>
      </w:r>
      <w:r w:rsidR="00A42206" w:rsidRPr="00275969">
        <w:rPr>
          <w:rFonts w:ascii="Times New Roman" w:hAnsi="Times New Roman" w:hint="cs"/>
          <w:b w:val="0"/>
          <w:bCs w:val="0"/>
          <w:rtl/>
        </w:rPr>
        <w:t xml:space="preserve"> يتعين أن تقتصر على حماية رادارات المركبات العاملة في نطاق </w:t>
      </w:r>
      <w:r w:rsidR="00275969" w:rsidRPr="00275969">
        <w:rPr>
          <w:rFonts w:ascii="Times New Roman" w:hAnsi="Times New Roman" w:hint="cs"/>
          <w:b w:val="0"/>
          <w:bCs w:val="0"/>
          <w:rtl/>
        </w:rPr>
        <w:t>التردد</w:t>
      </w:r>
      <w:r w:rsidR="00275969">
        <w:rPr>
          <w:rFonts w:ascii="Times New Roman" w:hAnsi="Times New Roman" w:hint="eastAsia"/>
          <w:b w:val="0"/>
          <w:bCs w:val="0"/>
          <w:rtl/>
          <w:lang w:bidi="ar-EG"/>
        </w:rPr>
        <w:t> </w:t>
      </w:r>
      <w:r w:rsidR="00275969">
        <w:rPr>
          <w:rFonts w:ascii="Times New Roman" w:hAnsi="Times New Roman"/>
          <w:b w:val="0"/>
          <w:bCs w:val="0"/>
        </w:rPr>
        <w:t>GHz 81</w:t>
      </w:r>
      <w:r w:rsidR="00275969">
        <w:rPr>
          <w:rFonts w:ascii="Times New Roman" w:hAnsi="Times New Roman"/>
          <w:b w:val="0"/>
          <w:bCs w:val="0"/>
        </w:rPr>
        <w:noBreakHyphen/>
        <w:t>7</w:t>
      </w:r>
      <w:r w:rsidR="00275969" w:rsidRPr="00275969">
        <w:rPr>
          <w:rFonts w:ascii="Times New Roman" w:hAnsi="Times New Roman" w:hint="cs"/>
          <w:b w:val="0"/>
          <w:bCs w:val="0"/>
        </w:rPr>
        <w:t>6</w:t>
      </w:r>
      <w:r w:rsidR="00A42206" w:rsidRPr="00275969">
        <w:rPr>
          <w:rFonts w:ascii="Times New Roman" w:hAnsi="Times New Roman" w:hint="cs"/>
          <w:b w:val="0"/>
          <w:bCs w:val="0"/>
          <w:rtl/>
        </w:rPr>
        <w:t xml:space="preserve">. وهذه القيود لا تجعل نطاق التردد </w:t>
      </w:r>
      <w:r w:rsidR="00275969">
        <w:rPr>
          <w:rFonts w:ascii="Times New Roman" w:hAnsi="Times New Roman"/>
          <w:b w:val="0"/>
          <w:bCs w:val="0"/>
        </w:rPr>
        <w:t>GHz </w:t>
      </w:r>
      <w:r w:rsidR="00A42206" w:rsidRPr="00275969">
        <w:rPr>
          <w:rFonts w:ascii="Times New Roman" w:hAnsi="Times New Roman" w:hint="cs"/>
          <w:b w:val="0"/>
          <w:bCs w:val="0"/>
        </w:rPr>
        <w:t>86</w:t>
      </w:r>
      <w:r w:rsidR="00275969">
        <w:rPr>
          <w:rFonts w:ascii="Times New Roman" w:hAnsi="Times New Roman"/>
          <w:b w:val="0"/>
          <w:bCs w:val="0"/>
        </w:rPr>
        <w:t>-81</w:t>
      </w:r>
      <w:r w:rsidR="00275969">
        <w:rPr>
          <w:rFonts w:hint="cs"/>
          <w:rtl/>
        </w:rPr>
        <w:t xml:space="preserve"> </w:t>
      </w:r>
      <w:r w:rsidR="00A42206" w:rsidRPr="00275969">
        <w:rPr>
          <w:rFonts w:ascii="Times New Roman" w:hAnsi="Times New Roman" w:hint="cs"/>
          <w:b w:val="0"/>
          <w:bCs w:val="0"/>
          <w:rtl/>
        </w:rPr>
        <w:t>مناسباً ل</w:t>
      </w:r>
      <w:r w:rsidR="00A42206" w:rsidRPr="00275969">
        <w:rPr>
          <w:rFonts w:ascii="Times New Roman" w:hAnsi="Times New Roman"/>
          <w:b w:val="0"/>
          <w:bCs w:val="0"/>
          <w:rtl/>
        </w:rPr>
        <w:t xml:space="preserve">لاتصالات المتنقلة الدولية </w:t>
      </w:r>
      <w:r w:rsidR="00275969">
        <w:rPr>
          <w:rFonts w:ascii="Times New Roman" w:hAnsi="Times New Roman"/>
          <w:b w:val="0"/>
          <w:bCs w:val="0"/>
        </w:rPr>
        <w:t>(</w:t>
      </w:r>
      <w:r w:rsidR="00A42206" w:rsidRPr="00275969">
        <w:rPr>
          <w:rFonts w:ascii="Times New Roman" w:hAnsi="Times New Roman"/>
          <w:b w:val="0"/>
          <w:bCs w:val="0"/>
        </w:rPr>
        <w:t>IMT</w:t>
      </w:r>
      <w:r w:rsidR="00275969">
        <w:rPr>
          <w:rFonts w:ascii="Times New Roman" w:hAnsi="Times New Roman"/>
          <w:b w:val="0"/>
          <w:bCs w:val="0"/>
        </w:rPr>
        <w:t>)</w:t>
      </w:r>
      <w:r w:rsidR="00A42206" w:rsidRPr="00275969">
        <w:rPr>
          <w:rFonts w:ascii="Times New Roman" w:hAnsi="Times New Roman" w:hint="cs"/>
          <w:b w:val="0"/>
          <w:bCs w:val="0"/>
          <w:rtl/>
        </w:rPr>
        <w:t>.</w:t>
      </w:r>
    </w:p>
    <w:p w14:paraId="35D30FE0" w14:textId="7958C506" w:rsidR="00A42DF6" w:rsidRPr="00A42DF6" w:rsidRDefault="00A42DF6" w:rsidP="006B5D6D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</w:t>
      </w:r>
    </w:p>
    <w:sectPr w:rsidR="00A42DF6" w:rsidRPr="00A42DF6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30FE1" w14:textId="77777777" w:rsidR="007A1B6C" w:rsidRDefault="007A1B6C" w:rsidP="002919E1">
      <w:r>
        <w:separator/>
      </w:r>
    </w:p>
    <w:p w14:paraId="31A505C7" w14:textId="77777777" w:rsidR="007A1B6C" w:rsidRDefault="007A1B6C" w:rsidP="002919E1"/>
    <w:p w14:paraId="22DB715F" w14:textId="77777777" w:rsidR="007A1B6C" w:rsidRDefault="007A1B6C" w:rsidP="002919E1"/>
    <w:p w14:paraId="57990754" w14:textId="77777777" w:rsidR="007A1B6C" w:rsidRDefault="007A1B6C"/>
  </w:endnote>
  <w:endnote w:type="continuationSeparator" w:id="0">
    <w:p w14:paraId="33720D6E" w14:textId="77777777" w:rsidR="007A1B6C" w:rsidRDefault="007A1B6C" w:rsidP="002919E1">
      <w:r>
        <w:continuationSeparator/>
      </w:r>
    </w:p>
    <w:p w14:paraId="397A1086" w14:textId="77777777" w:rsidR="007A1B6C" w:rsidRDefault="007A1B6C" w:rsidP="002919E1"/>
    <w:p w14:paraId="1AD8BD2C" w14:textId="77777777" w:rsidR="007A1B6C" w:rsidRDefault="007A1B6C" w:rsidP="002919E1"/>
    <w:p w14:paraId="07DE0852" w14:textId="77777777" w:rsidR="007A1B6C" w:rsidRDefault="007A1B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A5198" w14:textId="6565F7A4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AF6C4A">
      <w:rPr>
        <w:noProof/>
      </w:rPr>
      <w:t>P:\ARA\ITU-R\CONF-R\CMR19\000\016ADD13ADD10A.docx</w:t>
    </w:r>
    <w:r>
      <w:fldChar w:fldCharType="end"/>
    </w:r>
    <w:r w:rsidRPr="00A809E8">
      <w:t xml:space="preserve">   (</w:t>
    </w:r>
    <w:r w:rsidR="00275969">
      <w:t>461999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C65C6" w14:textId="345B9663" w:rsidR="00281F5F" w:rsidRPr="008927F5" w:rsidRDefault="008927F5" w:rsidP="006B5D6D">
    <w:pPr>
      <w:pStyle w:val="Footer"/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AF6C4A">
      <w:rPr>
        <w:noProof/>
        <w:lang w:val="es-ES"/>
      </w:rPr>
      <w:t>P:\ARA\ITU-R\CONF-R\CMR19\000\016ADD13ADD10A.docx</w:t>
    </w:r>
    <w:r>
      <w:fldChar w:fldCharType="end"/>
    </w:r>
    <w:proofErr w:type="gramStart"/>
    <w:r w:rsidR="00275969" w:rsidRPr="00A809E8">
      <w:t xml:space="preserve">   (</w:t>
    </w:r>
    <w:proofErr w:type="gramEnd"/>
    <w:r w:rsidR="00275969">
      <w:t>461999</w:t>
    </w:r>
    <w:r w:rsidR="00275969" w:rsidRPr="00A809E8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45776" w14:textId="77777777" w:rsidR="007A1B6C" w:rsidRDefault="007A1B6C" w:rsidP="002919E1">
      <w:r>
        <w:t>___________________</w:t>
      </w:r>
    </w:p>
  </w:footnote>
  <w:footnote w:type="continuationSeparator" w:id="0">
    <w:p w14:paraId="0ECDC23D" w14:textId="77777777" w:rsidR="007A1B6C" w:rsidRDefault="007A1B6C" w:rsidP="002919E1">
      <w:r>
        <w:continuationSeparator/>
      </w:r>
    </w:p>
    <w:p w14:paraId="06A151DD" w14:textId="77777777" w:rsidR="007A1B6C" w:rsidRDefault="007A1B6C" w:rsidP="002919E1"/>
    <w:p w14:paraId="75CE4B7F" w14:textId="77777777" w:rsidR="007A1B6C" w:rsidRDefault="007A1B6C" w:rsidP="002919E1"/>
    <w:p w14:paraId="06333A88" w14:textId="77777777" w:rsidR="007A1B6C" w:rsidRDefault="007A1B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585CE" w14:textId="77777777" w:rsidR="00281F5F" w:rsidRDefault="00281F5F" w:rsidP="002919E1"/>
  <w:p w14:paraId="10AAE27E" w14:textId="77777777" w:rsidR="00281F5F" w:rsidRDefault="00281F5F" w:rsidP="002919E1"/>
  <w:p w14:paraId="06BFA729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2B9EF" w14:textId="77777777" w:rsidR="00281F5F" w:rsidRPr="008927F5" w:rsidRDefault="008927F5" w:rsidP="00420680">
    <w:pPr>
      <w:bidi w:val="0"/>
      <w:spacing w:before="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Pr="00275969"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</w:t>
    </w:r>
    <w:r w:rsidRPr="00275969">
      <w:rPr>
        <w:rStyle w:val="PageNumber"/>
      </w:rPr>
      <w:t>19</w:t>
    </w:r>
    <w:r w:rsidRPr="0088384B">
      <w:rPr>
        <w:rStyle w:val="PageNumber"/>
      </w:rPr>
      <w:t>/</w:t>
    </w:r>
    <w:r w:rsidRPr="00275969">
      <w:rPr>
        <w:rStyle w:val="PageNumber"/>
      </w:rPr>
      <w:t>16</w:t>
    </w:r>
    <w:r>
      <w:rPr>
        <w:rStyle w:val="PageNumber"/>
      </w:rPr>
      <w:t>(Add.</w:t>
    </w:r>
    <w:r w:rsidRPr="00275969">
      <w:rPr>
        <w:rStyle w:val="PageNumber"/>
      </w:rPr>
      <w:t>13</w:t>
    </w:r>
    <w:r>
      <w:rPr>
        <w:rStyle w:val="PageNumber"/>
      </w:rPr>
      <w:t>)(Add.</w:t>
    </w:r>
    <w:r w:rsidRPr="00275969">
      <w:rPr>
        <w:rStyle w:val="PageNumber"/>
      </w:rPr>
      <w:t>10</w:t>
    </w:r>
    <w:r>
      <w:rPr>
        <w:rStyle w:val="PageNumber"/>
      </w:rPr>
      <w:t>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9AE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4CF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0226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F292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1970"/>
    <w:rsid w:val="00167364"/>
    <w:rsid w:val="001903B2"/>
    <w:rsid w:val="001B0F78"/>
    <w:rsid w:val="001B5953"/>
    <w:rsid w:val="001D60A6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26327"/>
    <w:rsid w:val="002333A0"/>
    <w:rsid w:val="002543CF"/>
    <w:rsid w:val="0026062E"/>
    <w:rsid w:val="00260F50"/>
    <w:rsid w:val="00261EF7"/>
    <w:rsid w:val="0027069F"/>
    <w:rsid w:val="00275969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01A7A"/>
    <w:rsid w:val="00311E3F"/>
    <w:rsid w:val="00314B1E"/>
    <w:rsid w:val="0033724A"/>
    <w:rsid w:val="0033737F"/>
    <w:rsid w:val="00346237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0680"/>
    <w:rsid w:val="00422C04"/>
    <w:rsid w:val="00423A40"/>
    <w:rsid w:val="00426144"/>
    <w:rsid w:val="004636E2"/>
    <w:rsid w:val="00470CBD"/>
    <w:rsid w:val="0047407D"/>
    <w:rsid w:val="004909DD"/>
    <w:rsid w:val="004A05E6"/>
    <w:rsid w:val="004A09F7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2991"/>
    <w:rsid w:val="00613492"/>
    <w:rsid w:val="00616E37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A4BEC"/>
    <w:rsid w:val="006B036D"/>
    <w:rsid w:val="006B4B90"/>
    <w:rsid w:val="006B5D6D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4CC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A1B6C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521FF"/>
    <w:rsid w:val="00960962"/>
    <w:rsid w:val="00972CE0"/>
    <w:rsid w:val="009A3D30"/>
    <w:rsid w:val="009A6E91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206"/>
    <w:rsid w:val="00A42709"/>
    <w:rsid w:val="00A42ADC"/>
    <w:rsid w:val="00A42DF6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AF6C4A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457E3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330B"/>
    <w:rsid w:val="00E2476B"/>
    <w:rsid w:val="00E2489D"/>
    <w:rsid w:val="00E26520"/>
    <w:rsid w:val="00E343A3"/>
    <w:rsid w:val="00E47F77"/>
    <w:rsid w:val="00E51BFA"/>
    <w:rsid w:val="00E611F1"/>
    <w:rsid w:val="00E621A3"/>
    <w:rsid w:val="00E833BC"/>
    <w:rsid w:val="00E8580E"/>
    <w:rsid w:val="00E97E21"/>
    <w:rsid w:val="00EA135F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580AEEB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R16-WRC19-C-0016!A13-A10!MSW-A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C04CE-D1FB-4827-AE87-35C5B30D58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880A33-173A-4BF0-B8AD-849CAB98A8EB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9BCE8B7C-4A3F-4C1B-BBC1-57F5B761700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DC881C4-1105-4FBF-8EF3-D75C24D6EB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665F35B-1321-4F9A-B864-B7E118C94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281</Words>
  <Characters>1509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R16-WRC19-C-0016!A13-A10!MSW-A</vt:lpstr>
    </vt:vector>
  </TitlesOfParts>
  <Manager>General Secretariat - Pool</Manager>
  <Company>International Telecommunication Union (ITU)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R16-WRC19-C-0016!A13-A10!MSW-A</dc:title>
  <dc:creator>Documents Proposals Manager (DPM)</dc:creator>
  <cp:keywords>DPM_v2019.10.15.2_prod</cp:keywords>
  <cp:lastModifiedBy>Riz, Imad</cp:lastModifiedBy>
  <cp:revision>7</cp:revision>
  <cp:lastPrinted>2019-10-21T11:59:00Z</cp:lastPrinted>
  <dcterms:created xsi:type="dcterms:W3CDTF">2019-10-21T09:09:00Z</dcterms:created>
  <dcterms:modified xsi:type="dcterms:W3CDTF">2019-10-21T11:59:00Z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