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736C9" w14:paraId="368B5A10" w14:textId="77777777" w:rsidTr="0050008E">
        <w:trPr>
          <w:cantSplit/>
        </w:trPr>
        <w:tc>
          <w:tcPr>
            <w:tcW w:w="6911" w:type="dxa"/>
          </w:tcPr>
          <w:p w14:paraId="6CA9147C" w14:textId="77777777" w:rsidR="0090121B" w:rsidRPr="000736C9" w:rsidRDefault="005D46FB" w:rsidP="0012263D">
            <w:pPr>
              <w:spacing w:before="400" w:after="48"/>
              <w:rPr>
                <w:rFonts w:ascii="Verdana" w:hAnsi="Verdana"/>
                <w:position w:val="6"/>
              </w:rPr>
            </w:pPr>
            <w:r w:rsidRPr="000736C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0736C9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0736C9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0736C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0736C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2D83DB93" w14:textId="77777777" w:rsidR="0090121B" w:rsidRPr="000736C9" w:rsidRDefault="00DA71A3" w:rsidP="0012263D">
            <w:pPr>
              <w:spacing w:before="0"/>
              <w:jc w:val="right"/>
            </w:pPr>
            <w:bookmarkStart w:id="0" w:name="ditulogo"/>
            <w:bookmarkEnd w:id="0"/>
            <w:r w:rsidRPr="000736C9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381EBDF4" wp14:editId="0E6A14D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736C9" w14:paraId="717420CA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B0AF27A" w14:textId="77777777" w:rsidR="0090121B" w:rsidRPr="000736C9" w:rsidRDefault="0090121B" w:rsidP="0012263D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E0503EC" w14:textId="77777777" w:rsidR="0090121B" w:rsidRPr="000736C9" w:rsidRDefault="0090121B" w:rsidP="0012263D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0736C9" w14:paraId="32DE1074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F1ADE18" w14:textId="77777777" w:rsidR="0090121B" w:rsidRPr="000736C9" w:rsidRDefault="0090121B" w:rsidP="0012263D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4C70A2D" w14:textId="77777777" w:rsidR="0090121B" w:rsidRPr="000736C9" w:rsidRDefault="0090121B" w:rsidP="0012263D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0736C9" w14:paraId="7A7F5D98" w14:textId="77777777" w:rsidTr="0090121B">
        <w:trPr>
          <w:cantSplit/>
        </w:trPr>
        <w:tc>
          <w:tcPr>
            <w:tcW w:w="6911" w:type="dxa"/>
          </w:tcPr>
          <w:p w14:paraId="0C29FD26" w14:textId="77777777" w:rsidR="0090121B" w:rsidRPr="000736C9" w:rsidRDefault="001E7D42" w:rsidP="0012263D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0736C9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41E14776" w14:textId="77777777" w:rsidR="0090121B" w:rsidRPr="000736C9" w:rsidRDefault="00AE658F" w:rsidP="0012263D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0736C9">
              <w:rPr>
                <w:rFonts w:ascii="Verdana" w:hAnsi="Verdana"/>
                <w:b/>
                <w:sz w:val="18"/>
                <w:szCs w:val="18"/>
              </w:rPr>
              <w:t>Addéndum 13 al</w:t>
            </w:r>
            <w:r w:rsidRPr="000736C9">
              <w:rPr>
                <w:rFonts w:ascii="Verdana" w:hAnsi="Verdana"/>
                <w:b/>
                <w:sz w:val="18"/>
                <w:szCs w:val="18"/>
              </w:rPr>
              <w:br/>
              <w:t>Documento 16</w:t>
            </w:r>
            <w:r w:rsidR="0090121B" w:rsidRPr="000736C9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0736C9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0736C9" w14:paraId="619D60A4" w14:textId="77777777" w:rsidTr="0090121B">
        <w:trPr>
          <w:cantSplit/>
        </w:trPr>
        <w:tc>
          <w:tcPr>
            <w:tcW w:w="6911" w:type="dxa"/>
          </w:tcPr>
          <w:p w14:paraId="0336875C" w14:textId="77777777" w:rsidR="000A5B9A" w:rsidRPr="000736C9" w:rsidRDefault="000A5B9A" w:rsidP="0012263D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DF380B4" w14:textId="76DCBEAB" w:rsidR="000A5B9A" w:rsidRPr="000736C9" w:rsidRDefault="00E46962" w:rsidP="0012263D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736C9">
              <w:rPr>
                <w:rFonts w:ascii="Verdana" w:hAnsi="Verdana"/>
                <w:b/>
                <w:sz w:val="18"/>
                <w:szCs w:val="18"/>
              </w:rPr>
              <w:t xml:space="preserve">4 </w:t>
            </w:r>
            <w:r w:rsidR="000A5B9A" w:rsidRPr="000736C9">
              <w:rPr>
                <w:rFonts w:ascii="Verdana" w:hAnsi="Verdana"/>
                <w:b/>
                <w:sz w:val="18"/>
                <w:szCs w:val="18"/>
              </w:rPr>
              <w:t>de octubre de 2019</w:t>
            </w:r>
          </w:p>
        </w:tc>
      </w:tr>
      <w:tr w:rsidR="000A5B9A" w:rsidRPr="000736C9" w14:paraId="11B4048F" w14:textId="77777777" w:rsidTr="0090121B">
        <w:trPr>
          <w:cantSplit/>
        </w:trPr>
        <w:tc>
          <w:tcPr>
            <w:tcW w:w="6911" w:type="dxa"/>
          </w:tcPr>
          <w:p w14:paraId="6D916FF5" w14:textId="77777777" w:rsidR="000A5B9A" w:rsidRPr="000736C9" w:rsidRDefault="000A5B9A" w:rsidP="0012263D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F80F7EC" w14:textId="77777777" w:rsidR="000A5B9A" w:rsidRPr="000736C9" w:rsidRDefault="000A5B9A" w:rsidP="0012263D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736C9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0736C9" w14:paraId="52E7AEEC" w14:textId="77777777" w:rsidTr="006744FC">
        <w:trPr>
          <w:cantSplit/>
        </w:trPr>
        <w:tc>
          <w:tcPr>
            <w:tcW w:w="10031" w:type="dxa"/>
            <w:gridSpan w:val="2"/>
          </w:tcPr>
          <w:p w14:paraId="421FA41C" w14:textId="77777777" w:rsidR="000A5B9A" w:rsidRPr="000736C9" w:rsidRDefault="000A5B9A" w:rsidP="0012263D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0736C9" w14:paraId="18CCB679" w14:textId="77777777" w:rsidTr="0050008E">
        <w:trPr>
          <w:cantSplit/>
        </w:trPr>
        <w:tc>
          <w:tcPr>
            <w:tcW w:w="10031" w:type="dxa"/>
            <w:gridSpan w:val="2"/>
          </w:tcPr>
          <w:p w14:paraId="1D2E6B07" w14:textId="77777777" w:rsidR="000A5B9A" w:rsidRPr="000736C9" w:rsidRDefault="000A5B9A" w:rsidP="0012263D">
            <w:pPr>
              <w:pStyle w:val="Source"/>
              <w:spacing w:before="760"/>
            </w:pPr>
            <w:bookmarkStart w:id="2" w:name="dsource" w:colFirst="0" w:colLast="0"/>
            <w:r w:rsidRPr="000736C9">
              <w:t>Propuestas Comunes Europeas</w:t>
            </w:r>
          </w:p>
        </w:tc>
      </w:tr>
      <w:tr w:rsidR="000A5B9A" w:rsidRPr="000736C9" w14:paraId="71B69093" w14:textId="77777777" w:rsidTr="0050008E">
        <w:trPr>
          <w:cantSplit/>
        </w:trPr>
        <w:tc>
          <w:tcPr>
            <w:tcW w:w="10031" w:type="dxa"/>
            <w:gridSpan w:val="2"/>
          </w:tcPr>
          <w:p w14:paraId="00810C03" w14:textId="77777777" w:rsidR="000A5B9A" w:rsidRPr="000736C9" w:rsidRDefault="000A5B9A" w:rsidP="0012263D">
            <w:pPr>
              <w:pStyle w:val="Title1"/>
            </w:pPr>
            <w:bookmarkStart w:id="3" w:name="dtitle1" w:colFirst="0" w:colLast="0"/>
            <w:bookmarkEnd w:id="2"/>
            <w:r w:rsidRPr="000736C9">
              <w:t>Propuestas para los trabajos de la Conferencia</w:t>
            </w:r>
          </w:p>
        </w:tc>
      </w:tr>
      <w:tr w:rsidR="000A5B9A" w:rsidRPr="000736C9" w14:paraId="292482E4" w14:textId="77777777" w:rsidTr="0050008E">
        <w:trPr>
          <w:cantSplit/>
        </w:trPr>
        <w:tc>
          <w:tcPr>
            <w:tcW w:w="10031" w:type="dxa"/>
            <w:gridSpan w:val="2"/>
          </w:tcPr>
          <w:p w14:paraId="03D54E2B" w14:textId="77777777" w:rsidR="000A5B9A" w:rsidRPr="000736C9" w:rsidRDefault="000A5B9A" w:rsidP="0012263D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0736C9" w14:paraId="339CAD22" w14:textId="77777777" w:rsidTr="0050008E">
        <w:trPr>
          <w:cantSplit/>
        </w:trPr>
        <w:tc>
          <w:tcPr>
            <w:tcW w:w="10031" w:type="dxa"/>
            <w:gridSpan w:val="2"/>
          </w:tcPr>
          <w:p w14:paraId="78BE324D" w14:textId="77777777" w:rsidR="000A5B9A" w:rsidRPr="000736C9" w:rsidRDefault="000A5B9A" w:rsidP="0012263D">
            <w:pPr>
              <w:pStyle w:val="Agendaitem"/>
            </w:pPr>
            <w:bookmarkStart w:id="5" w:name="dtitle3" w:colFirst="0" w:colLast="0"/>
            <w:bookmarkEnd w:id="4"/>
            <w:r w:rsidRPr="000736C9">
              <w:t>Punto 1.13 del orden del día</w:t>
            </w:r>
          </w:p>
        </w:tc>
      </w:tr>
    </w:tbl>
    <w:bookmarkEnd w:id="5"/>
    <w:p w14:paraId="1CAAC041" w14:textId="77777777" w:rsidR="001C0E40" w:rsidRPr="000736C9" w:rsidRDefault="00732BC2" w:rsidP="0012263D">
      <w:r w:rsidRPr="000736C9">
        <w:t>1.13</w:t>
      </w:r>
      <w:r w:rsidRPr="000736C9">
        <w:tab/>
        <w:t xml:space="preserve">considerar la identificación de bandas de frecuencias para el futuro despliegue de las Telecomunicaciones Móviles Internacionales </w:t>
      </w:r>
      <w:r w:rsidRPr="000736C9">
        <w:rPr>
          <w:lang w:eastAsia="ja-JP"/>
        </w:rPr>
        <w:t>(</w:t>
      </w:r>
      <w:r w:rsidRPr="000736C9">
        <w:t>IMT</w:t>
      </w:r>
      <w:r w:rsidRPr="000736C9">
        <w:rPr>
          <w:lang w:eastAsia="ko-KR"/>
        </w:rPr>
        <w:t>)</w:t>
      </w:r>
      <w:r w:rsidRPr="000736C9">
        <w:t>, incluidas posibles atribuciones adicionales al servicio móvil a título primario, de conformidad con la Resolución </w:t>
      </w:r>
      <w:r w:rsidRPr="000736C9">
        <w:rPr>
          <w:rFonts w:eastAsia="SimSun"/>
          <w:b/>
          <w:szCs w:val="24"/>
          <w:lang w:eastAsia="zh-CN"/>
        </w:rPr>
        <w:t>238 (CMR-15)</w:t>
      </w:r>
      <w:r w:rsidRPr="000736C9">
        <w:rPr>
          <w:rFonts w:eastAsia="SimSun"/>
          <w:szCs w:val="24"/>
          <w:lang w:eastAsia="zh-CN"/>
        </w:rPr>
        <w:t>;</w:t>
      </w:r>
    </w:p>
    <w:p w14:paraId="48737E91" w14:textId="77777777" w:rsidR="00507A62" w:rsidRPr="000736C9" w:rsidRDefault="00507A62" w:rsidP="0012263D">
      <w:pPr>
        <w:rPr>
          <w:rFonts w:eastAsia="SimSun"/>
          <w:sz w:val="20"/>
        </w:rPr>
      </w:pPr>
      <w:r w:rsidRPr="000736C9">
        <w:t xml:space="preserve">Resolución </w:t>
      </w:r>
      <w:r w:rsidRPr="000736C9">
        <w:rPr>
          <w:b/>
          <w:bCs/>
        </w:rPr>
        <w:t>238 (CMR</w:t>
      </w:r>
      <w:r w:rsidRPr="000736C9">
        <w:rPr>
          <w:b/>
          <w:bCs/>
        </w:rPr>
        <w:noBreakHyphen/>
        <w:t>15)</w:t>
      </w:r>
      <w:r w:rsidRPr="000736C9">
        <w:t xml:space="preserve"> – </w:t>
      </w:r>
      <w:r w:rsidRPr="000736C9">
        <w:rPr>
          <w:rFonts w:eastAsia="SimSun"/>
          <w:i/>
          <w:iCs/>
        </w:rPr>
        <w:t>Estudios sobre asuntos relacionados con las frecuencias para la identificación de las telecomunicaciones móviles internacionales, incluidas posibles atribuciones adicionales al servicio móvil a título primario en partes de la gama de frecuencias comprendida entre 24,25 y 86 GHz con miras al futuro desarrollo de las IMT para 2020 y años posteriores</w:t>
      </w:r>
    </w:p>
    <w:p w14:paraId="53F1277F" w14:textId="7027D7EA" w:rsidR="00507A62" w:rsidRPr="000736C9" w:rsidRDefault="006A4C72" w:rsidP="0012263D">
      <w:pPr>
        <w:pStyle w:val="Headingb"/>
      </w:pPr>
      <w:r w:rsidRPr="000736C9">
        <w:t>Introducción</w:t>
      </w:r>
      <w:bookmarkStart w:id="6" w:name="_GoBack"/>
      <w:bookmarkEnd w:id="6"/>
    </w:p>
    <w:p w14:paraId="6C9DE4E9" w14:textId="272619A3" w:rsidR="00CA16CD" w:rsidRPr="000736C9" w:rsidRDefault="00CA16CD" w:rsidP="0012263D">
      <w:r w:rsidRPr="000736C9">
        <w:t>E</w:t>
      </w:r>
      <w:r w:rsidR="00A97B5D" w:rsidRPr="000736C9">
        <w:t>n el mar</w:t>
      </w:r>
      <w:r w:rsidR="00EF3F8A" w:rsidRPr="000736C9">
        <w:t>c</w:t>
      </w:r>
      <w:r w:rsidR="00A97B5D" w:rsidRPr="000736C9">
        <w:t xml:space="preserve">o del punto 1.13 del orden del día se </w:t>
      </w:r>
      <w:r w:rsidRPr="000736C9">
        <w:t xml:space="preserve">estudian </w:t>
      </w:r>
      <w:r w:rsidR="00A97B5D" w:rsidRPr="000736C9">
        <w:t xml:space="preserve">las </w:t>
      </w:r>
      <w:r w:rsidRPr="000736C9">
        <w:t xml:space="preserve">atribuciones </w:t>
      </w:r>
      <w:r w:rsidR="00A97B5D" w:rsidRPr="000736C9">
        <w:t xml:space="preserve">adicionales </w:t>
      </w:r>
      <w:r w:rsidRPr="000736C9">
        <w:t xml:space="preserve">de espectro </w:t>
      </w:r>
      <w:r w:rsidR="00A97B5D" w:rsidRPr="000736C9">
        <w:t xml:space="preserve">que </w:t>
      </w:r>
      <w:r w:rsidR="00011FCD" w:rsidRPr="000736C9">
        <w:t xml:space="preserve">podrían </w:t>
      </w:r>
      <w:r w:rsidR="00A97B5D" w:rsidRPr="000736C9">
        <w:t xml:space="preserve">ser adecuadas </w:t>
      </w:r>
      <w:r w:rsidRPr="000736C9">
        <w:t xml:space="preserve">para </w:t>
      </w:r>
      <w:r w:rsidR="00A97B5D" w:rsidRPr="000736C9">
        <w:t xml:space="preserve">la prestación de </w:t>
      </w:r>
      <w:r w:rsidRPr="000736C9">
        <w:t xml:space="preserve">servicios de banda ancha inalámbrica terrenal en la gama de frecuencias </w:t>
      </w:r>
      <w:r w:rsidR="00A97B5D" w:rsidRPr="000736C9">
        <w:t xml:space="preserve">comprendida </w:t>
      </w:r>
      <w:r w:rsidRPr="000736C9">
        <w:t xml:space="preserve">entre 24,25 GHz y 86 GHz. Para ello se tendrán en cuenta los siguientes elementos </w:t>
      </w:r>
      <w:r w:rsidR="00EF3F8A" w:rsidRPr="000736C9">
        <w:t xml:space="preserve">que se exponen en detalle </w:t>
      </w:r>
      <w:r w:rsidRPr="000736C9">
        <w:t xml:space="preserve">en la Resolución </w:t>
      </w:r>
      <w:r w:rsidRPr="000736C9">
        <w:rPr>
          <w:b/>
          <w:bCs/>
        </w:rPr>
        <w:t>238</w:t>
      </w:r>
      <w:r w:rsidRPr="000736C9">
        <w:t>:</w:t>
      </w:r>
    </w:p>
    <w:p w14:paraId="0063C2F9" w14:textId="439325EB" w:rsidR="00CA16CD" w:rsidRPr="000736C9" w:rsidRDefault="00CA16CD" w:rsidP="0012263D">
      <w:pPr>
        <w:pStyle w:val="enumlev1"/>
      </w:pPr>
      <w:r w:rsidRPr="000736C9">
        <w:t>–</w:t>
      </w:r>
      <w:r w:rsidRPr="000736C9">
        <w:tab/>
        <w:t>las necesidades de espectro para la componente terrenal de las IMT</w:t>
      </w:r>
      <w:r w:rsidR="00400338" w:rsidRPr="000736C9">
        <w:t>;</w:t>
      </w:r>
    </w:p>
    <w:p w14:paraId="0E3B758B" w14:textId="1D5F7A77" w:rsidR="00CA16CD" w:rsidRPr="000736C9" w:rsidRDefault="00CA16CD" w:rsidP="0012263D">
      <w:pPr>
        <w:pStyle w:val="enumlev1"/>
      </w:pPr>
      <w:r w:rsidRPr="000736C9">
        <w:t>–</w:t>
      </w:r>
      <w:r w:rsidRPr="000736C9">
        <w:tab/>
        <w:t>los estudios de compartición y compatibilidad</w:t>
      </w:r>
      <w:r w:rsidR="00963448" w:rsidRPr="000736C9">
        <w:rPr>
          <w:rStyle w:val="FootnoteReference"/>
        </w:rPr>
        <w:footnoteReference w:id="1"/>
      </w:r>
      <w:r w:rsidRPr="000736C9">
        <w:t xml:space="preserve"> para las siguientes bandas de frecuencias:</w:t>
      </w:r>
    </w:p>
    <w:p w14:paraId="249E0EED" w14:textId="7F227039" w:rsidR="00623D92" w:rsidRPr="000736C9" w:rsidRDefault="00CA16CD" w:rsidP="0012263D">
      <w:pPr>
        <w:pStyle w:val="enumlev2"/>
      </w:pPr>
      <w:r w:rsidRPr="000736C9">
        <w:t>–</w:t>
      </w:r>
      <w:r w:rsidRPr="000736C9">
        <w:tab/>
      </w:r>
      <w:r w:rsidR="00623D92" w:rsidRPr="000736C9">
        <w:t>24,25-27,5 GHz</w:t>
      </w:r>
      <w:r w:rsidR="00623D92" w:rsidRPr="000736C9">
        <w:rPr>
          <w:vertAlign w:val="superscript"/>
        </w:rPr>
        <w:footnoteReference w:id="2"/>
      </w:r>
      <w:r w:rsidR="00623D92" w:rsidRPr="000736C9">
        <w:t>, 37-40,5 GHz, 42,5-43,5 GHz, 45,5-47 GHz, 47,2-50,2 GHz, 50,4-52,6 GHz, 66-76 GHz y 81-86 GHz</w:t>
      </w:r>
      <w:r w:rsidR="00400338" w:rsidRPr="000736C9">
        <w:t>;</w:t>
      </w:r>
    </w:p>
    <w:p w14:paraId="3CBFBF73" w14:textId="4561CF99" w:rsidR="00507A62" w:rsidRPr="000736C9" w:rsidRDefault="0069375D" w:rsidP="0012263D">
      <w:pPr>
        <w:pStyle w:val="enumlev2"/>
      </w:pPr>
      <w:r w:rsidRPr="000736C9">
        <w:t>–</w:t>
      </w:r>
      <w:r w:rsidR="00011FCD" w:rsidRPr="000736C9">
        <w:tab/>
      </w:r>
      <w:r w:rsidR="00623D92" w:rsidRPr="000736C9">
        <w:t>31,8-33,4 GHz, 40,5-42,5 GHz y 47-47,2 GHz</w:t>
      </w:r>
      <w:r w:rsidR="00400338" w:rsidRPr="000736C9">
        <w:t>.</w:t>
      </w:r>
    </w:p>
    <w:p w14:paraId="09844058" w14:textId="1F08B016" w:rsidR="00963448" w:rsidRPr="000736C9" w:rsidRDefault="00963448" w:rsidP="00CC61CE">
      <w:pPr>
        <w:pStyle w:val="Headingb"/>
      </w:pPr>
      <w:r w:rsidRPr="000736C9">
        <w:lastRenderedPageBreak/>
        <w:t xml:space="preserve">Resumen de las </w:t>
      </w:r>
      <w:r w:rsidR="00EF3F8A" w:rsidRPr="000736C9">
        <w:t>p</w:t>
      </w:r>
      <w:r w:rsidRPr="000736C9">
        <w:t xml:space="preserve">ropuestas </w:t>
      </w:r>
      <w:r w:rsidR="00EF3F8A" w:rsidRPr="000736C9">
        <w:t>e</w:t>
      </w:r>
      <w:r w:rsidRPr="000736C9">
        <w:t>uropeas sobre las bandas de frecuencia</w:t>
      </w:r>
      <w:r w:rsidR="004E7256" w:rsidRPr="000736C9">
        <w:t>s</w:t>
      </w:r>
    </w:p>
    <w:p w14:paraId="31A5167C" w14:textId="1809A8C7" w:rsidR="00963448" w:rsidRPr="000736C9" w:rsidRDefault="00963448" w:rsidP="0012263D">
      <w:r w:rsidRPr="000736C9">
        <w:t xml:space="preserve">Estas </w:t>
      </w:r>
      <w:r w:rsidR="00EF3F8A" w:rsidRPr="000736C9">
        <w:t>p</w:t>
      </w:r>
      <w:r w:rsidRPr="000736C9">
        <w:t>ropuestas</w:t>
      </w:r>
      <w:r w:rsidR="004655AB" w:rsidRPr="000736C9">
        <w:t xml:space="preserve"> </w:t>
      </w:r>
      <w:r w:rsidR="00EF3F8A" w:rsidRPr="000736C9">
        <w:t>apoya</w:t>
      </w:r>
      <w:r w:rsidR="004655AB" w:rsidRPr="000736C9">
        <w:t>n</w:t>
      </w:r>
      <w:r w:rsidR="00EF3F8A" w:rsidRPr="000736C9">
        <w:t xml:space="preserve"> </w:t>
      </w:r>
      <w:r w:rsidRPr="000736C9">
        <w:t xml:space="preserve">la </w:t>
      </w:r>
      <w:r w:rsidR="00EF3F8A" w:rsidRPr="000736C9">
        <w:t xml:space="preserve">atribución </w:t>
      </w:r>
      <w:r w:rsidRPr="000736C9">
        <w:t>de la</w:t>
      </w:r>
      <w:r w:rsidR="00EF3F8A" w:rsidRPr="000736C9">
        <w:t>s</w:t>
      </w:r>
      <w:r w:rsidRPr="000736C9">
        <w:t xml:space="preserve"> banda</w:t>
      </w:r>
      <w:r w:rsidR="00EF3F8A" w:rsidRPr="000736C9">
        <w:t>s</w:t>
      </w:r>
      <w:r w:rsidRPr="000736C9">
        <w:t xml:space="preserve"> de frecuencias </w:t>
      </w:r>
      <w:r w:rsidR="00EF3F8A" w:rsidRPr="000736C9">
        <w:t xml:space="preserve">24,25-27,5 GHz, 40,5-43,5 GHz y 66-71 GHz </w:t>
      </w:r>
      <w:r w:rsidRPr="000736C9">
        <w:t xml:space="preserve">al servicio móvil a título primario en el Cuadro de atribución de bandas de frecuencias del Artículo </w:t>
      </w:r>
      <w:r w:rsidRPr="000736C9">
        <w:rPr>
          <w:b/>
        </w:rPr>
        <w:t>5</w:t>
      </w:r>
      <w:r w:rsidRPr="000736C9">
        <w:t xml:space="preserve"> y la identificación para las IMT, según proceda.</w:t>
      </w:r>
    </w:p>
    <w:p w14:paraId="255C5476" w14:textId="454ED89D" w:rsidR="00963448" w:rsidRPr="000736C9" w:rsidRDefault="00963448" w:rsidP="0012263D">
      <w:r w:rsidRPr="000736C9">
        <w:t xml:space="preserve">Estas </w:t>
      </w:r>
      <w:r w:rsidR="005863A3" w:rsidRPr="000736C9">
        <w:t>p</w:t>
      </w:r>
      <w:r w:rsidRPr="000736C9">
        <w:t xml:space="preserve">ropuestas </w:t>
      </w:r>
      <w:r w:rsidR="004655AB" w:rsidRPr="000736C9">
        <w:t>n</w:t>
      </w:r>
      <w:r w:rsidRPr="000736C9">
        <w:t xml:space="preserve">o </w:t>
      </w:r>
      <w:r w:rsidR="005863A3" w:rsidRPr="000736C9">
        <w:t>apoya</w:t>
      </w:r>
      <w:r w:rsidR="004655AB" w:rsidRPr="000736C9">
        <w:t>n</w:t>
      </w:r>
      <w:r w:rsidR="005863A3" w:rsidRPr="000736C9">
        <w:t xml:space="preserve"> </w:t>
      </w:r>
      <w:r w:rsidRPr="000736C9">
        <w:t>la atribución de las bandas de frecuencia</w:t>
      </w:r>
      <w:r w:rsidR="005863A3" w:rsidRPr="000736C9">
        <w:t>s</w:t>
      </w:r>
      <w:r w:rsidRPr="000736C9">
        <w:t xml:space="preserve"> </w:t>
      </w:r>
      <w:r w:rsidR="005863A3" w:rsidRPr="000736C9">
        <w:t>31,8-33,4 GHz, 47,0</w:t>
      </w:r>
      <w:r w:rsidR="00E46962" w:rsidRPr="000736C9">
        <w:noBreakHyphen/>
      </w:r>
      <w:r w:rsidR="005863A3" w:rsidRPr="000736C9">
        <w:t>47,2</w:t>
      </w:r>
      <w:r w:rsidR="00E46962" w:rsidRPr="000736C9">
        <w:t> </w:t>
      </w:r>
      <w:r w:rsidR="005863A3" w:rsidRPr="000736C9">
        <w:t>GHz</w:t>
      </w:r>
      <w:r w:rsidR="00511651" w:rsidRPr="000736C9">
        <w:t>,</w:t>
      </w:r>
      <w:r w:rsidR="005863A3" w:rsidRPr="000736C9">
        <w:t xml:space="preserve"> 47,2-50,2 GHz, 50,4-52,6 GHz, 71-76 GHz y 81-86 GHz</w:t>
      </w:r>
      <w:r w:rsidRPr="000736C9">
        <w:t xml:space="preserve"> al servicio móvil </w:t>
      </w:r>
      <w:r w:rsidR="005863A3" w:rsidRPr="000736C9">
        <w:t xml:space="preserve">a título primario </w:t>
      </w:r>
      <w:r w:rsidRPr="000736C9">
        <w:t xml:space="preserve">en el Cuadro de atribución de bandas de frecuencias del Artículo </w:t>
      </w:r>
      <w:r w:rsidRPr="000736C9">
        <w:rPr>
          <w:b/>
        </w:rPr>
        <w:t>5</w:t>
      </w:r>
      <w:r w:rsidRPr="000736C9">
        <w:t xml:space="preserve"> y la identificación para las IMT, según proceda.</w:t>
      </w:r>
    </w:p>
    <w:p w14:paraId="68134F42" w14:textId="3798D426" w:rsidR="00623D92" w:rsidRPr="000736C9" w:rsidRDefault="00011FCD" w:rsidP="0012263D">
      <w:r w:rsidRPr="000736C9">
        <w:t xml:space="preserve">En relación con </w:t>
      </w:r>
      <w:r w:rsidR="00623D92" w:rsidRPr="000736C9">
        <w:t xml:space="preserve">la banda 37-40,5 GHz, la propuesta europea </w:t>
      </w:r>
      <w:r w:rsidRPr="000736C9">
        <w:t>recogida</w:t>
      </w:r>
      <w:r w:rsidR="005863A3" w:rsidRPr="000736C9">
        <w:t xml:space="preserve"> en</w:t>
      </w:r>
      <w:r w:rsidR="00623D92" w:rsidRPr="000736C9">
        <w:t xml:space="preserve"> la Parte 8 </w:t>
      </w:r>
      <w:r w:rsidR="005863A3" w:rsidRPr="000736C9">
        <w:t>expone</w:t>
      </w:r>
      <w:r w:rsidR="00623D92" w:rsidRPr="000736C9">
        <w:t xml:space="preserve"> la opinión de la CEPT sobre </w:t>
      </w:r>
      <w:r w:rsidRPr="000736C9">
        <w:t>dicha</w:t>
      </w:r>
      <w:r w:rsidR="00623D92" w:rsidRPr="000736C9">
        <w:t xml:space="preserve"> banda, incluidas las condiciones </w:t>
      </w:r>
      <w:r w:rsidR="005863A3" w:rsidRPr="000736C9">
        <w:t>necesarias p</w:t>
      </w:r>
      <w:r w:rsidR="00623D92" w:rsidRPr="000736C9">
        <w:t xml:space="preserve">ara garantizar la protección de los servicios </w:t>
      </w:r>
      <w:r w:rsidRPr="000736C9">
        <w:t>establecidos</w:t>
      </w:r>
      <w:r w:rsidR="00623D92" w:rsidRPr="000736C9">
        <w:t xml:space="preserve"> en la banda 37-40,5 GHz y el SETS (pasivo) en la banda</w:t>
      </w:r>
      <w:r w:rsidR="00E541F9" w:rsidRPr="000736C9">
        <w:t> </w:t>
      </w:r>
      <w:r w:rsidR="00623D92" w:rsidRPr="000736C9">
        <w:t>36-37 GHz.</w:t>
      </w:r>
    </w:p>
    <w:p w14:paraId="35A646BB" w14:textId="35D1CE70" w:rsidR="00963448" w:rsidRPr="000736C9" w:rsidRDefault="00623D92" w:rsidP="0012263D">
      <w:r w:rsidRPr="000736C9">
        <w:t xml:space="preserve">Se apoya la supresión de la Resolución </w:t>
      </w:r>
      <w:r w:rsidRPr="000736C9">
        <w:rPr>
          <w:b/>
          <w:bCs/>
        </w:rPr>
        <w:t>238 (CMR-15)</w:t>
      </w:r>
      <w:r w:rsidRPr="000736C9">
        <w:t>.</w:t>
      </w:r>
    </w:p>
    <w:p w14:paraId="0CA1BBE7" w14:textId="73AAD6BD" w:rsidR="00963448" w:rsidRPr="000736C9" w:rsidRDefault="00963448" w:rsidP="0012263D">
      <w:r w:rsidRPr="000736C9">
        <w:t xml:space="preserve">Las </w:t>
      </w:r>
      <w:r w:rsidR="00011FCD" w:rsidRPr="000736C9">
        <w:t>p</w:t>
      </w:r>
      <w:r w:rsidRPr="000736C9">
        <w:t xml:space="preserve">ropuestas </w:t>
      </w:r>
      <w:r w:rsidR="00011FCD" w:rsidRPr="000736C9">
        <w:t>e</w:t>
      </w:r>
      <w:r w:rsidRPr="000736C9">
        <w:t xml:space="preserve">uropeas </w:t>
      </w:r>
      <w:r w:rsidR="00011FCD" w:rsidRPr="000736C9">
        <w:t>que se resumen más arriba s</w:t>
      </w:r>
      <w:r w:rsidRPr="000736C9">
        <w:t xml:space="preserve">e dividen en los siguientes </w:t>
      </w:r>
      <w:r w:rsidR="001A4C12" w:rsidRPr="000736C9">
        <w:t>addenda</w:t>
      </w:r>
      <w:r w:rsidRPr="000736C9">
        <w:t>:</w:t>
      </w:r>
    </w:p>
    <w:p w14:paraId="1C32606C" w14:textId="284E0022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1</w:t>
      </w:r>
      <w:r w:rsidRPr="000736C9">
        <w:tab/>
        <w:t>Part</w:t>
      </w:r>
      <w:r w:rsidR="00623D92" w:rsidRPr="000736C9">
        <w:t>e</w:t>
      </w:r>
      <w:r w:rsidRPr="000736C9">
        <w:t xml:space="preserve"> 1 – Band</w:t>
      </w:r>
      <w:r w:rsidR="00623D92" w:rsidRPr="000736C9">
        <w:t>a</w:t>
      </w:r>
      <w:r w:rsidRPr="000736C9">
        <w:t xml:space="preserve"> 24</w:t>
      </w:r>
      <w:r w:rsidR="00623D92" w:rsidRPr="000736C9">
        <w:t>,</w:t>
      </w:r>
      <w:r w:rsidRPr="000736C9">
        <w:t>25-27</w:t>
      </w:r>
      <w:r w:rsidR="00623D92" w:rsidRPr="000736C9">
        <w:t>,</w:t>
      </w:r>
      <w:r w:rsidRPr="000736C9">
        <w:t>5 GHz</w:t>
      </w:r>
    </w:p>
    <w:p w14:paraId="53A9C64E" w14:textId="5F750BAE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2</w:t>
      </w:r>
      <w:r w:rsidRPr="000736C9">
        <w:tab/>
        <w:t>Part</w:t>
      </w:r>
      <w:r w:rsidR="00623D92" w:rsidRPr="000736C9">
        <w:t>e</w:t>
      </w:r>
      <w:r w:rsidRPr="000736C9">
        <w:t xml:space="preserve"> 2 – Band</w:t>
      </w:r>
      <w:r w:rsidR="00623D92" w:rsidRPr="000736C9">
        <w:t>a</w:t>
      </w:r>
      <w:r w:rsidRPr="000736C9">
        <w:t xml:space="preserve"> 31</w:t>
      </w:r>
      <w:r w:rsidR="00623D92" w:rsidRPr="000736C9">
        <w:t>,</w:t>
      </w:r>
      <w:r w:rsidRPr="000736C9">
        <w:t>8-33</w:t>
      </w:r>
      <w:r w:rsidR="00623D92" w:rsidRPr="000736C9">
        <w:t>,</w:t>
      </w:r>
      <w:r w:rsidRPr="000736C9">
        <w:t>4 GHz</w:t>
      </w:r>
    </w:p>
    <w:p w14:paraId="33298B95" w14:textId="01172B8B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3</w:t>
      </w:r>
      <w:r w:rsidRPr="000736C9">
        <w:tab/>
        <w:t>Part</w:t>
      </w:r>
      <w:r w:rsidR="00623D92" w:rsidRPr="000736C9">
        <w:t>e</w:t>
      </w:r>
      <w:r w:rsidRPr="000736C9">
        <w:t xml:space="preserve"> 3 – Band</w:t>
      </w:r>
      <w:r w:rsidR="00623D92" w:rsidRPr="000736C9">
        <w:t>a</w:t>
      </w:r>
      <w:r w:rsidRPr="000736C9">
        <w:t xml:space="preserve"> 37-40</w:t>
      </w:r>
      <w:r w:rsidR="00623D92" w:rsidRPr="000736C9">
        <w:t>,</w:t>
      </w:r>
      <w:r w:rsidRPr="000736C9">
        <w:t>5 GHz</w:t>
      </w:r>
    </w:p>
    <w:p w14:paraId="5BDCA686" w14:textId="0E730CD6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4</w:t>
      </w:r>
      <w:r w:rsidRPr="000736C9">
        <w:tab/>
        <w:t>Part</w:t>
      </w:r>
      <w:r w:rsidR="00623D92" w:rsidRPr="000736C9">
        <w:t>e</w:t>
      </w:r>
      <w:r w:rsidRPr="000736C9">
        <w:t xml:space="preserve"> 4 – Band</w:t>
      </w:r>
      <w:r w:rsidR="00623D92" w:rsidRPr="000736C9">
        <w:t>a</w:t>
      </w:r>
      <w:r w:rsidRPr="000736C9">
        <w:t xml:space="preserve"> 40</w:t>
      </w:r>
      <w:r w:rsidR="00623D92" w:rsidRPr="000736C9">
        <w:t>,</w:t>
      </w:r>
      <w:r w:rsidRPr="000736C9">
        <w:t>5-43</w:t>
      </w:r>
      <w:r w:rsidR="00623D92" w:rsidRPr="000736C9">
        <w:t>,</w:t>
      </w:r>
      <w:r w:rsidRPr="000736C9">
        <w:t>5 GHz</w:t>
      </w:r>
    </w:p>
    <w:p w14:paraId="3AED42E3" w14:textId="49ADE3A6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5</w:t>
      </w:r>
      <w:r w:rsidRPr="000736C9">
        <w:tab/>
        <w:t>Part</w:t>
      </w:r>
      <w:r w:rsidR="00623D92" w:rsidRPr="000736C9">
        <w:t>e</w:t>
      </w:r>
      <w:r w:rsidRPr="000736C9">
        <w:t xml:space="preserve"> 5 – Band</w:t>
      </w:r>
      <w:r w:rsidR="00623D92" w:rsidRPr="000736C9">
        <w:t>a</w:t>
      </w:r>
      <w:r w:rsidRPr="000736C9">
        <w:t xml:space="preserve"> 47</w:t>
      </w:r>
      <w:r w:rsidR="00623D92" w:rsidRPr="000736C9">
        <w:t>,</w:t>
      </w:r>
      <w:r w:rsidRPr="000736C9">
        <w:t>0-47</w:t>
      </w:r>
      <w:r w:rsidR="00623D92" w:rsidRPr="000736C9">
        <w:t>,</w:t>
      </w:r>
      <w:r w:rsidRPr="000736C9">
        <w:t>2 GHz</w:t>
      </w:r>
    </w:p>
    <w:p w14:paraId="3B2BE0FF" w14:textId="027949EB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6</w:t>
      </w:r>
      <w:r w:rsidRPr="000736C9">
        <w:tab/>
        <w:t>Part</w:t>
      </w:r>
      <w:r w:rsidR="00623D92" w:rsidRPr="000736C9">
        <w:t>e</w:t>
      </w:r>
      <w:r w:rsidRPr="000736C9">
        <w:t xml:space="preserve"> 6 – Band</w:t>
      </w:r>
      <w:r w:rsidR="00623D92" w:rsidRPr="000736C9">
        <w:t>a</w:t>
      </w:r>
      <w:r w:rsidRPr="000736C9">
        <w:t xml:space="preserve"> 47</w:t>
      </w:r>
      <w:r w:rsidR="00623D92" w:rsidRPr="000736C9">
        <w:t>,</w:t>
      </w:r>
      <w:r w:rsidRPr="000736C9">
        <w:t>2-50</w:t>
      </w:r>
      <w:r w:rsidR="00623D92" w:rsidRPr="000736C9">
        <w:t>,</w:t>
      </w:r>
      <w:r w:rsidRPr="000736C9">
        <w:t>2 GHz</w:t>
      </w:r>
    </w:p>
    <w:p w14:paraId="1D636B02" w14:textId="56AA15A1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7</w:t>
      </w:r>
      <w:r w:rsidRPr="000736C9">
        <w:tab/>
        <w:t>Part</w:t>
      </w:r>
      <w:r w:rsidR="00623D92" w:rsidRPr="000736C9">
        <w:t>e</w:t>
      </w:r>
      <w:r w:rsidRPr="000736C9">
        <w:t xml:space="preserve"> 7 – Band</w:t>
      </w:r>
      <w:r w:rsidR="00623D92" w:rsidRPr="000736C9">
        <w:t>a</w:t>
      </w:r>
      <w:r w:rsidRPr="000736C9">
        <w:t xml:space="preserve"> 50</w:t>
      </w:r>
      <w:r w:rsidR="00623D92" w:rsidRPr="000736C9">
        <w:t>,</w:t>
      </w:r>
      <w:r w:rsidRPr="000736C9">
        <w:t>4-52</w:t>
      </w:r>
      <w:r w:rsidR="00623D92" w:rsidRPr="000736C9">
        <w:t>,</w:t>
      </w:r>
      <w:r w:rsidRPr="000736C9">
        <w:t>6 GHz</w:t>
      </w:r>
    </w:p>
    <w:p w14:paraId="0A0CF370" w14:textId="560CADE9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8</w:t>
      </w:r>
      <w:r w:rsidRPr="000736C9">
        <w:tab/>
        <w:t>Part</w:t>
      </w:r>
      <w:r w:rsidR="00623D92" w:rsidRPr="000736C9">
        <w:t>e</w:t>
      </w:r>
      <w:r w:rsidRPr="000736C9">
        <w:t xml:space="preserve"> 8 – Band</w:t>
      </w:r>
      <w:r w:rsidR="00623D92" w:rsidRPr="000736C9">
        <w:t>a</w:t>
      </w:r>
      <w:r w:rsidRPr="000736C9">
        <w:t xml:space="preserve"> 66-71 GHz</w:t>
      </w:r>
    </w:p>
    <w:p w14:paraId="2DE3BCA5" w14:textId="36791DB2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9</w:t>
      </w:r>
      <w:r w:rsidRPr="000736C9">
        <w:tab/>
        <w:t>Part</w:t>
      </w:r>
      <w:r w:rsidR="00623D92" w:rsidRPr="000736C9">
        <w:t>e</w:t>
      </w:r>
      <w:r w:rsidRPr="000736C9">
        <w:t xml:space="preserve"> 9 – Band</w:t>
      </w:r>
      <w:r w:rsidR="00623D92" w:rsidRPr="000736C9">
        <w:t>a</w:t>
      </w:r>
      <w:r w:rsidRPr="000736C9">
        <w:t xml:space="preserve"> 71-76 GHz</w:t>
      </w:r>
    </w:p>
    <w:p w14:paraId="14C8DF2F" w14:textId="512C95BC" w:rsidR="00963448" w:rsidRPr="000736C9" w:rsidRDefault="00963448" w:rsidP="0012263D"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10</w:t>
      </w:r>
      <w:r w:rsidRPr="000736C9">
        <w:tab/>
        <w:t>Part</w:t>
      </w:r>
      <w:r w:rsidR="00623D92" w:rsidRPr="000736C9">
        <w:t>e</w:t>
      </w:r>
      <w:r w:rsidRPr="000736C9">
        <w:t xml:space="preserve"> 10 – Band</w:t>
      </w:r>
      <w:r w:rsidR="00623D92" w:rsidRPr="000736C9">
        <w:t>a</w:t>
      </w:r>
      <w:r w:rsidRPr="000736C9">
        <w:t xml:space="preserve"> 81-86 GHz</w:t>
      </w:r>
    </w:p>
    <w:p w14:paraId="7E33002A" w14:textId="3F0F834A" w:rsidR="00732BC2" w:rsidRPr="000736C9" w:rsidRDefault="00963448" w:rsidP="009819CA">
      <w:pPr>
        <w:pStyle w:val="Reasons"/>
        <w:tabs>
          <w:tab w:val="clear" w:pos="1588"/>
          <w:tab w:val="left" w:pos="1843"/>
        </w:tabs>
        <w:rPr>
          <w:b/>
        </w:rPr>
      </w:pPr>
      <w:r w:rsidRPr="000736C9">
        <w:rPr>
          <w:b/>
        </w:rPr>
        <w:t>Add</w:t>
      </w:r>
      <w:r w:rsidR="00623D92" w:rsidRPr="000736C9">
        <w:rPr>
          <w:b/>
        </w:rPr>
        <w:t>é</w:t>
      </w:r>
      <w:r w:rsidRPr="000736C9">
        <w:rPr>
          <w:b/>
        </w:rPr>
        <w:t>ndum 11</w:t>
      </w:r>
      <w:r w:rsidRPr="000736C9">
        <w:tab/>
        <w:t>Part</w:t>
      </w:r>
      <w:r w:rsidR="00623D92" w:rsidRPr="000736C9">
        <w:t>e</w:t>
      </w:r>
      <w:r w:rsidRPr="000736C9">
        <w:t xml:space="preserve"> 11 – Resolu</w:t>
      </w:r>
      <w:r w:rsidR="00623D92" w:rsidRPr="000736C9">
        <w:t>ción</w:t>
      </w:r>
      <w:r w:rsidRPr="000736C9">
        <w:t xml:space="preserve"> </w:t>
      </w:r>
      <w:r w:rsidRPr="000736C9">
        <w:rPr>
          <w:b/>
        </w:rPr>
        <w:t>238 (</w:t>
      </w:r>
      <w:r w:rsidR="00623D92" w:rsidRPr="000736C9">
        <w:rPr>
          <w:b/>
        </w:rPr>
        <w:t>CMR</w:t>
      </w:r>
      <w:r w:rsidRPr="000736C9">
        <w:rPr>
          <w:b/>
        </w:rPr>
        <w:t>-15)</w:t>
      </w:r>
    </w:p>
    <w:p w14:paraId="3AE41D54" w14:textId="77777777" w:rsidR="00DC1809" w:rsidRPr="000736C9" w:rsidRDefault="00DC1809" w:rsidP="00411C49">
      <w:pPr>
        <w:pStyle w:val="Reasons"/>
      </w:pPr>
    </w:p>
    <w:p w14:paraId="5C45F3E2" w14:textId="77777777" w:rsidR="00DC1809" w:rsidRPr="000736C9" w:rsidRDefault="00DC1809">
      <w:pPr>
        <w:jc w:val="center"/>
      </w:pPr>
      <w:r w:rsidRPr="000736C9">
        <w:t>______________</w:t>
      </w:r>
    </w:p>
    <w:sectPr w:rsidR="00DC1809" w:rsidRPr="000736C9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E4B7" w14:textId="77777777" w:rsidR="009C74AE" w:rsidRDefault="009C74AE">
      <w:r>
        <w:separator/>
      </w:r>
    </w:p>
    <w:p w14:paraId="731B0710" w14:textId="77777777" w:rsidR="004B0A74" w:rsidRDefault="004B0A74"/>
  </w:endnote>
  <w:endnote w:type="continuationSeparator" w:id="0">
    <w:p w14:paraId="43493E9B" w14:textId="77777777" w:rsidR="009C74AE" w:rsidRDefault="009C74AE">
      <w:r>
        <w:continuationSeparator/>
      </w:r>
    </w:p>
    <w:p w14:paraId="6C6DE380" w14:textId="77777777" w:rsidR="004B0A74" w:rsidRDefault="004B0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F468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D16C4" w14:textId="559D2914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A717A">
      <w:rPr>
        <w:noProof/>
      </w:rPr>
      <w:t>17.10.19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  <w:p w14:paraId="01BE00BC" w14:textId="77777777" w:rsidR="004B0A74" w:rsidRDefault="004B0A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14F1" w14:textId="24352B2C" w:rsidR="00507A62" w:rsidRPr="00507A62" w:rsidRDefault="00507A62" w:rsidP="00507A62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32BC2">
      <w:rPr>
        <w:lang w:val="en-US"/>
      </w:rPr>
      <w:t>P:\</w:t>
    </w:r>
    <w:r w:rsidR="0069375D">
      <w:rPr>
        <w:lang w:val="en-US"/>
      </w:rPr>
      <w:t>ESP</w:t>
    </w:r>
    <w:r w:rsidR="00732BC2">
      <w:rPr>
        <w:lang w:val="en-US"/>
      </w:rPr>
      <w:t>\ITU-R\CONF-R\CMR19\000\016ADD13S.docx</w:t>
    </w:r>
    <w:r>
      <w:fldChar w:fldCharType="end"/>
    </w:r>
    <w:r w:rsidRPr="00507A62">
      <w:rPr>
        <w:lang w:val="en-US"/>
      </w:rPr>
      <w:t xml:space="preserve"> </w:t>
    </w:r>
    <w:r>
      <w:rPr>
        <w:lang w:val="en-US"/>
      </w:rPr>
      <w:t>(462009)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A201" w14:textId="17E4D84C" w:rsidR="0077084A" w:rsidRPr="00507A62" w:rsidRDefault="0069375D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P:\ESP\ITU-R\CONF-R\CMR19\000\016ADD13S.docx</w:t>
    </w:r>
    <w:r>
      <w:fldChar w:fldCharType="end"/>
    </w:r>
    <w:r w:rsidRPr="00507A62">
      <w:rPr>
        <w:lang w:val="en-US"/>
      </w:rPr>
      <w:t xml:space="preserve"> </w:t>
    </w:r>
    <w:r>
      <w:rPr>
        <w:lang w:val="en-US"/>
      </w:rPr>
      <w:t>(462009)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03407" w14:textId="77777777" w:rsidR="009C74AE" w:rsidRDefault="009C74AE">
      <w:r>
        <w:rPr>
          <w:b/>
        </w:rPr>
        <w:t>_______________</w:t>
      </w:r>
    </w:p>
  </w:footnote>
  <w:footnote w:type="continuationSeparator" w:id="0">
    <w:p w14:paraId="176748C8" w14:textId="77777777" w:rsidR="009C74AE" w:rsidRDefault="009C74AE">
      <w:r>
        <w:continuationSeparator/>
      </w:r>
    </w:p>
    <w:p w14:paraId="38A91694" w14:textId="77777777" w:rsidR="004B0A74" w:rsidRDefault="004B0A74"/>
  </w:footnote>
  <w:footnote w:id="1">
    <w:p w14:paraId="50653964" w14:textId="235EDC21" w:rsidR="00963448" w:rsidRPr="0012263D" w:rsidRDefault="0096344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ab/>
      </w:r>
      <w:r w:rsidRPr="00963448">
        <w:t xml:space="preserve">Incluidos </w:t>
      </w:r>
      <w:r w:rsidR="00EF3F8A">
        <w:t xml:space="preserve">los </w:t>
      </w:r>
      <w:r w:rsidRPr="00963448">
        <w:t>estudios sobre servicios en bandas de frecuencias adyacentes, según proceda.</w:t>
      </w:r>
    </w:p>
  </w:footnote>
  <w:footnote w:id="2">
    <w:p w14:paraId="70E52E36" w14:textId="2937683A" w:rsidR="00623D92" w:rsidRPr="00963448" w:rsidRDefault="00623D92" w:rsidP="00623D92">
      <w:pPr>
        <w:pStyle w:val="FootnoteText"/>
      </w:pPr>
      <w:r w:rsidRPr="001C4B15">
        <w:rPr>
          <w:rStyle w:val="FootnoteReference"/>
        </w:rPr>
        <w:footnoteRef/>
      </w:r>
      <w:r w:rsidRPr="001C4B15">
        <w:rPr>
          <w:lang w:val="es-ES"/>
        </w:rPr>
        <w:tab/>
      </w:r>
      <w:r w:rsidRPr="001C4B15">
        <w:t xml:space="preserve">Cuando se realicen estudios sobre la banda de frecuencias </w:t>
      </w:r>
      <w:r w:rsidR="00EF3F8A" w:rsidRPr="00EF3F8A">
        <w:t>24,25-27,5 GHz</w:t>
      </w:r>
      <w:r w:rsidR="00EF3F8A">
        <w:t>, s</w:t>
      </w:r>
      <w:r w:rsidRPr="001C4B15">
        <w:t>e tendrá en cuenta la necesidad de garantizar la protección de las estaciones terrenas existentes y la implantación futura de estaciones terrenas receptoras en el marco de la atribución al servicio de exploración de la Tierra por satélite (SETS) (espacio-Tierra) y al servicio de investigación espacial (SIE) (espacio-Tierra) en la banda de frecuencias 25,5</w:t>
      </w:r>
      <w:r w:rsidRPr="001C4B15">
        <w:noBreakHyphen/>
        <w:t>27 GHz.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405F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6FCDEC" w14:textId="1433CF92" w:rsidR="004B0A74" w:rsidRPr="00400338" w:rsidRDefault="008750A8" w:rsidP="00400338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11FCD"/>
    <w:rsid w:val="0002785D"/>
    <w:rsid w:val="00065CE6"/>
    <w:rsid w:val="000736C9"/>
    <w:rsid w:val="00087AE8"/>
    <w:rsid w:val="000A5B9A"/>
    <w:rsid w:val="000E5BF9"/>
    <w:rsid w:val="000F0E6D"/>
    <w:rsid w:val="00121170"/>
    <w:rsid w:val="0012263D"/>
    <w:rsid w:val="00123CC5"/>
    <w:rsid w:val="0015142D"/>
    <w:rsid w:val="001616DC"/>
    <w:rsid w:val="00163962"/>
    <w:rsid w:val="00191A97"/>
    <w:rsid w:val="0019729C"/>
    <w:rsid w:val="001A083F"/>
    <w:rsid w:val="001A4C12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6D86"/>
    <w:rsid w:val="003F7F66"/>
    <w:rsid w:val="00400338"/>
    <w:rsid w:val="00440B3A"/>
    <w:rsid w:val="0044375A"/>
    <w:rsid w:val="0045384C"/>
    <w:rsid w:val="00454553"/>
    <w:rsid w:val="004655AB"/>
    <w:rsid w:val="004676D0"/>
    <w:rsid w:val="00472A86"/>
    <w:rsid w:val="004B0A74"/>
    <w:rsid w:val="004B124A"/>
    <w:rsid w:val="004B3095"/>
    <w:rsid w:val="004D2C7C"/>
    <w:rsid w:val="004E7256"/>
    <w:rsid w:val="00507A62"/>
    <w:rsid w:val="00511651"/>
    <w:rsid w:val="005133B5"/>
    <w:rsid w:val="00524392"/>
    <w:rsid w:val="00532097"/>
    <w:rsid w:val="0058350F"/>
    <w:rsid w:val="00583C7E"/>
    <w:rsid w:val="005863A3"/>
    <w:rsid w:val="0059098E"/>
    <w:rsid w:val="005D46FB"/>
    <w:rsid w:val="005F2605"/>
    <w:rsid w:val="005F3B0E"/>
    <w:rsid w:val="005F3DB8"/>
    <w:rsid w:val="005F559C"/>
    <w:rsid w:val="00602857"/>
    <w:rsid w:val="006124AD"/>
    <w:rsid w:val="00623D92"/>
    <w:rsid w:val="00624009"/>
    <w:rsid w:val="006319E7"/>
    <w:rsid w:val="00662BA0"/>
    <w:rsid w:val="0067344B"/>
    <w:rsid w:val="00684A94"/>
    <w:rsid w:val="00692AAE"/>
    <w:rsid w:val="0069375D"/>
    <w:rsid w:val="00696623"/>
    <w:rsid w:val="006A4C72"/>
    <w:rsid w:val="006C0E38"/>
    <w:rsid w:val="006D6E67"/>
    <w:rsid w:val="006E1A13"/>
    <w:rsid w:val="00701C20"/>
    <w:rsid w:val="00702F3D"/>
    <w:rsid w:val="0070518E"/>
    <w:rsid w:val="00732BC2"/>
    <w:rsid w:val="007354E9"/>
    <w:rsid w:val="007424E8"/>
    <w:rsid w:val="0074579D"/>
    <w:rsid w:val="00765578"/>
    <w:rsid w:val="00766333"/>
    <w:rsid w:val="0077084A"/>
    <w:rsid w:val="007843BB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63448"/>
    <w:rsid w:val="00973754"/>
    <w:rsid w:val="009819CA"/>
    <w:rsid w:val="009B643A"/>
    <w:rsid w:val="009C0BED"/>
    <w:rsid w:val="009C74AE"/>
    <w:rsid w:val="009E11EC"/>
    <w:rsid w:val="009E4761"/>
    <w:rsid w:val="00A021CC"/>
    <w:rsid w:val="00A118DB"/>
    <w:rsid w:val="00A4450C"/>
    <w:rsid w:val="00A97B5D"/>
    <w:rsid w:val="00AA5E6C"/>
    <w:rsid w:val="00AA717A"/>
    <w:rsid w:val="00AE5677"/>
    <w:rsid w:val="00AE658F"/>
    <w:rsid w:val="00AF2F78"/>
    <w:rsid w:val="00B239FA"/>
    <w:rsid w:val="00B372AB"/>
    <w:rsid w:val="00B47331"/>
    <w:rsid w:val="00B52D55"/>
    <w:rsid w:val="00B66140"/>
    <w:rsid w:val="00B8288C"/>
    <w:rsid w:val="00B86034"/>
    <w:rsid w:val="00BE2E80"/>
    <w:rsid w:val="00BE5EDD"/>
    <w:rsid w:val="00BE6A1F"/>
    <w:rsid w:val="00C126C4"/>
    <w:rsid w:val="00C3400F"/>
    <w:rsid w:val="00C44E9E"/>
    <w:rsid w:val="00C63EB5"/>
    <w:rsid w:val="00C87DA7"/>
    <w:rsid w:val="00CA16CD"/>
    <w:rsid w:val="00CC01E0"/>
    <w:rsid w:val="00CC61CE"/>
    <w:rsid w:val="00CD5FEE"/>
    <w:rsid w:val="00CE60D2"/>
    <w:rsid w:val="00CE7431"/>
    <w:rsid w:val="00D00CA8"/>
    <w:rsid w:val="00D0288A"/>
    <w:rsid w:val="00D72A5D"/>
    <w:rsid w:val="00D757C6"/>
    <w:rsid w:val="00DA71A3"/>
    <w:rsid w:val="00DB64E5"/>
    <w:rsid w:val="00DC1809"/>
    <w:rsid w:val="00DC629B"/>
    <w:rsid w:val="00DE1C31"/>
    <w:rsid w:val="00E05BFF"/>
    <w:rsid w:val="00E262F1"/>
    <w:rsid w:val="00E3176A"/>
    <w:rsid w:val="00E36CE4"/>
    <w:rsid w:val="00E46962"/>
    <w:rsid w:val="00E541F9"/>
    <w:rsid w:val="00E54754"/>
    <w:rsid w:val="00E56BD3"/>
    <w:rsid w:val="00E71D14"/>
    <w:rsid w:val="00EA77F0"/>
    <w:rsid w:val="00EF3F8A"/>
    <w:rsid w:val="00F07E2A"/>
    <w:rsid w:val="00F32316"/>
    <w:rsid w:val="00F66597"/>
    <w:rsid w:val="00F675D0"/>
    <w:rsid w:val="00F8150C"/>
    <w:rsid w:val="00FD03C4"/>
    <w:rsid w:val="00FD62B6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CF941CF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qFormat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eadingbChar">
    <w:name w:val="Heading_b Char"/>
    <w:link w:val="Headingb"/>
    <w:locked/>
    <w:rsid w:val="00507A62"/>
    <w:rPr>
      <w:b/>
      <w:sz w:val="24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963448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B64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64E5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0736C9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4368-77DA-4650-81C8-5EC9BAABAAD5}">
  <ds:schemaRefs>
    <ds:schemaRef ds:uri="32a1a8c5-2265-4ebc-b7a0-2071e2c5c9bb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58ECCE-954F-432C-8B00-6C79BA01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R16-WRC19-C-0016!A13!MSW-S</vt:lpstr>
    </vt:vector>
  </TitlesOfParts>
  <Manager>Secretaría General - Pool</Manager>
  <Company>Unión Internacional de Telecomunicaciones (UIT)</Company>
  <LinksUpToDate>false</LinksUpToDate>
  <CharactersWithSpaces>3189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30</cp:revision>
  <cp:lastPrinted>2003-02-19T20:20:00Z</cp:lastPrinted>
  <dcterms:created xsi:type="dcterms:W3CDTF">2019-10-14T13:41:00Z</dcterms:created>
  <dcterms:modified xsi:type="dcterms:W3CDTF">2019-10-17T08:39:00Z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