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6521"/>
        <w:gridCol w:w="3510"/>
      </w:tblGrid>
      <w:tr w:rsidR="005651C9" w:rsidRPr="006141CF" w14:paraId="06B53639" w14:textId="77777777" w:rsidTr="002370A9">
        <w:trPr>
          <w:cantSplit/>
        </w:trPr>
        <w:tc>
          <w:tcPr>
            <w:tcW w:w="6521" w:type="dxa"/>
          </w:tcPr>
          <w:p w14:paraId="3FE77A04" w14:textId="77777777" w:rsidR="005651C9" w:rsidRPr="006141CF" w:rsidRDefault="00E65919" w:rsidP="009D3D63">
            <w:pPr>
              <w:spacing w:before="400" w:after="48" w:line="240" w:lineRule="atLeast"/>
              <w:rPr>
                <w:rFonts w:ascii="Verdana" w:hAnsi="Verdana"/>
                <w:b/>
                <w:bCs/>
                <w:position w:val="6"/>
              </w:rPr>
            </w:pPr>
            <w:bookmarkStart w:id="0" w:name="dtemplate"/>
            <w:bookmarkEnd w:id="0"/>
            <w:r w:rsidRPr="006141CF">
              <w:rPr>
                <w:rFonts w:ascii="Verdana" w:hAnsi="Verdana"/>
                <w:b/>
                <w:bCs/>
                <w:szCs w:val="22"/>
              </w:rPr>
              <w:t>Всемирная конференция радиосвязи (ВКР-1</w:t>
            </w:r>
            <w:r w:rsidR="00F65316" w:rsidRPr="006141CF">
              <w:rPr>
                <w:rFonts w:ascii="Verdana" w:hAnsi="Verdana"/>
                <w:b/>
                <w:bCs/>
                <w:szCs w:val="22"/>
              </w:rPr>
              <w:t>9</w:t>
            </w:r>
            <w:r w:rsidRPr="006141CF">
              <w:rPr>
                <w:rFonts w:ascii="Verdana" w:hAnsi="Verdana"/>
                <w:b/>
                <w:bCs/>
                <w:szCs w:val="22"/>
              </w:rPr>
              <w:t>)</w:t>
            </w:r>
            <w:r w:rsidRPr="006141CF">
              <w:rPr>
                <w:rFonts w:ascii="Verdana" w:hAnsi="Verdana"/>
                <w:b/>
                <w:bCs/>
                <w:sz w:val="18"/>
                <w:szCs w:val="18"/>
              </w:rPr>
              <w:br/>
            </w:r>
            <w:r w:rsidR="009D3D63" w:rsidRPr="006141CF">
              <w:rPr>
                <w:rFonts w:ascii="Verdana" w:hAnsi="Verdana" w:cs="Times New Roman Bold"/>
                <w:b/>
                <w:bCs/>
                <w:sz w:val="18"/>
                <w:szCs w:val="18"/>
              </w:rPr>
              <w:t>Шарм-эль-Шейх, Египет</w:t>
            </w:r>
            <w:r w:rsidRPr="006141CF">
              <w:rPr>
                <w:rFonts w:ascii="Verdana" w:hAnsi="Verdana" w:cs="Times New Roman Bold"/>
                <w:b/>
                <w:bCs/>
                <w:sz w:val="18"/>
                <w:szCs w:val="18"/>
              </w:rPr>
              <w:t>,</w:t>
            </w:r>
            <w:r w:rsidRPr="006141CF">
              <w:rPr>
                <w:rFonts w:ascii="Verdana" w:hAnsi="Verdana"/>
                <w:b/>
                <w:bCs/>
                <w:sz w:val="18"/>
                <w:szCs w:val="18"/>
              </w:rPr>
              <w:t xml:space="preserve"> </w:t>
            </w:r>
            <w:r w:rsidR="00F65316" w:rsidRPr="006141CF">
              <w:rPr>
                <w:rFonts w:ascii="Verdana" w:hAnsi="Verdana" w:cs="Times New Roman Bold"/>
                <w:b/>
                <w:bCs/>
                <w:sz w:val="18"/>
                <w:szCs w:val="18"/>
              </w:rPr>
              <w:t>28 октября – 22 ноября 2019 года</w:t>
            </w:r>
          </w:p>
        </w:tc>
        <w:tc>
          <w:tcPr>
            <w:tcW w:w="3510" w:type="dxa"/>
          </w:tcPr>
          <w:p w14:paraId="2E40CAEA" w14:textId="77777777" w:rsidR="005651C9" w:rsidRPr="006141CF" w:rsidRDefault="00966C93" w:rsidP="00597005">
            <w:pPr>
              <w:spacing w:before="0" w:line="240" w:lineRule="atLeast"/>
              <w:jc w:val="right"/>
            </w:pPr>
            <w:bookmarkStart w:id="1" w:name="ditulogo"/>
            <w:bookmarkEnd w:id="1"/>
            <w:r w:rsidRPr="006141CF">
              <w:rPr>
                <w:szCs w:val="22"/>
                <w:lang w:eastAsia="en-GB"/>
              </w:rPr>
              <w:drawing>
                <wp:inline distT="0" distB="0" distL="0" distR="0" wp14:anchorId="0FAC42DA" wp14:editId="5E8D57EC">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5651C9" w:rsidRPr="006141CF" w14:paraId="3A95A6AE" w14:textId="77777777" w:rsidTr="002370A9">
        <w:trPr>
          <w:cantSplit/>
        </w:trPr>
        <w:tc>
          <w:tcPr>
            <w:tcW w:w="6521" w:type="dxa"/>
            <w:tcBorders>
              <w:bottom w:val="single" w:sz="12" w:space="0" w:color="auto"/>
            </w:tcBorders>
          </w:tcPr>
          <w:p w14:paraId="70EDD98F" w14:textId="77777777" w:rsidR="005651C9" w:rsidRPr="006141CF" w:rsidRDefault="005651C9">
            <w:pPr>
              <w:spacing w:after="48" w:line="240" w:lineRule="atLeast"/>
              <w:rPr>
                <w:b/>
                <w:smallCaps/>
                <w:szCs w:val="22"/>
              </w:rPr>
            </w:pPr>
            <w:bookmarkStart w:id="2" w:name="dhead"/>
          </w:p>
        </w:tc>
        <w:tc>
          <w:tcPr>
            <w:tcW w:w="3510" w:type="dxa"/>
            <w:tcBorders>
              <w:bottom w:val="single" w:sz="12" w:space="0" w:color="auto"/>
            </w:tcBorders>
          </w:tcPr>
          <w:p w14:paraId="6FC02D45" w14:textId="77777777" w:rsidR="005651C9" w:rsidRPr="006141CF" w:rsidRDefault="005651C9">
            <w:pPr>
              <w:spacing w:line="240" w:lineRule="atLeast"/>
              <w:rPr>
                <w:rFonts w:ascii="Verdana" w:hAnsi="Verdana"/>
                <w:szCs w:val="22"/>
              </w:rPr>
            </w:pPr>
          </w:p>
        </w:tc>
      </w:tr>
      <w:tr w:rsidR="005651C9" w:rsidRPr="006141CF" w14:paraId="39CCE4E3" w14:textId="77777777" w:rsidTr="002370A9">
        <w:trPr>
          <w:cantSplit/>
        </w:trPr>
        <w:tc>
          <w:tcPr>
            <w:tcW w:w="6521" w:type="dxa"/>
            <w:tcBorders>
              <w:top w:val="single" w:sz="12" w:space="0" w:color="auto"/>
            </w:tcBorders>
          </w:tcPr>
          <w:p w14:paraId="1A28295F" w14:textId="77777777" w:rsidR="005651C9" w:rsidRPr="006141CF" w:rsidRDefault="005651C9" w:rsidP="005651C9">
            <w:pPr>
              <w:spacing w:before="0" w:after="48" w:line="240" w:lineRule="atLeast"/>
              <w:rPr>
                <w:rFonts w:ascii="Verdana" w:hAnsi="Verdana"/>
                <w:b/>
                <w:smallCaps/>
                <w:sz w:val="18"/>
                <w:szCs w:val="22"/>
              </w:rPr>
            </w:pPr>
            <w:bookmarkStart w:id="3" w:name="dspace"/>
          </w:p>
        </w:tc>
        <w:tc>
          <w:tcPr>
            <w:tcW w:w="3510" w:type="dxa"/>
            <w:tcBorders>
              <w:top w:val="single" w:sz="12" w:space="0" w:color="auto"/>
            </w:tcBorders>
          </w:tcPr>
          <w:p w14:paraId="11C7D1EB" w14:textId="77777777" w:rsidR="005651C9" w:rsidRPr="006141CF" w:rsidRDefault="005651C9" w:rsidP="005651C9">
            <w:pPr>
              <w:spacing w:before="0" w:line="240" w:lineRule="atLeast"/>
              <w:rPr>
                <w:rFonts w:ascii="Verdana" w:hAnsi="Verdana"/>
                <w:sz w:val="18"/>
                <w:szCs w:val="22"/>
              </w:rPr>
            </w:pPr>
          </w:p>
        </w:tc>
      </w:tr>
      <w:bookmarkEnd w:id="2"/>
      <w:bookmarkEnd w:id="3"/>
      <w:tr w:rsidR="005651C9" w:rsidRPr="006141CF" w14:paraId="51887E1E" w14:textId="77777777" w:rsidTr="002370A9">
        <w:trPr>
          <w:cantSplit/>
        </w:trPr>
        <w:tc>
          <w:tcPr>
            <w:tcW w:w="6521" w:type="dxa"/>
          </w:tcPr>
          <w:p w14:paraId="04759B01" w14:textId="77777777" w:rsidR="005651C9" w:rsidRPr="006141CF" w:rsidRDefault="005A295E" w:rsidP="00C266F4">
            <w:pPr>
              <w:spacing w:before="0"/>
              <w:rPr>
                <w:rFonts w:ascii="Verdana" w:hAnsi="Verdana"/>
                <w:b/>
                <w:smallCaps/>
                <w:sz w:val="18"/>
                <w:szCs w:val="22"/>
              </w:rPr>
            </w:pPr>
            <w:r w:rsidRPr="006141CF">
              <w:rPr>
                <w:rFonts w:ascii="Verdana" w:hAnsi="Verdana"/>
                <w:b/>
                <w:smallCaps/>
                <w:sz w:val="18"/>
                <w:szCs w:val="22"/>
              </w:rPr>
              <w:t>ПЛЕНАРНОЕ ЗАСЕДАНИЕ</w:t>
            </w:r>
          </w:p>
        </w:tc>
        <w:tc>
          <w:tcPr>
            <w:tcW w:w="3510" w:type="dxa"/>
          </w:tcPr>
          <w:p w14:paraId="2EC8343B" w14:textId="77777777" w:rsidR="005651C9" w:rsidRPr="006141CF" w:rsidRDefault="005A295E" w:rsidP="00C266F4">
            <w:pPr>
              <w:tabs>
                <w:tab w:val="left" w:pos="851"/>
              </w:tabs>
              <w:spacing w:before="0"/>
              <w:rPr>
                <w:rFonts w:ascii="Verdana" w:hAnsi="Verdana"/>
                <w:b/>
                <w:sz w:val="18"/>
                <w:szCs w:val="18"/>
              </w:rPr>
            </w:pPr>
            <w:r w:rsidRPr="006141CF">
              <w:rPr>
                <w:rFonts w:ascii="Verdana" w:hAnsi="Verdana"/>
                <w:b/>
                <w:bCs/>
                <w:sz w:val="18"/>
                <w:szCs w:val="18"/>
              </w:rPr>
              <w:t>Дополнительный документ 13</w:t>
            </w:r>
            <w:r w:rsidRPr="006141CF">
              <w:rPr>
                <w:rFonts w:ascii="Verdana" w:hAnsi="Verdana"/>
                <w:b/>
                <w:bCs/>
                <w:sz w:val="18"/>
                <w:szCs w:val="18"/>
              </w:rPr>
              <w:br/>
              <w:t>к Документу 16</w:t>
            </w:r>
            <w:r w:rsidR="005651C9" w:rsidRPr="006141CF">
              <w:rPr>
                <w:rFonts w:ascii="Verdana" w:hAnsi="Verdana"/>
                <w:b/>
                <w:bCs/>
                <w:sz w:val="18"/>
                <w:szCs w:val="18"/>
              </w:rPr>
              <w:t>-</w:t>
            </w:r>
            <w:r w:rsidRPr="006141CF">
              <w:rPr>
                <w:rFonts w:ascii="Verdana" w:hAnsi="Verdana"/>
                <w:b/>
                <w:bCs/>
                <w:sz w:val="18"/>
                <w:szCs w:val="18"/>
              </w:rPr>
              <w:t>R</w:t>
            </w:r>
          </w:p>
        </w:tc>
      </w:tr>
      <w:tr w:rsidR="000F33D8" w:rsidRPr="006141CF" w14:paraId="780C074F" w14:textId="77777777" w:rsidTr="002370A9">
        <w:trPr>
          <w:cantSplit/>
        </w:trPr>
        <w:tc>
          <w:tcPr>
            <w:tcW w:w="6521" w:type="dxa"/>
          </w:tcPr>
          <w:p w14:paraId="7C5B380F" w14:textId="77777777" w:rsidR="000F33D8" w:rsidRPr="006141CF" w:rsidRDefault="000F33D8" w:rsidP="00C266F4">
            <w:pPr>
              <w:spacing w:before="0"/>
              <w:rPr>
                <w:rFonts w:ascii="Verdana" w:hAnsi="Verdana"/>
                <w:b/>
                <w:smallCaps/>
                <w:sz w:val="18"/>
                <w:szCs w:val="22"/>
              </w:rPr>
            </w:pPr>
          </w:p>
        </w:tc>
        <w:tc>
          <w:tcPr>
            <w:tcW w:w="3510" w:type="dxa"/>
          </w:tcPr>
          <w:p w14:paraId="52829E9E" w14:textId="41ABC7E8" w:rsidR="000F33D8" w:rsidRPr="006141CF" w:rsidRDefault="009B0901" w:rsidP="00C266F4">
            <w:pPr>
              <w:spacing w:before="0"/>
              <w:rPr>
                <w:rFonts w:ascii="Verdana" w:hAnsi="Verdana"/>
                <w:sz w:val="18"/>
                <w:szCs w:val="22"/>
              </w:rPr>
            </w:pPr>
            <w:r w:rsidRPr="006141CF">
              <w:rPr>
                <w:rFonts w:ascii="Verdana" w:hAnsi="Verdana"/>
                <w:b/>
                <w:bCs/>
                <w:sz w:val="18"/>
                <w:szCs w:val="18"/>
              </w:rPr>
              <w:t>4</w:t>
            </w:r>
            <w:r w:rsidR="000F33D8" w:rsidRPr="006141CF">
              <w:rPr>
                <w:rFonts w:ascii="Verdana" w:hAnsi="Verdana"/>
                <w:b/>
                <w:bCs/>
                <w:sz w:val="18"/>
                <w:szCs w:val="18"/>
              </w:rPr>
              <w:t xml:space="preserve"> октября 2019 года</w:t>
            </w:r>
          </w:p>
        </w:tc>
      </w:tr>
      <w:tr w:rsidR="000F33D8" w:rsidRPr="006141CF" w14:paraId="60CA4C18" w14:textId="77777777" w:rsidTr="002370A9">
        <w:trPr>
          <w:cantSplit/>
        </w:trPr>
        <w:tc>
          <w:tcPr>
            <w:tcW w:w="6521" w:type="dxa"/>
          </w:tcPr>
          <w:p w14:paraId="008161D5" w14:textId="77777777" w:rsidR="000F33D8" w:rsidRPr="006141CF" w:rsidRDefault="000F33D8" w:rsidP="00C266F4">
            <w:pPr>
              <w:spacing w:before="0"/>
              <w:rPr>
                <w:rFonts w:ascii="Verdana" w:hAnsi="Verdana"/>
                <w:b/>
                <w:smallCaps/>
                <w:sz w:val="18"/>
                <w:szCs w:val="22"/>
              </w:rPr>
            </w:pPr>
          </w:p>
        </w:tc>
        <w:tc>
          <w:tcPr>
            <w:tcW w:w="3510" w:type="dxa"/>
          </w:tcPr>
          <w:p w14:paraId="7E92CCDE" w14:textId="77777777" w:rsidR="000F33D8" w:rsidRPr="006141CF" w:rsidRDefault="000F33D8" w:rsidP="00C266F4">
            <w:pPr>
              <w:spacing w:before="0"/>
              <w:rPr>
                <w:rFonts w:ascii="Verdana" w:hAnsi="Verdana"/>
                <w:sz w:val="18"/>
                <w:szCs w:val="22"/>
              </w:rPr>
            </w:pPr>
            <w:r w:rsidRPr="006141CF">
              <w:rPr>
                <w:rFonts w:ascii="Verdana" w:hAnsi="Verdana"/>
                <w:b/>
                <w:bCs/>
                <w:sz w:val="18"/>
                <w:szCs w:val="22"/>
              </w:rPr>
              <w:t>Оригинал: английский</w:t>
            </w:r>
          </w:p>
        </w:tc>
      </w:tr>
      <w:tr w:rsidR="000F33D8" w:rsidRPr="006141CF" w14:paraId="726BA268" w14:textId="77777777" w:rsidTr="009546EA">
        <w:trPr>
          <w:cantSplit/>
        </w:trPr>
        <w:tc>
          <w:tcPr>
            <w:tcW w:w="10031" w:type="dxa"/>
            <w:gridSpan w:val="2"/>
          </w:tcPr>
          <w:p w14:paraId="4BD62C3B" w14:textId="77777777" w:rsidR="000F33D8" w:rsidRPr="006141CF" w:rsidRDefault="000F33D8" w:rsidP="004B716F">
            <w:pPr>
              <w:spacing w:before="0"/>
              <w:rPr>
                <w:rFonts w:ascii="Verdana" w:hAnsi="Verdana"/>
                <w:b/>
                <w:bCs/>
                <w:sz w:val="18"/>
                <w:szCs w:val="22"/>
              </w:rPr>
            </w:pPr>
          </w:p>
        </w:tc>
      </w:tr>
      <w:tr w:rsidR="000F33D8" w:rsidRPr="006141CF" w14:paraId="5AA44CC3" w14:textId="77777777">
        <w:trPr>
          <w:cantSplit/>
        </w:trPr>
        <w:tc>
          <w:tcPr>
            <w:tcW w:w="10031" w:type="dxa"/>
            <w:gridSpan w:val="2"/>
          </w:tcPr>
          <w:p w14:paraId="26425ADB" w14:textId="77777777" w:rsidR="000F33D8" w:rsidRPr="006141CF" w:rsidRDefault="000F33D8" w:rsidP="000F33D8">
            <w:pPr>
              <w:pStyle w:val="Source"/>
              <w:rPr>
                <w:szCs w:val="26"/>
              </w:rPr>
            </w:pPr>
            <w:bookmarkStart w:id="4" w:name="dsource" w:colFirst="0" w:colLast="0"/>
            <w:r w:rsidRPr="006141CF">
              <w:rPr>
                <w:szCs w:val="26"/>
              </w:rPr>
              <w:t>Общие предложения европейских стран</w:t>
            </w:r>
          </w:p>
        </w:tc>
      </w:tr>
      <w:tr w:rsidR="000F33D8" w:rsidRPr="006141CF" w14:paraId="65E05C3B" w14:textId="77777777">
        <w:trPr>
          <w:cantSplit/>
        </w:trPr>
        <w:tc>
          <w:tcPr>
            <w:tcW w:w="10031" w:type="dxa"/>
            <w:gridSpan w:val="2"/>
          </w:tcPr>
          <w:p w14:paraId="6C21C06F" w14:textId="77777777" w:rsidR="000F33D8" w:rsidRPr="006141CF" w:rsidRDefault="000F33D8" w:rsidP="000F33D8">
            <w:pPr>
              <w:pStyle w:val="Title1"/>
              <w:rPr>
                <w:szCs w:val="26"/>
              </w:rPr>
            </w:pPr>
            <w:bookmarkStart w:id="5" w:name="dtitle1" w:colFirst="0" w:colLast="0"/>
            <w:bookmarkEnd w:id="4"/>
            <w:r w:rsidRPr="006141CF">
              <w:rPr>
                <w:szCs w:val="26"/>
              </w:rPr>
              <w:t>Предложения для работы конференции</w:t>
            </w:r>
          </w:p>
        </w:tc>
      </w:tr>
      <w:tr w:rsidR="000F33D8" w:rsidRPr="006141CF" w14:paraId="7260B4EC" w14:textId="77777777">
        <w:trPr>
          <w:cantSplit/>
        </w:trPr>
        <w:tc>
          <w:tcPr>
            <w:tcW w:w="10031" w:type="dxa"/>
            <w:gridSpan w:val="2"/>
          </w:tcPr>
          <w:p w14:paraId="6B3F31A7" w14:textId="77777777" w:rsidR="000F33D8" w:rsidRPr="006141CF" w:rsidRDefault="000F33D8" w:rsidP="000F33D8">
            <w:pPr>
              <w:pStyle w:val="Title2"/>
              <w:rPr>
                <w:szCs w:val="26"/>
              </w:rPr>
            </w:pPr>
            <w:bookmarkStart w:id="6" w:name="dtitle2" w:colFirst="0" w:colLast="0"/>
            <w:bookmarkEnd w:id="5"/>
          </w:p>
        </w:tc>
      </w:tr>
      <w:tr w:rsidR="000F33D8" w:rsidRPr="006141CF" w14:paraId="271474F0" w14:textId="77777777">
        <w:trPr>
          <w:cantSplit/>
        </w:trPr>
        <w:tc>
          <w:tcPr>
            <w:tcW w:w="10031" w:type="dxa"/>
            <w:gridSpan w:val="2"/>
          </w:tcPr>
          <w:p w14:paraId="0309B940" w14:textId="77777777" w:rsidR="000F33D8" w:rsidRPr="006141CF" w:rsidRDefault="000F33D8" w:rsidP="000F33D8">
            <w:pPr>
              <w:pStyle w:val="Agendaitem"/>
              <w:rPr>
                <w:lang w:val="ru-RU"/>
              </w:rPr>
            </w:pPr>
            <w:bookmarkStart w:id="7" w:name="dtitle3" w:colFirst="0" w:colLast="0"/>
            <w:bookmarkEnd w:id="6"/>
            <w:r w:rsidRPr="006141CF">
              <w:rPr>
                <w:lang w:val="ru-RU"/>
              </w:rPr>
              <w:t>Пункт 1.13 повестки дня</w:t>
            </w:r>
          </w:p>
        </w:tc>
      </w:tr>
    </w:tbl>
    <w:bookmarkEnd w:id="7"/>
    <w:p w14:paraId="56D6E6DE" w14:textId="77777777" w:rsidR="00D51940" w:rsidRPr="006141CF" w:rsidRDefault="00384671" w:rsidP="002370A9">
      <w:pPr>
        <w:pStyle w:val="Normalaftertitle"/>
        <w:rPr>
          <w:szCs w:val="22"/>
        </w:rPr>
      </w:pPr>
      <w:r w:rsidRPr="006141CF">
        <w:t>1.13</w:t>
      </w:r>
      <w:r w:rsidRPr="006141CF">
        <w:tab/>
        <w:t>рассмотреть определение полос частот д</w:t>
      </w:r>
      <w:bookmarkStart w:id="8" w:name="_GoBack"/>
      <w:bookmarkEnd w:id="8"/>
      <w:r w:rsidRPr="006141CF">
        <w:t>ля будущего развития Международной подвижной электросвязи (IMT), включая возможные дополнительные распределения подвижной службе на первичной основе, в соответствии с Резолюцией </w:t>
      </w:r>
      <w:r w:rsidRPr="006141CF">
        <w:rPr>
          <w:b/>
          <w:bCs/>
        </w:rPr>
        <w:t>238 (ВКР-15)</w:t>
      </w:r>
      <w:r w:rsidRPr="006141CF">
        <w:t>;</w:t>
      </w:r>
    </w:p>
    <w:p w14:paraId="70002235" w14:textId="5675E38F" w:rsidR="002370A9" w:rsidRPr="006141CF" w:rsidRDefault="00B35866" w:rsidP="002370A9">
      <w:pPr>
        <w:rPr>
          <w:lang w:eastAsia="ko-KR"/>
        </w:rPr>
      </w:pPr>
      <w:bookmarkStart w:id="9" w:name="_Toc450292599"/>
      <w:r w:rsidRPr="006141CF">
        <w:rPr>
          <w:lang w:eastAsia="ko-KR"/>
        </w:rPr>
        <w:t xml:space="preserve">Резолюция </w:t>
      </w:r>
      <w:r w:rsidRPr="006141CF">
        <w:rPr>
          <w:b/>
          <w:bCs/>
          <w:lang w:eastAsia="ko-KR"/>
        </w:rPr>
        <w:t>238 (ВКР-15)</w:t>
      </w:r>
      <w:r w:rsidRPr="006141CF">
        <w:rPr>
          <w:lang w:eastAsia="ko-KR"/>
        </w:rPr>
        <w:t xml:space="preserve"> − </w:t>
      </w:r>
      <w:bookmarkStart w:id="10" w:name="_Toc450292639"/>
      <w:bookmarkEnd w:id="9"/>
      <w:r w:rsidRPr="006141CF">
        <w:rPr>
          <w:i/>
          <w:iCs/>
          <w:lang w:eastAsia="ko-KR"/>
        </w:rPr>
        <w:t>Исследования связанных с частотами вопросов</w:t>
      </w:r>
      <w:r w:rsidR="001F5977" w:rsidRPr="006141CF">
        <w:rPr>
          <w:i/>
          <w:iCs/>
          <w:lang w:eastAsia="ko-KR"/>
        </w:rPr>
        <w:t xml:space="preserve"> по </w:t>
      </w:r>
      <w:r w:rsidRPr="006141CF">
        <w:rPr>
          <w:i/>
          <w:iCs/>
          <w:lang w:eastAsia="ko-KR"/>
        </w:rPr>
        <w:t>определени</w:t>
      </w:r>
      <w:r w:rsidR="001F5977" w:rsidRPr="006141CF">
        <w:rPr>
          <w:i/>
          <w:iCs/>
          <w:lang w:eastAsia="ko-KR"/>
        </w:rPr>
        <w:t>ю</w:t>
      </w:r>
      <w:r w:rsidRPr="006141CF">
        <w:rPr>
          <w:i/>
          <w:iCs/>
          <w:lang w:eastAsia="ko-KR"/>
        </w:rPr>
        <w:t xml:space="preserve"> спектра для Международной подвижной электросвязи, включая возможные дополнительные распределения подвижным службам на первичной основе в участке(-ах) диапазона частот между 24,25 и 86 ГГц для будущего развития </w:t>
      </w:r>
      <w:r w:rsidR="001F5977" w:rsidRPr="006141CF">
        <w:rPr>
          <w:i/>
          <w:iCs/>
          <w:lang w:eastAsia="ko-KR"/>
        </w:rPr>
        <w:t xml:space="preserve">Международной подвижной электросвязи </w:t>
      </w:r>
      <w:r w:rsidRPr="006141CF">
        <w:rPr>
          <w:i/>
          <w:iCs/>
          <w:lang w:eastAsia="ko-KR"/>
        </w:rPr>
        <w:t>до 2020 года и далее</w:t>
      </w:r>
      <w:bookmarkEnd w:id="10"/>
      <w:r w:rsidRPr="006141CF">
        <w:rPr>
          <w:i/>
          <w:iCs/>
          <w:lang w:eastAsia="ko-KR"/>
        </w:rPr>
        <w:t>.</w:t>
      </w:r>
    </w:p>
    <w:p w14:paraId="4C790AB3" w14:textId="5FA1D196" w:rsidR="002370A9" w:rsidRPr="006141CF" w:rsidRDefault="001E4B7A" w:rsidP="002370A9">
      <w:pPr>
        <w:pStyle w:val="Headingb"/>
        <w:rPr>
          <w:lang w:val="ru-RU"/>
        </w:rPr>
      </w:pPr>
      <w:r w:rsidRPr="006141CF">
        <w:rPr>
          <w:lang w:val="ru-RU"/>
        </w:rPr>
        <w:t>Введение</w:t>
      </w:r>
    </w:p>
    <w:p w14:paraId="34F4FED8" w14:textId="3F03B9EF" w:rsidR="001F5977" w:rsidRPr="006141CF" w:rsidRDefault="001F5977" w:rsidP="002370A9">
      <w:r w:rsidRPr="006141CF">
        <w:t>В пункте 1.13 повестки дня ВКР-19 рассматриваются возможные новые распределения спектра, подходящие для доставки сигналов наземной беспроводной широкополосной связи в диапазоне частот 24,25</w:t>
      </w:r>
      <w:r w:rsidR="00601055" w:rsidRPr="006141CF">
        <w:t>–</w:t>
      </w:r>
      <w:r w:rsidRPr="006141CF">
        <w:t>6 ГГц. Это будет включать следующие элементы, п</w:t>
      </w:r>
      <w:r w:rsidR="0068484C" w:rsidRPr="006141CF">
        <w:t>олностью отраженные в Резолюции </w:t>
      </w:r>
      <w:r w:rsidRPr="006141CF">
        <w:rPr>
          <w:b/>
          <w:bCs/>
        </w:rPr>
        <w:t>238 (ВКР-15)</w:t>
      </w:r>
      <w:r w:rsidRPr="006141CF">
        <w:t>:</w:t>
      </w:r>
    </w:p>
    <w:p w14:paraId="0D63AEAA" w14:textId="0FF513D3" w:rsidR="0003535B" w:rsidRPr="006141CF" w:rsidRDefault="002370A9" w:rsidP="001E4B7A">
      <w:pPr>
        <w:pStyle w:val="enumlev1"/>
      </w:pPr>
      <w:r w:rsidRPr="006141CF">
        <w:rPr>
          <w:szCs w:val="24"/>
        </w:rPr>
        <w:t>–</w:t>
      </w:r>
      <w:r w:rsidRPr="006141CF">
        <w:rPr>
          <w:szCs w:val="24"/>
        </w:rPr>
        <w:tab/>
      </w:r>
      <w:r w:rsidR="001F5977" w:rsidRPr="006141CF">
        <w:t>потребности в спектре для наземного сегмента IMT;</w:t>
      </w:r>
    </w:p>
    <w:p w14:paraId="552DC6FE" w14:textId="20EBA964" w:rsidR="006D725B" w:rsidRPr="006141CF" w:rsidRDefault="006D725B" w:rsidP="001E4B7A">
      <w:pPr>
        <w:pStyle w:val="enumlev1"/>
      </w:pPr>
      <w:r w:rsidRPr="006141CF">
        <w:t>−</w:t>
      </w:r>
      <w:r w:rsidRPr="006141CF">
        <w:tab/>
        <w:t>Исследования</w:t>
      </w:r>
      <w:r w:rsidR="00C334C7" w:rsidRPr="006141CF">
        <w:rPr>
          <w:szCs w:val="22"/>
          <w:vertAlign w:val="superscript"/>
        </w:rPr>
        <w:footnoteReference w:id="1"/>
      </w:r>
      <w:r w:rsidRPr="006141CF">
        <w:t xml:space="preserve"> совместного использования частот и совместимости для следующих полос частот:</w:t>
      </w:r>
    </w:p>
    <w:p w14:paraId="33F6963D" w14:textId="2C5275F1" w:rsidR="006D725B" w:rsidRPr="006141CF" w:rsidRDefault="006D725B" w:rsidP="001E4B7A">
      <w:pPr>
        <w:pStyle w:val="enumlev2"/>
      </w:pPr>
      <w:r w:rsidRPr="006141CF">
        <w:rPr>
          <w:szCs w:val="24"/>
        </w:rPr>
        <w:t>–</w:t>
      </w:r>
      <w:r w:rsidRPr="006141CF">
        <w:rPr>
          <w:szCs w:val="24"/>
        </w:rPr>
        <w:tab/>
      </w:r>
      <w:r w:rsidRPr="006141CF">
        <w:t>24</w:t>
      </w:r>
      <w:r w:rsidR="0097041D" w:rsidRPr="006141CF">
        <w:t>,</w:t>
      </w:r>
      <w:r w:rsidRPr="006141CF">
        <w:t>25</w:t>
      </w:r>
      <w:r w:rsidR="0097041D" w:rsidRPr="006141CF">
        <w:t>−</w:t>
      </w:r>
      <w:r w:rsidRPr="006141CF">
        <w:t>27</w:t>
      </w:r>
      <w:r w:rsidR="0097041D" w:rsidRPr="006141CF">
        <w:t>,</w:t>
      </w:r>
      <w:r w:rsidRPr="006141CF">
        <w:t>5</w:t>
      </w:r>
      <w:r w:rsidR="00AB2951" w:rsidRPr="006141CF">
        <w:t> </w:t>
      </w:r>
      <w:r w:rsidR="0097041D" w:rsidRPr="006141CF">
        <w:t>ГГц</w:t>
      </w:r>
      <w:r w:rsidRPr="006141CF">
        <w:rPr>
          <w:vertAlign w:val="superscript"/>
        </w:rPr>
        <w:footnoteReference w:id="2"/>
      </w:r>
      <w:r w:rsidRPr="006141CF">
        <w:t>, 37</w:t>
      </w:r>
      <w:r w:rsidR="0097041D" w:rsidRPr="006141CF">
        <w:t>−</w:t>
      </w:r>
      <w:r w:rsidRPr="006141CF">
        <w:t>40</w:t>
      </w:r>
      <w:r w:rsidR="0097041D" w:rsidRPr="006141CF">
        <w:t>,</w:t>
      </w:r>
      <w:r w:rsidRPr="006141CF">
        <w:t>5</w:t>
      </w:r>
      <w:r w:rsidR="00AB2951" w:rsidRPr="006141CF">
        <w:t> </w:t>
      </w:r>
      <w:r w:rsidR="0097041D" w:rsidRPr="006141CF">
        <w:t>ГГц</w:t>
      </w:r>
      <w:r w:rsidRPr="006141CF">
        <w:t>, 42</w:t>
      </w:r>
      <w:r w:rsidR="0097041D" w:rsidRPr="006141CF">
        <w:t>,</w:t>
      </w:r>
      <w:r w:rsidRPr="006141CF">
        <w:t>5</w:t>
      </w:r>
      <w:r w:rsidR="0097041D" w:rsidRPr="006141CF">
        <w:t>−</w:t>
      </w:r>
      <w:r w:rsidRPr="006141CF">
        <w:t>43</w:t>
      </w:r>
      <w:r w:rsidR="0097041D" w:rsidRPr="006141CF">
        <w:t>,</w:t>
      </w:r>
      <w:r w:rsidRPr="006141CF">
        <w:t>5</w:t>
      </w:r>
      <w:r w:rsidR="00AB2951" w:rsidRPr="006141CF">
        <w:t> ГГц</w:t>
      </w:r>
      <w:r w:rsidRPr="006141CF">
        <w:t>, 45</w:t>
      </w:r>
      <w:r w:rsidR="00AB2951" w:rsidRPr="006141CF">
        <w:t>,</w:t>
      </w:r>
      <w:r w:rsidRPr="006141CF">
        <w:t>5</w:t>
      </w:r>
      <w:r w:rsidR="00AB2951" w:rsidRPr="006141CF">
        <w:t>−</w:t>
      </w:r>
      <w:r w:rsidRPr="006141CF">
        <w:t>47</w:t>
      </w:r>
      <w:r w:rsidR="00AB2951" w:rsidRPr="006141CF">
        <w:t> ГГц</w:t>
      </w:r>
      <w:r w:rsidRPr="006141CF">
        <w:t>, 47</w:t>
      </w:r>
      <w:r w:rsidR="00AB2951" w:rsidRPr="006141CF">
        <w:t>,</w:t>
      </w:r>
      <w:r w:rsidRPr="006141CF">
        <w:t>2</w:t>
      </w:r>
      <w:r w:rsidR="00AB2951" w:rsidRPr="006141CF">
        <w:t>−</w:t>
      </w:r>
      <w:r w:rsidRPr="006141CF">
        <w:t>50</w:t>
      </w:r>
      <w:r w:rsidR="00AB2951" w:rsidRPr="006141CF">
        <w:t>,</w:t>
      </w:r>
      <w:r w:rsidRPr="006141CF">
        <w:t>2</w:t>
      </w:r>
      <w:r w:rsidR="00AB2951" w:rsidRPr="006141CF">
        <w:t> ГГц</w:t>
      </w:r>
      <w:r w:rsidRPr="006141CF">
        <w:t>, 50</w:t>
      </w:r>
      <w:r w:rsidR="00AB2951" w:rsidRPr="006141CF">
        <w:t>,</w:t>
      </w:r>
      <w:r w:rsidRPr="006141CF">
        <w:t>4</w:t>
      </w:r>
      <w:r w:rsidR="00AB2951" w:rsidRPr="006141CF">
        <w:t>−</w:t>
      </w:r>
      <w:r w:rsidRPr="006141CF">
        <w:t>52</w:t>
      </w:r>
      <w:r w:rsidR="00AB2951" w:rsidRPr="006141CF">
        <w:t>,</w:t>
      </w:r>
      <w:r w:rsidRPr="006141CF">
        <w:t>6</w:t>
      </w:r>
      <w:r w:rsidR="00AB2951" w:rsidRPr="006141CF">
        <w:t> ГГц</w:t>
      </w:r>
      <w:r w:rsidRPr="006141CF">
        <w:t>, 66</w:t>
      </w:r>
      <w:r w:rsidR="00AB2951" w:rsidRPr="006141CF">
        <w:t>−</w:t>
      </w:r>
      <w:r w:rsidRPr="006141CF">
        <w:t>76</w:t>
      </w:r>
      <w:r w:rsidR="00AB2951" w:rsidRPr="006141CF">
        <w:t> ГГц</w:t>
      </w:r>
      <w:r w:rsidRPr="006141CF">
        <w:t xml:space="preserve"> </w:t>
      </w:r>
      <w:r w:rsidR="001E4B7A" w:rsidRPr="006141CF">
        <w:t>и</w:t>
      </w:r>
      <w:r w:rsidRPr="006141CF">
        <w:t xml:space="preserve"> 81</w:t>
      </w:r>
      <w:r w:rsidR="00AB2951" w:rsidRPr="006141CF">
        <w:t>−</w:t>
      </w:r>
      <w:r w:rsidRPr="006141CF">
        <w:t>86</w:t>
      </w:r>
      <w:r w:rsidR="00AB2951" w:rsidRPr="006141CF">
        <w:t> ГГц</w:t>
      </w:r>
    </w:p>
    <w:p w14:paraId="41F2369F" w14:textId="5DF2465A" w:rsidR="006D725B" w:rsidRPr="006141CF" w:rsidRDefault="006D725B" w:rsidP="001E4B7A">
      <w:pPr>
        <w:pStyle w:val="enumlev2"/>
      </w:pPr>
      <w:r w:rsidRPr="006141CF">
        <w:rPr>
          <w:szCs w:val="24"/>
        </w:rPr>
        <w:t>–</w:t>
      </w:r>
      <w:r w:rsidRPr="006141CF">
        <w:rPr>
          <w:szCs w:val="24"/>
        </w:rPr>
        <w:tab/>
      </w:r>
      <w:r w:rsidRPr="006141CF">
        <w:t>31</w:t>
      </w:r>
      <w:r w:rsidR="00AB2951" w:rsidRPr="006141CF">
        <w:t>,</w:t>
      </w:r>
      <w:r w:rsidRPr="006141CF">
        <w:t>8</w:t>
      </w:r>
      <w:r w:rsidR="00AB2951" w:rsidRPr="006141CF">
        <w:t>−</w:t>
      </w:r>
      <w:r w:rsidRPr="006141CF">
        <w:t>33</w:t>
      </w:r>
      <w:r w:rsidR="00AB2951" w:rsidRPr="006141CF">
        <w:t>,</w:t>
      </w:r>
      <w:r w:rsidRPr="006141CF">
        <w:t>4</w:t>
      </w:r>
      <w:r w:rsidR="00AB2951" w:rsidRPr="006141CF">
        <w:t> ГГц</w:t>
      </w:r>
      <w:r w:rsidRPr="006141CF">
        <w:t>, 40</w:t>
      </w:r>
      <w:r w:rsidR="00AB2951" w:rsidRPr="006141CF">
        <w:t>,</w:t>
      </w:r>
      <w:r w:rsidRPr="006141CF">
        <w:t>5</w:t>
      </w:r>
      <w:r w:rsidR="00AB2951" w:rsidRPr="006141CF">
        <w:t>−</w:t>
      </w:r>
      <w:r w:rsidRPr="006141CF">
        <w:t>42</w:t>
      </w:r>
      <w:r w:rsidR="00AB2951" w:rsidRPr="006141CF">
        <w:t>,</w:t>
      </w:r>
      <w:r w:rsidRPr="006141CF">
        <w:t>5</w:t>
      </w:r>
      <w:r w:rsidR="00AB2951" w:rsidRPr="006141CF">
        <w:t> ГГц</w:t>
      </w:r>
      <w:r w:rsidRPr="006141CF">
        <w:t xml:space="preserve"> </w:t>
      </w:r>
      <w:r w:rsidR="001E4B7A" w:rsidRPr="006141CF">
        <w:t>и</w:t>
      </w:r>
      <w:r w:rsidRPr="006141CF">
        <w:t xml:space="preserve"> 47</w:t>
      </w:r>
      <w:r w:rsidR="00AB2951" w:rsidRPr="006141CF">
        <w:t>−</w:t>
      </w:r>
      <w:r w:rsidRPr="006141CF">
        <w:t>47</w:t>
      </w:r>
      <w:r w:rsidR="00AB2951" w:rsidRPr="006141CF">
        <w:t>,</w:t>
      </w:r>
      <w:r w:rsidRPr="006141CF">
        <w:t>2</w:t>
      </w:r>
      <w:r w:rsidR="00AB2951" w:rsidRPr="006141CF">
        <w:t> ГГц</w:t>
      </w:r>
    </w:p>
    <w:p w14:paraId="44306555" w14:textId="2871293B" w:rsidR="009B5CC2" w:rsidRPr="006141CF" w:rsidRDefault="0097041D" w:rsidP="001254A6">
      <w:pPr>
        <w:pStyle w:val="Headingb"/>
        <w:rPr>
          <w:lang w:val="ru-RU"/>
        </w:rPr>
      </w:pPr>
      <w:r w:rsidRPr="006141CF">
        <w:rPr>
          <w:lang w:val="ru-RU"/>
        </w:rPr>
        <w:lastRenderedPageBreak/>
        <w:t>Краткое изложение предложений европейских стран по полосам частот</w:t>
      </w:r>
      <w:r w:rsidRPr="006141CF">
        <w:rPr>
          <w:b w:val="0"/>
          <w:lang w:val="ru-RU"/>
        </w:rPr>
        <w:t>:</w:t>
      </w:r>
    </w:p>
    <w:p w14:paraId="4BAE7A47" w14:textId="7F32A0EA" w:rsidR="0078329E" w:rsidRPr="006141CF" w:rsidRDefault="0078329E" w:rsidP="002370A9">
      <w:r w:rsidRPr="006141CF">
        <w:t xml:space="preserve">В этих предложениях европейских стран поддерживается присвоение полос частот 24,25−27,5 ГГц, 40,5−43,5 ГГц </w:t>
      </w:r>
      <w:r w:rsidR="00601055" w:rsidRPr="006141CF">
        <w:t>и</w:t>
      </w:r>
      <w:r w:rsidRPr="006141CF">
        <w:t xml:space="preserve"> 66−71 ГГц подвижной службе на первичной основе в Таблице распределения частот Статьи </w:t>
      </w:r>
      <w:r w:rsidRPr="006141CF">
        <w:rPr>
          <w:b/>
          <w:bCs/>
        </w:rPr>
        <w:t>5</w:t>
      </w:r>
      <w:r w:rsidRPr="006141CF">
        <w:t xml:space="preserve"> и их определение для IMT, в зависимости от случая.</w:t>
      </w:r>
    </w:p>
    <w:p w14:paraId="5D65EBD0" w14:textId="545424C5" w:rsidR="0078329E" w:rsidRPr="006141CF" w:rsidRDefault="0078329E" w:rsidP="0097041D">
      <w:r w:rsidRPr="006141CF">
        <w:t>В этих предложениях европейских стран не поддерживается распределение полос частот </w:t>
      </w:r>
      <w:r w:rsidR="0097041D" w:rsidRPr="006141CF">
        <w:t>31</w:t>
      </w:r>
      <w:r w:rsidR="00AB2951" w:rsidRPr="006141CF">
        <w:t>,</w:t>
      </w:r>
      <w:r w:rsidR="0097041D" w:rsidRPr="006141CF">
        <w:t>8</w:t>
      </w:r>
      <w:r w:rsidR="00AB2951" w:rsidRPr="006141CF">
        <w:t>−</w:t>
      </w:r>
      <w:r w:rsidR="0097041D" w:rsidRPr="006141CF">
        <w:t>33</w:t>
      </w:r>
      <w:r w:rsidR="00AB2951" w:rsidRPr="006141CF">
        <w:t>,</w:t>
      </w:r>
      <w:r w:rsidR="0097041D" w:rsidRPr="006141CF">
        <w:t>4</w:t>
      </w:r>
      <w:r w:rsidR="00AB2951" w:rsidRPr="006141CF">
        <w:t> ГГц</w:t>
      </w:r>
      <w:r w:rsidR="0097041D" w:rsidRPr="006141CF">
        <w:t>, 47</w:t>
      </w:r>
      <w:r w:rsidR="00AB2951" w:rsidRPr="006141CF">
        <w:t>,</w:t>
      </w:r>
      <w:r w:rsidR="0097041D" w:rsidRPr="006141CF">
        <w:t>0</w:t>
      </w:r>
      <w:r w:rsidR="00AB2951" w:rsidRPr="006141CF">
        <w:t>−</w:t>
      </w:r>
      <w:r w:rsidR="0097041D" w:rsidRPr="006141CF">
        <w:t>47</w:t>
      </w:r>
      <w:r w:rsidR="00AB2951" w:rsidRPr="006141CF">
        <w:t>,</w:t>
      </w:r>
      <w:r w:rsidR="0097041D" w:rsidRPr="006141CF">
        <w:t>2</w:t>
      </w:r>
      <w:r w:rsidR="00AB2951" w:rsidRPr="006141CF">
        <w:t> ГГц</w:t>
      </w:r>
      <w:r w:rsidR="0097041D" w:rsidRPr="006141CF">
        <w:t>, 47</w:t>
      </w:r>
      <w:r w:rsidR="00AB2951" w:rsidRPr="006141CF">
        <w:t>,</w:t>
      </w:r>
      <w:r w:rsidR="0097041D" w:rsidRPr="006141CF">
        <w:t>2</w:t>
      </w:r>
      <w:r w:rsidR="00AB2951" w:rsidRPr="006141CF">
        <w:t>−</w:t>
      </w:r>
      <w:r w:rsidR="0097041D" w:rsidRPr="006141CF">
        <w:t>50</w:t>
      </w:r>
      <w:r w:rsidR="00AB2951" w:rsidRPr="006141CF">
        <w:t>,</w:t>
      </w:r>
      <w:r w:rsidR="0097041D" w:rsidRPr="006141CF">
        <w:t>2</w:t>
      </w:r>
      <w:r w:rsidR="00AB2951" w:rsidRPr="006141CF">
        <w:t> ГГц</w:t>
      </w:r>
      <w:r w:rsidR="0097041D" w:rsidRPr="006141CF">
        <w:t>, 50</w:t>
      </w:r>
      <w:r w:rsidR="00AB2951" w:rsidRPr="006141CF">
        <w:t>,</w:t>
      </w:r>
      <w:r w:rsidR="0097041D" w:rsidRPr="006141CF">
        <w:t>4</w:t>
      </w:r>
      <w:r w:rsidR="00AB2951" w:rsidRPr="006141CF">
        <w:t>−</w:t>
      </w:r>
      <w:r w:rsidR="0097041D" w:rsidRPr="006141CF">
        <w:t>52</w:t>
      </w:r>
      <w:r w:rsidR="00AB2951" w:rsidRPr="006141CF">
        <w:t>,</w:t>
      </w:r>
      <w:r w:rsidR="0097041D" w:rsidRPr="006141CF">
        <w:t>6</w:t>
      </w:r>
      <w:r w:rsidR="00AB2951" w:rsidRPr="006141CF">
        <w:t> ГГц</w:t>
      </w:r>
      <w:r w:rsidR="0097041D" w:rsidRPr="006141CF">
        <w:t>, 71</w:t>
      </w:r>
      <w:r w:rsidR="00AB2951" w:rsidRPr="006141CF">
        <w:t>−</w:t>
      </w:r>
      <w:r w:rsidR="0097041D" w:rsidRPr="006141CF">
        <w:t>76</w:t>
      </w:r>
      <w:r w:rsidR="00AB2951" w:rsidRPr="006141CF">
        <w:t> ГГц</w:t>
      </w:r>
      <w:r w:rsidR="0097041D" w:rsidRPr="006141CF">
        <w:t xml:space="preserve"> </w:t>
      </w:r>
      <w:r w:rsidRPr="006141CF">
        <w:t>и</w:t>
      </w:r>
      <w:r w:rsidR="0097041D" w:rsidRPr="006141CF">
        <w:t xml:space="preserve"> 81</w:t>
      </w:r>
      <w:r w:rsidR="00AB2951" w:rsidRPr="006141CF">
        <w:t>−</w:t>
      </w:r>
      <w:r w:rsidR="0097041D" w:rsidRPr="006141CF">
        <w:t>86</w:t>
      </w:r>
      <w:r w:rsidR="00AB2951" w:rsidRPr="006141CF">
        <w:t> ГГц</w:t>
      </w:r>
      <w:r w:rsidR="0097041D" w:rsidRPr="006141CF">
        <w:t xml:space="preserve"> </w:t>
      </w:r>
      <w:r w:rsidRPr="006141CF">
        <w:t xml:space="preserve">подвижной службе на первичной основе в Таблице распределения частот Статьи </w:t>
      </w:r>
      <w:r w:rsidRPr="006141CF">
        <w:rPr>
          <w:b/>
          <w:bCs/>
        </w:rPr>
        <w:t>5</w:t>
      </w:r>
      <w:r w:rsidRPr="006141CF">
        <w:t xml:space="preserve"> и их определение для IMT, в зависимости от случая.</w:t>
      </w:r>
    </w:p>
    <w:p w14:paraId="177E907D" w14:textId="119CBDFD" w:rsidR="0078329E" w:rsidRPr="006141CF" w:rsidRDefault="00120E84" w:rsidP="0097041D">
      <w:r w:rsidRPr="006141CF">
        <w:t xml:space="preserve">Что касается </w:t>
      </w:r>
      <w:r w:rsidR="0078329E" w:rsidRPr="006141CF">
        <w:t>полосы 37</w:t>
      </w:r>
      <w:r w:rsidR="00601055" w:rsidRPr="006141CF">
        <w:t>−</w:t>
      </w:r>
      <w:r w:rsidR="0078329E" w:rsidRPr="006141CF">
        <w:t>40,5 ГГц</w:t>
      </w:r>
      <w:r w:rsidRPr="006141CF">
        <w:t>,</w:t>
      </w:r>
      <w:r w:rsidR="0078329E" w:rsidRPr="006141CF">
        <w:t xml:space="preserve"> в </w:t>
      </w:r>
      <w:r w:rsidRPr="006141CF">
        <w:t>ч</w:t>
      </w:r>
      <w:r w:rsidR="0078329E" w:rsidRPr="006141CF">
        <w:t>асти 8 предложения европейских стран представлено мнение CEПT о</w:t>
      </w:r>
      <w:r w:rsidRPr="006141CF">
        <w:t>б этой полосе</w:t>
      </w:r>
      <w:r w:rsidR="0078329E" w:rsidRPr="006141CF">
        <w:t>, включая соответствующие условия для обеспечения защиты действующих служб в диапазоне 37−40,5 ГГц и ССИЗ (пассивн</w:t>
      </w:r>
      <w:r w:rsidR="00951FE5" w:rsidRPr="006141CF">
        <w:t>ой</w:t>
      </w:r>
      <w:r w:rsidR="0078329E" w:rsidRPr="006141CF">
        <w:t>) в диапазоне 36</w:t>
      </w:r>
      <w:r w:rsidRPr="006141CF">
        <w:t>−</w:t>
      </w:r>
      <w:r w:rsidR="0078329E" w:rsidRPr="006141CF">
        <w:t>37</w:t>
      </w:r>
      <w:r w:rsidRPr="006141CF">
        <w:t> </w:t>
      </w:r>
      <w:r w:rsidR="0078329E" w:rsidRPr="006141CF">
        <w:t>ГГц.</w:t>
      </w:r>
    </w:p>
    <w:p w14:paraId="5B90C982" w14:textId="490D9147" w:rsidR="00120E84" w:rsidRPr="006141CF" w:rsidRDefault="00601055" w:rsidP="0097041D">
      <w:pPr>
        <w:rPr>
          <w:bCs/>
        </w:rPr>
      </w:pPr>
      <w:r w:rsidRPr="006141CF">
        <w:rPr>
          <w:bCs/>
        </w:rPr>
        <w:t>Поддерживается</w:t>
      </w:r>
      <w:r w:rsidRPr="006141CF">
        <w:t xml:space="preserve"> и</w:t>
      </w:r>
      <w:r w:rsidR="00120E84" w:rsidRPr="006141CF">
        <w:t xml:space="preserve">сключение Резолюции </w:t>
      </w:r>
      <w:r w:rsidR="00120E84" w:rsidRPr="006141CF">
        <w:rPr>
          <w:b/>
        </w:rPr>
        <w:t>238 (ВКР-15)</w:t>
      </w:r>
      <w:r w:rsidR="00120E84" w:rsidRPr="006141CF">
        <w:rPr>
          <w:bCs/>
        </w:rPr>
        <w:t>.</w:t>
      </w:r>
    </w:p>
    <w:p w14:paraId="58714ED7" w14:textId="5DFA5CDE" w:rsidR="0097041D" w:rsidRPr="006141CF" w:rsidRDefault="0097041D" w:rsidP="002370A9">
      <w:r w:rsidRPr="006141CF">
        <w:t>Кратко изложенные выше предложения европейских стран разделены на следующие дополнительные документы:</w:t>
      </w:r>
    </w:p>
    <w:p w14:paraId="19A062B0" w14:textId="236D8B8B" w:rsidR="0097041D" w:rsidRPr="006141CF" w:rsidRDefault="00120E84" w:rsidP="0097041D">
      <w:r w:rsidRPr="006141CF">
        <w:rPr>
          <w:b/>
        </w:rPr>
        <w:t>Дополнительный документ</w:t>
      </w:r>
      <w:r w:rsidR="0097041D" w:rsidRPr="006141CF">
        <w:rPr>
          <w:b/>
        </w:rPr>
        <w:t xml:space="preserve"> 1</w:t>
      </w:r>
      <w:r w:rsidR="0097041D" w:rsidRPr="006141CF">
        <w:t xml:space="preserve"> </w:t>
      </w:r>
      <w:r w:rsidR="0097041D" w:rsidRPr="006141CF">
        <w:tab/>
      </w:r>
      <w:r w:rsidRPr="006141CF">
        <w:t>Часть</w:t>
      </w:r>
      <w:r w:rsidR="0097041D" w:rsidRPr="006141CF">
        <w:t xml:space="preserve"> 1 – </w:t>
      </w:r>
      <w:r w:rsidRPr="006141CF">
        <w:t>Полоса частот</w:t>
      </w:r>
      <w:r w:rsidR="0097041D" w:rsidRPr="006141CF">
        <w:t xml:space="preserve"> 24</w:t>
      </w:r>
      <w:r w:rsidR="00AB2951" w:rsidRPr="006141CF">
        <w:t>,</w:t>
      </w:r>
      <w:r w:rsidR="0097041D" w:rsidRPr="006141CF">
        <w:t>25</w:t>
      </w:r>
      <w:r w:rsidR="00AB2951" w:rsidRPr="006141CF">
        <w:t>−</w:t>
      </w:r>
      <w:r w:rsidR="0097041D" w:rsidRPr="006141CF">
        <w:t>27</w:t>
      </w:r>
      <w:r w:rsidR="00AB2951" w:rsidRPr="006141CF">
        <w:t>,</w:t>
      </w:r>
      <w:r w:rsidR="0097041D" w:rsidRPr="006141CF">
        <w:t>5</w:t>
      </w:r>
      <w:r w:rsidR="00AB2951" w:rsidRPr="006141CF">
        <w:t> ГГц</w:t>
      </w:r>
    </w:p>
    <w:p w14:paraId="38F6C47E" w14:textId="7CED8D0F" w:rsidR="0097041D" w:rsidRPr="006141CF" w:rsidRDefault="00120E84" w:rsidP="0097041D">
      <w:r w:rsidRPr="006141CF">
        <w:rPr>
          <w:b/>
        </w:rPr>
        <w:t xml:space="preserve">Дополнительный документ </w:t>
      </w:r>
      <w:r w:rsidR="0097041D" w:rsidRPr="006141CF">
        <w:rPr>
          <w:b/>
        </w:rPr>
        <w:t>2</w:t>
      </w:r>
      <w:r w:rsidR="0097041D" w:rsidRPr="006141CF">
        <w:t xml:space="preserve"> </w:t>
      </w:r>
      <w:r w:rsidR="0097041D" w:rsidRPr="006141CF">
        <w:tab/>
      </w:r>
      <w:r w:rsidRPr="006141CF">
        <w:t xml:space="preserve">Часть </w:t>
      </w:r>
      <w:r w:rsidR="0097041D" w:rsidRPr="006141CF">
        <w:t xml:space="preserve">2 – </w:t>
      </w:r>
      <w:r w:rsidRPr="006141CF">
        <w:t xml:space="preserve">Полоса частот </w:t>
      </w:r>
      <w:r w:rsidR="0097041D" w:rsidRPr="006141CF">
        <w:t>31</w:t>
      </w:r>
      <w:r w:rsidR="00AB2951" w:rsidRPr="006141CF">
        <w:t>,</w:t>
      </w:r>
      <w:r w:rsidR="0097041D" w:rsidRPr="006141CF">
        <w:t>8</w:t>
      </w:r>
      <w:r w:rsidR="00AB2951" w:rsidRPr="006141CF">
        <w:t>−</w:t>
      </w:r>
      <w:r w:rsidR="0097041D" w:rsidRPr="006141CF">
        <w:t>33</w:t>
      </w:r>
      <w:r w:rsidR="00AB2951" w:rsidRPr="006141CF">
        <w:t>,</w:t>
      </w:r>
      <w:r w:rsidR="0097041D" w:rsidRPr="006141CF">
        <w:t>4</w:t>
      </w:r>
      <w:r w:rsidR="00AB2951" w:rsidRPr="006141CF">
        <w:t> ГГц</w:t>
      </w:r>
    </w:p>
    <w:p w14:paraId="6DDCE558" w14:textId="3373F02C" w:rsidR="0097041D" w:rsidRPr="006141CF" w:rsidRDefault="00120E84" w:rsidP="0097041D">
      <w:r w:rsidRPr="006141CF">
        <w:rPr>
          <w:b/>
        </w:rPr>
        <w:t xml:space="preserve">Дополнительный документ </w:t>
      </w:r>
      <w:r w:rsidR="0097041D" w:rsidRPr="006141CF">
        <w:rPr>
          <w:b/>
        </w:rPr>
        <w:t>3</w:t>
      </w:r>
      <w:r w:rsidR="0097041D" w:rsidRPr="006141CF">
        <w:tab/>
      </w:r>
      <w:r w:rsidRPr="006141CF">
        <w:t xml:space="preserve">Часть </w:t>
      </w:r>
      <w:r w:rsidR="0097041D" w:rsidRPr="006141CF">
        <w:t xml:space="preserve">3 – </w:t>
      </w:r>
      <w:r w:rsidRPr="006141CF">
        <w:t xml:space="preserve">Полоса частот </w:t>
      </w:r>
      <w:r w:rsidR="0097041D" w:rsidRPr="006141CF">
        <w:t>37</w:t>
      </w:r>
      <w:r w:rsidR="00AB2951" w:rsidRPr="006141CF">
        <w:t>−</w:t>
      </w:r>
      <w:r w:rsidR="0097041D" w:rsidRPr="006141CF">
        <w:t>40</w:t>
      </w:r>
      <w:r w:rsidR="00AB2951" w:rsidRPr="006141CF">
        <w:t>,</w:t>
      </w:r>
      <w:r w:rsidR="0097041D" w:rsidRPr="006141CF">
        <w:t>5</w:t>
      </w:r>
      <w:r w:rsidR="00AB2951" w:rsidRPr="006141CF">
        <w:t> ГГц</w:t>
      </w:r>
    </w:p>
    <w:p w14:paraId="4E575D6D" w14:textId="4482CEB2" w:rsidR="0097041D" w:rsidRPr="006141CF" w:rsidRDefault="00120E84" w:rsidP="0097041D">
      <w:r w:rsidRPr="006141CF">
        <w:rPr>
          <w:b/>
        </w:rPr>
        <w:t xml:space="preserve">Дополнительный документ </w:t>
      </w:r>
      <w:r w:rsidR="0097041D" w:rsidRPr="006141CF">
        <w:rPr>
          <w:b/>
        </w:rPr>
        <w:t>4</w:t>
      </w:r>
      <w:r w:rsidR="0097041D" w:rsidRPr="006141CF">
        <w:tab/>
      </w:r>
      <w:r w:rsidRPr="006141CF">
        <w:t xml:space="preserve">Часть </w:t>
      </w:r>
      <w:r w:rsidR="0097041D" w:rsidRPr="006141CF">
        <w:t xml:space="preserve">4 – </w:t>
      </w:r>
      <w:r w:rsidRPr="006141CF">
        <w:t xml:space="preserve">Полоса частот </w:t>
      </w:r>
      <w:r w:rsidR="0097041D" w:rsidRPr="006141CF">
        <w:t>40</w:t>
      </w:r>
      <w:r w:rsidR="00AB2951" w:rsidRPr="006141CF">
        <w:t>,</w:t>
      </w:r>
      <w:r w:rsidR="0097041D" w:rsidRPr="006141CF">
        <w:t>5</w:t>
      </w:r>
      <w:r w:rsidR="00AB2951" w:rsidRPr="006141CF">
        <w:t>−</w:t>
      </w:r>
      <w:r w:rsidR="0097041D" w:rsidRPr="006141CF">
        <w:t>43</w:t>
      </w:r>
      <w:r w:rsidR="00AB2951" w:rsidRPr="006141CF">
        <w:t>,</w:t>
      </w:r>
      <w:r w:rsidR="0097041D" w:rsidRPr="006141CF">
        <w:t>5</w:t>
      </w:r>
      <w:r w:rsidR="00790CB0" w:rsidRPr="006141CF">
        <w:t> ГГц</w:t>
      </w:r>
    </w:p>
    <w:p w14:paraId="08A7ED33" w14:textId="48504592" w:rsidR="0097041D" w:rsidRPr="006141CF" w:rsidRDefault="00120E84" w:rsidP="0097041D">
      <w:r w:rsidRPr="006141CF">
        <w:rPr>
          <w:b/>
        </w:rPr>
        <w:t xml:space="preserve">Дополнительный документ </w:t>
      </w:r>
      <w:r w:rsidR="0097041D" w:rsidRPr="006141CF">
        <w:rPr>
          <w:b/>
        </w:rPr>
        <w:t>5</w:t>
      </w:r>
      <w:r w:rsidR="0097041D" w:rsidRPr="006141CF">
        <w:tab/>
      </w:r>
      <w:r w:rsidRPr="006141CF">
        <w:t xml:space="preserve">Часть </w:t>
      </w:r>
      <w:r w:rsidR="0097041D" w:rsidRPr="006141CF">
        <w:t xml:space="preserve">5 – </w:t>
      </w:r>
      <w:r w:rsidRPr="006141CF">
        <w:t xml:space="preserve">Полоса частот </w:t>
      </w:r>
      <w:r w:rsidR="0097041D" w:rsidRPr="006141CF">
        <w:t>47</w:t>
      </w:r>
      <w:r w:rsidR="00790CB0" w:rsidRPr="006141CF">
        <w:t>,</w:t>
      </w:r>
      <w:r w:rsidR="0097041D" w:rsidRPr="006141CF">
        <w:t>0</w:t>
      </w:r>
      <w:r w:rsidR="00790CB0" w:rsidRPr="006141CF">
        <w:t>−</w:t>
      </w:r>
      <w:r w:rsidR="0097041D" w:rsidRPr="006141CF">
        <w:t>47</w:t>
      </w:r>
      <w:r w:rsidR="00790CB0" w:rsidRPr="006141CF">
        <w:t>,</w:t>
      </w:r>
      <w:r w:rsidR="0097041D" w:rsidRPr="006141CF">
        <w:t>2</w:t>
      </w:r>
      <w:r w:rsidR="00790CB0" w:rsidRPr="006141CF">
        <w:t> ГГц</w:t>
      </w:r>
    </w:p>
    <w:p w14:paraId="2D4385C2" w14:textId="5FB4F2A9" w:rsidR="0097041D" w:rsidRPr="006141CF" w:rsidRDefault="00120E84" w:rsidP="0097041D">
      <w:r w:rsidRPr="006141CF">
        <w:rPr>
          <w:b/>
        </w:rPr>
        <w:t xml:space="preserve">Дополнительный документ </w:t>
      </w:r>
      <w:r w:rsidR="0097041D" w:rsidRPr="006141CF">
        <w:rPr>
          <w:b/>
        </w:rPr>
        <w:t>6</w:t>
      </w:r>
      <w:r w:rsidR="0097041D" w:rsidRPr="006141CF">
        <w:tab/>
      </w:r>
      <w:r w:rsidRPr="006141CF">
        <w:t xml:space="preserve">Часть </w:t>
      </w:r>
      <w:r w:rsidR="0097041D" w:rsidRPr="006141CF">
        <w:t xml:space="preserve">6 – </w:t>
      </w:r>
      <w:r w:rsidRPr="006141CF">
        <w:t xml:space="preserve">Полоса частот </w:t>
      </w:r>
      <w:r w:rsidR="0097041D" w:rsidRPr="006141CF">
        <w:t>47</w:t>
      </w:r>
      <w:r w:rsidR="00790CB0" w:rsidRPr="006141CF">
        <w:t>,</w:t>
      </w:r>
      <w:r w:rsidR="0097041D" w:rsidRPr="006141CF">
        <w:t>2</w:t>
      </w:r>
      <w:r w:rsidR="00790CB0" w:rsidRPr="006141CF">
        <w:t>−</w:t>
      </w:r>
      <w:r w:rsidR="0097041D" w:rsidRPr="006141CF">
        <w:t>50</w:t>
      </w:r>
      <w:r w:rsidR="00790CB0" w:rsidRPr="006141CF">
        <w:t>,</w:t>
      </w:r>
      <w:r w:rsidR="0097041D" w:rsidRPr="006141CF">
        <w:t>2</w:t>
      </w:r>
      <w:r w:rsidR="00790CB0" w:rsidRPr="006141CF">
        <w:t> ГГц</w:t>
      </w:r>
    </w:p>
    <w:p w14:paraId="126F4137" w14:textId="220495D5" w:rsidR="0097041D" w:rsidRPr="006141CF" w:rsidRDefault="00120E84" w:rsidP="0097041D">
      <w:r w:rsidRPr="006141CF">
        <w:rPr>
          <w:b/>
        </w:rPr>
        <w:t xml:space="preserve">Дополнительный документ </w:t>
      </w:r>
      <w:r w:rsidR="0097041D" w:rsidRPr="006141CF">
        <w:rPr>
          <w:b/>
        </w:rPr>
        <w:t>7</w:t>
      </w:r>
      <w:r w:rsidR="0097041D" w:rsidRPr="006141CF">
        <w:tab/>
      </w:r>
      <w:r w:rsidRPr="006141CF">
        <w:t xml:space="preserve">Часть </w:t>
      </w:r>
      <w:r w:rsidR="0097041D" w:rsidRPr="006141CF">
        <w:t xml:space="preserve">7 – </w:t>
      </w:r>
      <w:r w:rsidRPr="006141CF">
        <w:t xml:space="preserve">Полоса частот </w:t>
      </w:r>
      <w:r w:rsidR="0097041D" w:rsidRPr="006141CF">
        <w:t>50</w:t>
      </w:r>
      <w:r w:rsidR="00790CB0" w:rsidRPr="006141CF">
        <w:t>,</w:t>
      </w:r>
      <w:r w:rsidR="0097041D" w:rsidRPr="006141CF">
        <w:t>4</w:t>
      </w:r>
      <w:r w:rsidR="00790CB0" w:rsidRPr="006141CF">
        <w:t>−</w:t>
      </w:r>
      <w:r w:rsidR="0097041D" w:rsidRPr="006141CF">
        <w:t>52</w:t>
      </w:r>
      <w:r w:rsidR="00790CB0" w:rsidRPr="006141CF">
        <w:t>,</w:t>
      </w:r>
      <w:r w:rsidR="0097041D" w:rsidRPr="006141CF">
        <w:t>6</w:t>
      </w:r>
      <w:r w:rsidR="00790CB0" w:rsidRPr="006141CF">
        <w:t> ГГц</w:t>
      </w:r>
    </w:p>
    <w:p w14:paraId="5125975F" w14:textId="62AD3B41" w:rsidR="0097041D" w:rsidRPr="006141CF" w:rsidRDefault="00120E84" w:rsidP="0097041D">
      <w:r w:rsidRPr="006141CF">
        <w:rPr>
          <w:b/>
        </w:rPr>
        <w:t xml:space="preserve">Дополнительный документ </w:t>
      </w:r>
      <w:r w:rsidR="0097041D" w:rsidRPr="006141CF">
        <w:rPr>
          <w:b/>
        </w:rPr>
        <w:t>8</w:t>
      </w:r>
      <w:r w:rsidR="0097041D" w:rsidRPr="006141CF">
        <w:tab/>
      </w:r>
      <w:r w:rsidRPr="006141CF">
        <w:t xml:space="preserve">Часть </w:t>
      </w:r>
      <w:r w:rsidR="0097041D" w:rsidRPr="006141CF">
        <w:t xml:space="preserve">8 – </w:t>
      </w:r>
      <w:r w:rsidRPr="006141CF">
        <w:t xml:space="preserve">Полоса частот </w:t>
      </w:r>
      <w:r w:rsidR="0097041D" w:rsidRPr="006141CF">
        <w:t>66</w:t>
      </w:r>
      <w:r w:rsidR="00790CB0" w:rsidRPr="006141CF">
        <w:t>−</w:t>
      </w:r>
      <w:r w:rsidR="0097041D" w:rsidRPr="006141CF">
        <w:t>71</w:t>
      </w:r>
      <w:r w:rsidR="00790CB0" w:rsidRPr="006141CF">
        <w:t> ГГц</w:t>
      </w:r>
    </w:p>
    <w:p w14:paraId="2A2D00CA" w14:textId="3E4CCC2B" w:rsidR="0097041D" w:rsidRPr="006141CF" w:rsidRDefault="00120E84" w:rsidP="0097041D">
      <w:r w:rsidRPr="006141CF">
        <w:rPr>
          <w:b/>
        </w:rPr>
        <w:t xml:space="preserve">Дополнительный документ </w:t>
      </w:r>
      <w:r w:rsidR="0097041D" w:rsidRPr="006141CF">
        <w:rPr>
          <w:b/>
        </w:rPr>
        <w:t>9</w:t>
      </w:r>
      <w:r w:rsidR="0097041D" w:rsidRPr="006141CF">
        <w:t xml:space="preserve"> </w:t>
      </w:r>
      <w:r w:rsidR="0097041D" w:rsidRPr="006141CF">
        <w:tab/>
      </w:r>
      <w:r w:rsidRPr="006141CF">
        <w:t xml:space="preserve">Часть </w:t>
      </w:r>
      <w:r w:rsidR="0097041D" w:rsidRPr="006141CF">
        <w:t xml:space="preserve">9 – </w:t>
      </w:r>
      <w:r w:rsidRPr="006141CF">
        <w:t xml:space="preserve">Полоса частот </w:t>
      </w:r>
      <w:r w:rsidR="0097041D" w:rsidRPr="006141CF">
        <w:t>71</w:t>
      </w:r>
      <w:r w:rsidR="00790CB0" w:rsidRPr="006141CF">
        <w:t>−</w:t>
      </w:r>
      <w:r w:rsidR="0097041D" w:rsidRPr="006141CF">
        <w:t>76</w:t>
      </w:r>
      <w:r w:rsidR="00790CB0" w:rsidRPr="006141CF">
        <w:t> ГГц</w:t>
      </w:r>
    </w:p>
    <w:p w14:paraId="1B8400BB" w14:textId="4E44FED8" w:rsidR="0097041D" w:rsidRPr="006141CF" w:rsidRDefault="00120E84" w:rsidP="0097041D">
      <w:r w:rsidRPr="006141CF">
        <w:rPr>
          <w:b/>
        </w:rPr>
        <w:t xml:space="preserve">Дополнительный документ </w:t>
      </w:r>
      <w:r w:rsidR="0097041D" w:rsidRPr="006141CF">
        <w:rPr>
          <w:b/>
        </w:rPr>
        <w:t>10</w:t>
      </w:r>
      <w:r w:rsidR="0097041D" w:rsidRPr="006141CF">
        <w:t xml:space="preserve"> </w:t>
      </w:r>
      <w:r w:rsidR="0097041D" w:rsidRPr="006141CF">
        <w:tab/>
      </w:r>
      <w:r w:rsidRPr="006141CF">
        <w:t xml:space="preserve">Часть </w:t>
      </w:r>
      <w:r w:rsidR="0097041D" w:rsidRPr="006141CF">
        <w:t xml:space="preserve">10 – </w:t>
      </w:r>
      <w:r w:rsidRPr="006141CF">
        <w:t xml:space="preserve">Полоса частот </w:t>
      </w:r>
      <w:r w:rsidR="0097041D" w:rsidRPr="006141CF">
        <w:t>81</w:t>
      </w:r>
      <w:r w:rsidR="00790CB0" w:rsidRPr="006141CF">
        <w:t>−</w:t>
      </w:r>
      <w:r w:rsidR="0097041D" w:rsidRPr="006141CF">
        <w:t>86</w:t>
      </w:r>
      <w:r w:rsidR="00790CB0" w:rsidRPr="006141CF">
        <w:t> ГГц</w:t>
      </w:r>
    </w:p>
    <w:p w14:paraId="11AB540E" w14:textId="17D67DB4" w:rsidR="0097041D" w:rsidRPr="006141CF" w:rsidRDefault="00120E84" w:rsidP="00D3376C">
      <w:r w:rsidRPr="006141CF">
        <w:rPr>
          <w:b/>
          <w:bCs/>
        </w:rPr>
        <w:t xml:space="preserve">Дополнительный документ </w:t>
      </w:r>
      <w:r w:rsidR="0097041D" w:rsidRPr="006141CF">
        <w:rPr>
          <w:b/>
          <w:bCs/>
        </w:rPr>
        <w:t>11</w:t>
      </w:r>
      <w:r w:rsidR="0097041D" w:rsidRPr="006141CF">
        <w:t xml:space="preserve"> </w:t>
      </w:r>
      <w:r w:rsidR="0097041D" w:rsidRPr="006141CF">
        <w:tab/>
      </w:r>
      <w:r w:rsidRPr="006141CF">
        <w:t xml:space="preserve">Часть </w:t>
      </w:r>
      <w:r w:rsidR="0097041D" w:rsidRPr="006141CF">
        <w:t xml:space="preserve">11 – </w:t>
      </w:r>
      <w:r w:rsidRPr="006141CF">
        <w:t>Резолюция</w:t>
      </w:r>
      <w:r w:rsidR="0097041D" w:rsidRPr="006141CF">
        <w:t xml:space="preserve"> </w:t>
      </w:r>
      <w:r w:rsidR="0097041D" w:rsidRPr="006141CF">
        <w:rPr>
          <w:b/>
          <w:bCs/>
        </w:rPr>
        <w:t>238</w:t>
      </w:r>
      <w:r w:rsidR="00790CB0" w:rsidRPr="006141CF">
        <w:rPr>
          <w:b/>
          <w:bCs/>
        </w:rPr>
        <w:t> </w:t>
      </w:r>
      <w:r w:rsidR="0097041D" w:rsidRPr="006141CF">
        <w:rPr>
          <w:b/>
          <w:bCs/>
        </w:rPr>
        <w:t>(</w:t>
      </w:r>
      <w:r w:rsidR="00790CB0" w:rsidRPr="006141CF">
        <w:rPr>
          <w:b/>
          <w:bCs/>
        </w:rPr>
        <w:t>ВКР</w:t>
      </w:r>
      <w:r w:rsidR="0097041D" w:rsidRPr="006141CF">
        <w:rPr>
          <w:b/>
          <w:bCs/>
        </w:rPr>
        <w:t>-15)</w:t>
      </w:r>
    </w:p>
    <w:p w14:paraId="74C459DA" w14:textId="77777777" w:rsidR="0097041D" w:rsidRPr="006141CF" w:rsidRDefault="0097041D" w:rsidP="00D3376C">
      <w:pPr>
        <w:spacing w:before="720"/>
        <w:jc w:val="center"/>
      </w:pPr>
      <w:r w:rsidRPr="006141CF">
        <w:t>______________</w:t>
      </w:r>
    </w:p>
    <w:sectPr w:rsidR="0097041D" w:rsidRPr="006141CF">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53FC7" w14:textId="77777777" w:rsidR="00F1578A" w:rsidRDefault="00F1578A">
      <w:r>
        <w:separator/>
      </w:r>
    </w:p>
  </w:endnote>
  <w:endnote w:type="continuationSeparator" w:id="0">
    <w:p w14:paraId="12985B6B" w14:textId="77777777" w:rsidR="00F1578A" w:rsidRDefault="00F1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CA828" w14:textId="77777777" w:rsidR="00567276" w:rsidRDefault="00567276">
    <w:pPr>
      <w:framePr w:wrap="around" w:vAnchor="text" w:hAnchor="margin" w:xAlign="right" w:y="1"/>
    </w:pPr>
    <w:r>
      <w:fldChar w:fldCharType="begin"/>
    </w:r>
    <w:r>
      <w:instrText xml:space="preserve">PAGE  </w:instrText>
    </w:r>
    <w:r>
      <w:fldChar w:fldCharType="end"/>
    </w:r>
  </w:p>
  <w:p w14:paraId="3B6BFC78" w14:textId="08B5E825" w:rsidR="00567276" w:rsidRDefault="00567276">
    <w:pPr>
      <w:ind w:right="360"/>
      <w:rPr>
        <w:lang w:val="fr-FR"/>
      </w:rPr>
    </w:pPr>
    <w:r>
      <w:fldChar w:fldCharType="begin"/>
    </w:r>
    <w:r>
      <w:rPr>
        <w:lang w:val="fr-FR"/>
      </w:rPr>
      <w:instrText xml:space="preserve"> FILENAME \p  \* MERGEFORMAT </w:instrText>
    </w:r>
    <w:r>
      <w:fldChar w:fldCharType="separate"/>
    </w:r>
    <w:r w:rsidR="00F812D1">
      <w:rPr>
        <w:noProof/>
        <w:lang w:val="fr-FR"/>
      </w:rPr>
      <w:t>P:\TRAD\R\ITU-R\CONF-R\CMR19\000\016ADD13R.docx</w:t>
    </w:r>
    <w:r>
      <w:fldChar w:fldCharType="end"/>
    </w:r>
    <w:r>
      <w:rPr>
        <w:lang w:val="fr-FR"/>
      </w:rPr>
      <w:tab/>
    </w:r>
    <w:r>
      <w:fldChar w:fldCharType="begin"/>
    </w:r>
    <w:r>
      <w:instrText xml:space="preserve"> SAVEDATE \@ DD.MM.YY </w:instrText>
    </w:r>
    <w:r>
      <w:fldChar w:fldCharType="separate"/>
    </w:r>
    <w:r w:rsidR="001F0A20">
      <w:rPr>
        <w:noProof/>
      </w:rPr>
      <w:t>19.10.19</w:t>
    </w:r>
    <w:r>
      <w:fldChar w:fldCharType="end"/>
    </w:r>
    <w:r>
      <w:rPr>
        <w:lang w:val="fr-FR"/>
      </w:rPr>
      <w:tab/>
    </w:r>
    <w:r>
      <w:fldChar w:fldCharType="begin"/>
    </w:r>
    <w:r>
      <w:instrText xml:space="preserve"> PRINTDATE \@ DD.MM.YY </w:instrText>
    </w:r>
    <w:r>
      <w:fldChar w:fldCharType="separate"/>
    </w:r>
    <w:r w:rsidR="00F812D1">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3F776" w14:textId="339CD204" w:rsidR="00567276" w:rsidRDefault="00790CB0" w:rsidP="00F33B22">
    <w:pPr>
      <w:pStyle w:val="Footer"/>
    </w:pPr>
    <w:r>
      <w:fldChar w:fldCharType="begin"/>
    </w:r>
    <w:r>
      <w:rPr>
        <w:lang w:val="fr-FR"/>
      </w:rPr>
      <w:instrText xml:space="preserve"> FILENAME \p  \* MERGEFORMAT </w:instrText>
    </w:r>
    <w:r>
      <w:fldChar w:fldCharType="separate"/>
    </w:r>
    <w:r w:rsidR="00F812D1">
      <w:rPr>
        <w:lang w:val="fr-FR"/>
      </w:rPr>
      <w:t>P:\TRAD\R\ITU-R\CONF-R\CMR19\000\016ADD13R.docx</w:t>
    </w:r>
    <w:r>
      <w:fldChar w:fldCharType="end"/>
    </w:r>
    <w:r w:rsidRPr="00F812D1">
      <w:t xml:space="preserve"> (462009)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1" w:name="_Hlk21682026"/>
  <w:p w14:paraId="63A830B4" w14:textId="654F64EC" w:rsidR="00567276" w:rsidRPr="00F812D1" w:rsidRDefault="00567276" w:rsidP="00FB67E5">
    <w:pPr>
      <w:pStyle w:val="Footer"/>
    </w:pPr>
    <w:r>
      <w:fldChar w:fldCharType="begin"/>
    </w:r>
    <w:r>
      <w:rPr>
        <w:lang w:val="fr-FR"/>
      </w:rPr>
      <w:instrText xml:space="preserve"> FILENAME \p  \* MERGEFORMAT </w:instrText>
    </w:r>
    <w:r>
      <w:fldChar w:fldCharType="separate"/>
    </w:r>
    <w:r w:rsidR="00F812D1">
      <w:rPr>
        <w:lang w:val="fr-FR"/>
      </w:rPr>
      <w:t>P:\TRAD\R\ITU-R\CONF-R\CMR19\000\016ADD13R.docx</w:t>
    </w:r>
    <w:r>
      <w:fldChar w:fldCharType="end"/>
    </w:r>
    <w:r w:rsidR="00790CB0" w:rsidRPr="00F812D1">
      <w:t xml:space="preserve"> (462009)</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A0504" w14:textId="77777777" w:rsidR="00F1578A" w:rsidRDefault="00F1578A">
      <w:r>
        <w:rPr>
          <w:b/>
        </w:rPr>
        <w:t>_______________</w:t>
      </w:r>
    </w:p>
  </w:footnote>
  <w:footnote w:type="continuationSeparator" w:id="0">
    <w:p w14:paraId="79A15D4C" w14:textId="77777777" w:rsidR="00F1578A" w:rsidRDefault="00F1578A">
      <w:r>
        <w:continuationSeparator/>
      </w:r>
    </w:p>
  </w:footnote>
  <w:footnote w:id="1">
    <w:p w14:paraId="0BCE2F2F" w14:textId="7620F794" w:rsidR="00C334C7" w:rsidRPr="00C77844" w:rsidRDefault="00C334C7">
      <w:pPr>
        <w:pStyle w:val="FootnoteText"/>
        <w:rPr>
          <w:lang w:val="ru-RU"/>
        </w:rPr>
      </w:pPr>
      <w:r>
        <w:rPr>
          <w:rStyle w:val="FootnoteReference"/>
        </w:rPr>
        <w:footnoteRef/>
      </w:r>
      <w:r w:rsidRPr="00C77844">
        <w:rPr>
          <w:lang w:val="ru-RU"/>
        </w:rPr>
        <w:t xml:space="preserve"> </w:t>
      </w:r>
      <w:r w:rsidR="009B0901">
        <w:rPr>
          <w:lang w:val="ru-RU"/>
        </w:rPr>
        <w:tab/>
      </w:r>
      <w:r w:rsidR="00C77844" w:rsidRPr="00C77844">
        <w:rPr>
          <w:lang w:val="ru-RU"/>
        </w:rPr>
        <w:t>Включая исследования в отношении служб в соседних полосах частот, в зависимости от необходимости.</w:t>
      </w:r>
    </w:p>
  </w:footnote>
  <w:footnote w:id="2">
    <w:p w14:paraId="751E4B73" w14:textId="3C974B8D" w:rsidR="006D725B" w:rsidRPr="00C77844" w:rsidRDefault="006D725B" w:rsidP="006D725B">
      <w:pPr>
        <w:pStyle w:val="FootnoteText"/>
        <w:rPr>
          <w:lang w:val="ru-RU"/>
        </w:rPr>
      </w:pPr>
      <w:r w:rsidRPr="001B7828">
        <w:rPr>
          <w:rStyle w:val="FootnoteReference"/>
        </w:rPr>
        <w:footnoteRef/>
      </w:r>
      <w:r w:rsidRPr="00C77844">
        <w:rPr>
          <w:rStyle w:val="FootnoteReference"/>
          <w:lang w:val="ru-RU"/>
        </w:rPr>
        <w:t xml:space="preserve"> </w:t>
      </w:r>
      <w:r w:rsidRPr="00C77844">
        <w:rPr>
          <w:lang w:val="ru-RU"/>
        </w:rPr>
        <w:tab/>
      </w:r>
      <w:r w:rsidR="00C77844" w:rsidRPr="00C77844">
        <w:rPr>
          <w:lang w:val="ru-RU"/>
        </w:rPr>
        <w:t>При проведении исследований в полосе частот 24,5–27,5</w:t>
      </w:r>
      <w:r w:rsidR="0094794F">
        <w:rPr>
          <w:lang w:val="en-US"/>
        </w:rPr>
        <w:t> </w:t>
      </w:r>
      <w:r w:rsidR="00C77844" w:rsidRPr="00C77844">
        <w:rPr>
          <w:lang w:val="ru-RU"/>
        </w:rPr>
        <w:t>ГГц принять во внимание необходимость обеспечения защиты существующих земных станций и развертываемых будущих приемных земных станций в рамках распределений ССИЗ (космос-Земля) и СКИ (космос-Земля) в полосе частот 25,5−27</w:t>
      </w:r>
      <w:r w:rsidR="0094794F">
        <w:rPr>
          <w:lang w:val="en-US"/>
        </w:rPr>
        <w:t> </w:t>
      </w:r>
      <w:r w:rsidR="00C77844" w:rsidRPr="00C77844">
        <w:rPr>
          <w:lang w:val="ru-RU"/>
        </w:rPr>
        <w:t>ГГц.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6F79D" w14:textId="62CC03C6" w:rsidR="00567276" w:rsidRPr="00434A7C" w:rsidRDefault="00567276" w:rsidP="00DE2EBA">
    <w:pPr>
      <w:pStyle w:val="Header"/>
      <w:rPr>
        <w:lang w:val="en-US"/>
      </w:rPr>
    </w:pPr>
    <w:r>
      <w:fldChar w:fldCharType="begin"/>
    </w:r>
    <w:r>
      <w:instrText xml:space="preserve"> PAGE </w:instrText>
    </w:r>
    <w:r>
      <w:fldChar w:fldCharType="separate"/>
    </w:r>
    <w:r w:rsidR="001F0A20">
      <w:rPr>
        <w:noProof/>
      </w:rPr>
      <w:t>2</w:t>
    </w:r>
    <w:r>
      <w:fldChar w:fldCharType="end"/>
    </w:r>
  </w:p>
  <w:p w14:paraId="41A623D1" w14:textId="77777777" w:rsidR="00567276" w:rsidRDefault="00567276" w:rsidP="00F65316">
    <w:pPr>
      <w:pStyle w:val="Header"/>
      <w:rPr>
        <w:lang w:val="en-US"/>
      </w:rPr>
    </w:pPr>
    <w:r>
      <w:t>CMR</w:t>
    </w:r>
    <w:r w:rsidR="00434A7C">
      <w:rPr>
        <w:lang w:val="en-US"/>
      </w:rPr>
      <w:t>1</w:t>
    </w:r>
    <w:r w:rsidR="00F65316">
      <w:rPr>
        <w:lang w:val="en-US"/>
      </w:rPr>
      <w:t>9</w:t>
    </w:r>
    <w:r>
      <w:t>/</w:t>
    </w:r>
    <w:r w:rsidR="00F761D2">
      <w:t>16(Add.13)-</w:t>
    </w:r>
    <w:r w:rsidR="00113D0B"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A0EF3"/>
    <w:rsid w:val="000C3F55"/>
    <w:rsid w:val="000F33D8"/>
    <w:rsid w:val="000F39B4"/>
    <w:rsid w:val="00113D0B"/>
    <w:rsid w:val="00120E84"/>
    <w:rsid w:val="001226EC"/>
    <w:rsid w:val="00123B68"/>
    <w:rsid w:val="00124C09"/>
    <w:rsid w:val="001254A6"/>
    <w:rsid w:val="00126F2E"/>
    <w:rsid w:val="001521AE"/>
    <w:rsid w:val="001A5585"/>
    <w:rsid w:val="001E4B7A"/>
    <w:rsid w:val="001E5FB4"/>
    <w:rsid w:val="001F0A20"/>
    <w:rsid w:val="001F5977"/>
    <w:rsid w:val="00202CA0"/>
    <w:rsid w:val="00230582"/>
    <w:rsid w:val="002370A9"/>
    <w:rsid w:val="002449AA"/>
    <w:rsid w:val="00245A1F"/>
    <w:rsid w:val="00290C74"/>
    <w:rsid w:val="002A2D3F"/>
    <w:rsid w:val="00300F84"/>
    <w:rsid w:val="003258F2"/>
    <w:rsid w:val="00344EB8"/>
    <w:rsid w:val="00346BEC"/>
    <w:rsid w:val="00371E4B"/>
    <w:rsid w:val="00384671"/>
    <w:rsid w:val="003C583C"/>
    <w:rsid w:val="003F0078"/>
    <w:rsid w:val="003F34DE"/>
    <w:rsid w:val="00434A7C"/>
    <w:rsid w:val="0045143A"/>
    <w:rsid w:val="004A58F4"/>
    <w:rsid w:val="004B716F"/>
    <w:rsid w:val="004C1369"/>
    <w:rsid w:val="004C47ED"/>
    <w:rsid w:val="004F3B0D"/>
    <w:rsid w:val="0051315E"/>
    <w:rsid w:val="005144A9"/>
    <w:rsid w:val="00514E1F"/>
    <w:rsid w:val="00521B1D"/>
    <w:rsid w:val="005305D5"/>
    <w:rsid w:val="00540D1E"/>
    <w:rsid w:val="005651C9"/>
    <w:rsid w:val="00567276"/>
    <w:rsid w:val="005755E2"/>
    <w:rsid w:val="00597005"/>
    <w:rsid w:val="005A295E"/>
    <w:rsid w:val="005D1879"/>
    <w:rsid w:val="005D4E03"/>
    <w:rsid w:val="005D79A3"/>
    <w:rsid w:val="005E61DD"/>
    <w:rsid w:val="00601055"/>
    <w:rsid w:val="006023DF"/>
    <w:rsid w:val="006115BE"/>
    <w:rsid w:val="006141CF"/>
    <w:rsid w:val="00614771"/>
    <w:rsid w:val="00620DD7"/>
    <w:rsid w:val="00657DE0"/>
    <w:rsid w:val="0068484C"/>
    <w:rsid w:val="00692C06"/>
    <w:rsid w:val="006A6E9B"/>
    <w:rsid w:val="006D725B"/>
    <w:rsid w:val="00763F4F"/>
    <w:rsid w:val="00775720"/>
    <w:rsid w:val="0078329E"/>
    <w:rsid w:val="00790CB0"/>
    <w:rsid w:val="007917AE"/>
    <w:rsid w:val="007A08B5"/>
    <w:rsid w:val="00811633"/>
    <w:rsid w:val="00812452"/>
    <w:rsid w:val="00815749"/>
    <w:rsid w:val="00872FC8"/>
    <w:rsid w:val="008B43F2"/>
    <w:rsid w:val="008C3257"/>
    <w:rsid w:val="008C401C"/>
    <w:rsid w:val="009119CC"/>
    <w:rsid w:val="00917C0A"/>
    <w:rsid w:val="00941A02"/>
    <w:rsid w:val="0094794F"/>
    <w:rsid w:val="00951FE5"/>
    <w:rsid w:val="00966C93"/>
    <w:rsid w:val="0097041D"/>
    <w:rsid w:val="00987FA4"/>
    <w:rsid w:val="009B0901"/>
    <w:rsid w:val="009B5CC2"/>
    <w:rsid w:val="009D3D63"/>
    <w:rsid w:val="009E5FC8"/>
    <w:rsid w:val="00A117A3"/>
    <w:rsid w:val="00A138D0"/>
    <w:rsid w:val="00A141AF"/>
    <w:rsid w:val="00A16CCB"/>
    <w:rsid w:val="00A2044F"/>
    <w:rsid w:val="00A4600A"/>
    <w:rsid w:val="00A57C04"/>
    <w:rsid w:val="00A61057"/>
    <w:rsid w:val="00A710E7"/>
    <w:rsid w:val="00A81026"/>
    <w:rsid w:val="00A97EC0"/>
    <w:rsid w:val="00AB2951"/>
    <w:rsid w:val="00AC66E6"/>
    <w:rsid w:val="00B24E60"/>
    <w:rsid w:val="00B35866"/>
    <w:rsid w:val="00B468A6"/>
    <w:rsid w:val="00B75113"/>
    <w:rsid w:val="00BA13A4"/>
    <w:rsid w:val="00BA1AA1"/>
    <w:rsid w:val="00BA35DC"/>
    <w:rsid w:val="00BC5313"/>
    <w:rsid w:val="00BD0D2F"/>
    <w:rsid w:val="00BD1129"/>
    <w:rsid w:val="00C0572C"/>
    <w:rsid w:val="00C20466"/>
    <w:rsid w:val="00C266F4"/>
    <w:rsid w:val="00C324A8"/>
    <w:rsid w:val="00C334C7"/>
    <w:rsid w:val="00C56E7A"/>
    <w:rsid w:val="00C77844"/>
    <w:rsid w:val="00C779CE"/>
    <w:rsid w:val="00C916AF"/>
    <w:rsid w:val="00CC47C6"/>
    <w:rsid w:val="00CC4DE6"/>
    <w:rsid w:val="00CE5E47"/>
    <w:rsid w:val="00CF020F"/>
    <w:rsid w:val="00D3376C"/>
    <w:rsid w:val="00D37EFD"/>
    <w:rsid w:val="00D53715"/>
    <w:rsid w:val="00DE2EBA"/>
    <w:rsid w:val="00E2253F"/>
    <w:rsid w:val="00E43E99"/>
    <w:rsid w:val="00E5155F"/>
    <w:rsid w:val="00E65919"/>
    <w:rsid w:val="00E976C1"/>
    <w:rsid w:val="00EA0C0C"/>
    <w:rsid w:val="00EA46EE"/>
    <w:rsid w:val="00EB66F7"/>
    <w:rsid w:val="00F1578A"/>
    <w:rsid w:val="00F21A03"/>
    <w:rsid w:val="00F33B22"/>
    <w:rsid w:val="00F65316"/>
    <w:rsid w:val="00F65C19"/>
    <w:rsid w:val="00F761D2"/>
    <w:rsid w:val="00F812D1"/>
    <w:rsid w:val="00F97203"/>
    <w:rsid w:val="00FB67E5"/>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BCDEE"/>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90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qFormat/>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qFormat/>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iPriority w:val="99"/>
    <w:qFormat/>
    <w:rsid w:val="00941A02"/>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941A02"/>
    <w:pPr>
      <w:keepLines/>
      <w:tabs>
        <w:tab w:val="left" w:pos="284"/>
      </w:tabs>
      <w:spacing w:before="60"/>
    </w:pPr>
    <w:rPr>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49148416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R16-WRC19-C-0016!A13!MSW-R</DPM_x0020_File_x0020_name>
    <DPM_x0020_Author xmlns="32a1a8c5-2265-4ebc-b7a0-2071e2c5c9bb" xsi:nil="false">DPM</DPM_x0020_Author>
    <DPM_x0020_Version xmlns="32a1a8c5-2265-4ebc-b7a0-2071e2c5c9bb" xsi:nil="false">DPM_2019.10.01.01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D9503-5D08-4624-8484-21C018212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3BA78-D3AA-4FFD-B0C9-2B2B970C56B6}">
  <ds:schemaRefs>
    <ds:schemaRef ds:uri="http://schemas.microsoft.com/sharepoint/v3/contenttype/forms"/>
  </ds:schemaRefs>
</ds:datastoreItem>
</file>

<file path=customXml/itemProps3.xml><?xml version="1.0" encoding="utf-8"?>
<ds:datastoreItem xmlns:ds="http://schemas.openxmlformats.org/officeDocument/2006/customXml" ds:itemID="{C5F06E9D-D32E-4CFA-A3EB-4A072323A37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a1a8c5-2265-4ebc-b7a0-2071e2c5c9bb"/>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84A4FE98-141C-4DE4-8019-FD9A4BD46583}">
  <ds:schemaRefs>
    <ds:schemaRef ds:uri="http://schemas.microsoft.com/sharepoint/events"/>
  </ds:schemaRefs>
</ds:datastoreItem>
</file>

<file path=customXml/itemProps5.xml><?xml version="1.0" encoding="utf-8"?>
<ds:datastoreItem xmlns:ds="http://schemas.openxmlformats.org/officeDocument/2006/customXml" ds:itemID="{29CB9869-7D42-4B6C-A8D8-D8536FE3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428</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R16-WRC19-C-0016!A13!MSW-R</vt:lpstr>
    </vt:vector>
  </TitlesOfParts>
  <Manager>General Secretariat - Pool</Manager>
  <Company>International Telecommunication Union (ITU)</Company>
  <LinksUpToDate>false</LinksUpToDate>
  <CharactersWithSpaces>3217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R16-WRC19-C-0016!A13!MSW-R</dc:title>
  <dc:subject>World Radiocommunication Conference - 2019</dc:subject>
  <dc:creator>Documents Proposals Manager (DPM)</dc:creator>
  <cp:keywords>DPM_v2019.10.8.1_prod</cp:keywords>
  <dc:description/>
  <cp:lastModifiedBy>Berdyeva, Elena</cp:lastModifiedBy>
  <cp:revision>8</cp:revision>
  <cp:lastPrinted>2019-10-17T13:51:00Z</cp:lastPrinted>
  <dcterms:created xsi:type="dcterms:W3CDTF">2019-10-17T13:50:00Z</dcterms:created>
  <dcterms:modified xsi:type="dcterms:W3CDTF">2019-10-19T17:29:00Z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