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DB3AA5" w14:paraId="4B7238B8" w14:textId="77777777" w:rsidTr="0050008E">
        <w:trPr>
          <w:cantSplit/>
        </w:trPr>
        <w:tc>
          <w:tcPr>
            <w:tcW w:w="6911" w:type="dxa"/>
          </w:tcPr>
          <w:p w14:paraId="5CFCB30E" w14:textId="77777777" w:rsidR="00BB1D82" w:rsidRPr="00DB3AA5" w:rsidRDefault="00851625" w:rsidP="007B78C1">
            <w:pPr>
              <w:spacing w:before="400" w:after="48"/>
              <w:rPr>
                <w:rFonts w:ascii="Verdana" w:hAnsi="Verdana"/>
                <w:b/>
                <w:bCs/>
                <w:sz w:val="20"/>
              </w:rPr>
            </w:pPr>
            <w:bookmarkStart w:id="0" w:name="_GoBack"/>
            <w:bookmarkEnd w:id="0"/>
            <w:r w:rsidRPr="00DB3AA5">
              <w:rPr>
                <w:rFonts w:ascii="Verdana" w:hAnsi="Verdana"/>
                <w:b/>
                <w:bCs/>
                <w:sz w:val="20"/>
              </w:rPr>
              <w:t>Conférence mondiale des radiocommunications (CMR-1</w:t>
            </w:r>
            <w:r w:rsidR="00FD7AA3" w:rsidRPr="00DB3AA5">
              <w:rPr>
                <w:rFonts w:ascii="Verdana" w:hAnsi="Verdana"/>
                <w:b/>
                <w:bCs/>
                <w:sz w:val="20"/>
              </w:rPr>
              <w:t>9</w:t>
            </w:r>
            <w:r w:rsidRPr="00DB3AA5">
              <w:rPr>
                <w:rFonts w:ascii="Verdana" w:hAnsi="Verdana"/>
                <w:b/>
                <w:bCs/>
                <w:sz w:val="20"/>
              </w:rPr>
              <w:t>)</w:t>
            </w:r>
            <w:r w:rsidRPr="00DB3AA5">
              <w:rPr>
                <w:rFonts w:ascii="Verdana" w:hAnsi="Verdana"/>
                <w:b/>
                <w:bCs/>
                <w:sz w:val="20"/>
              </w:rPr>
              <w:br/>
            </w:r>
            <w:r w:rsidR="00063A1F" w:rsidRPr="00DB3AA5">
              <w:rPr>
                <w:rFonts w:ascii="Verdana" w:hAnsi="Verdana"/>
                <w:b/>
                <w:bCs/>
                <w:sz w:val="18"/>
                <w:szCs w:val="18"/>
              </w:rPr>
              <w:t xml:space="preserve">Charm el-Cheikh, </w:t>
            </w:r>
            <w:r w:rsidR="00081366" w:rsidRPr="00DB3AA5">
              <w:rPr>
                <w:rFonts w:ascii="Verdana" w:hAnsi="Verdana"/>
                <w:b/>
                <w:bCs/>
                <w:sz w:val="18"/>
                <w:szCs w:val="18"/>
              </w:rPr>
              <w:t>É</w:t>
            </w:r>
            <w:r w:rsidR="00063A1F" w:rsidRPr="00DB3AA5">
              <w:rPr>
                <w:rFonts w:ascii="Verdana" w:hAnsi="Verdana"/>
                <w:b/>
                <w:bCs/>
                <w:sz w:val="18"/>
                <w:szCs w:val="18"/>
              </w:rPr>
              <w:t>gypte</w:t>
            </w:r>
            <w:r w:rsidRPr="00DB3AA5">
              <w:rPr>
                <w:rFonts w:ascii="Verdana" w:hAnsi="Verdana"/>
                <w:b/>
                <w:bCs/>
                <w:sz w:val="18"/>
                <w:szCs w:val="18"/>
              </w:rPr>
              <w:t>,</w:t>
            </w:r>
            <w:r w:rsidR="00E537FF" w:rsidRPr="00DB3AA5">
              <w:rPr>
                <w:rFonts w:ascii="Verdana" w:hAnsi="Verdana"/>
                <w:b/>
                <w:bCs/>
                <w:sz w:val="18"/>
                <w:szCs w:val="18"/>
              </w:rPr>
              <w:t xml:space="preserve"> </w:t>
            </w:r>
            <w:r w:rsidRPr="00DB3AA5">
              <w:rPr>
                <w:rFonts w:ascii="Verdana" w:hAnsi="Verdana"/>
                <w:b/>
                <w:bCs/>
                <w:sz w:val="18"/>
                <w:szCs w:val="18"/>
              </w:rPr>
              <w:t>2</w:t>
            </w:r>
            <w:r w:rsidR="00FD7AA3" w:rsidRPr="00DB3AA5">
              <w:rPr>
                <w:rFonts w:ascii="Verdana" w:hAnsi="Verdana"/>
                <w:b/>
                <w:bCs/>
                <w:sz w:val="18"/>
                <w:szCs w:val="18"/>
              </w:rPr>
              <w:t xml:space="preserve">8 octobre </w:t>
            </w:r>
            <w:r w:rsidR="00F10064" w:rsidRPr="00DB3AA5">
              <w:rPr>
                <w:rFonts w:ascii="Verdana" w:hAnsi="Verdana"/>
                <w:b/>
                <w:bCs/>
                <w:sz w:val="18"/>
                <w:szCs w:val="18"/>
              </w:rPr>
              <w:t>–</w:t>
            </w:r>
            <w:r w:rsidR="00FD7AA3" w:rsidRPr="00DB3AA5">
              <w:rPr>
                <w:rFonts w:ascii="Verdana" w:hAnsi="Verdana"/>
                <w:b/>
                <w:bCs/>
                <w:sz w:val="18"/>
                <w:szCs w:val="18"/>
              </w:rPr>
              <w:t xml:space="preserve"> </w:t>
            </w:r>
            <w:r w:rsidRPr="00DB3AA5">
              <w:rPr>
                <w:rFonts w:ascii="Verdana" w:hAnsi="Verdana"/>
                <w:b/>
                <w:bCs/>
                <w:sz w:val="18"/>
                <w:szCs w:val="18"/>
              </w:rPr>
              <w:t>2</w:t>
            </w:r>
            <w:r w:rsidR="00FD7AA3" w:rsidRPr="00DB3AA5">
              <w:rPr>
                <w:rFonts w:ascii="Verdana" w:hAnsi="Verdana"/>
                <w:b/>
                <w:bCs/>
                <w:sz w:val="18"/>
                <w:szCs w:val="18"/>
              </w:rPr>
              <w:t>2</w:t>
            </w:r>
            <w:r w:rsidRPr="00DB3AA5">
              <w:rPr>
                <w:rFonts w:ascii="Verdana" w:hAnsi="Verdana"/>
                <w:b/>
                <w:bCs/>
                <w:sz w:val="18"/>
                <w:szCs w:val="18"/>
              </w:rPr>
              <w:t xml:space="preserve"> novembre 201</w:t>
            </w:r>
            <w:r w:rsidR="00FD7AA3" w:rsidRPr="00DB3AA5">
              <w:rPr>
                <w:rFonts w:ascii="Verdana" w:hAnsi="Verdana"/>
                <w:b/>
                <w:bCs/>
                <w:sz w:val="18"/>
                <w:szCs w:val="18"/>
              </w:rPr>
              <w:t>9</w:t>
            </w:r>
          </w:p>
        </w:tc>
        <w:tc>
          <w:tcPr>
            <w:tcW w:w="3120" w:type="dxa"/>
          </w:tcPr>
          <w:p w14:paraId="656E16EC" w14:textId="77777777" w:rsidR="00BB1D82" w:rsidRPr="00DB3AA5" w:rsidRDefault="000A55AE" w:rsidP="007B78C1">
            <w:pPr>
              <w:spacing w:before="0"/>
              <w:jc w:val="right"/>
            </w:pPr>
            <w:bookmarkStart w:id="1" w:name="ditulogo"/>
            <w:bookmarkEnd w:id="1"/>
            <w:r w:rsidRPr="00DB3AA5">
              <w:rPr>
                <w:rFonts w:ascii="Verdana" w:hAnsi="Verdana"/>
                <w:b/>
                <w:bCs/>
                <w:noProof/>
                <w:lang w:eastAsia="zh-CN"/>
              </w:rPr>
              <w:drawing>
                <wp:inline distT="0" distB="0" distL="0" distR="0" wp14:anchorId="014A94F7" wp14:editId="25417E21">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DB3AA5" w14:paraId="1FF14811" w14:textId="77777777" w:rsidTr="0050008E">
        <w:trPr>
          <w:cantSplit/>
        </w:trPr>
        <w:tc>
          <w:tcPr>
            <w:tcW w:w="6911" w:type="dxa"/>
            <w:tcBorders>
              <w:bottom w:val="single" w:sz="12" w:space="0" w:color="auto"/>
            </w:tcBorders>
          </w:tcPr>
          <w:p w14:paraId="77F6D4A4" w14:textId="77777777" w:rsidR="00BB1D82" w:rsidRPr="00DB3AA5" w:rsidRDefault="00BB1D82" w:rsidP="007B78C1">
            <w:pPr>
              <w:spacing w:before="0" w:after="48"/>
              <w:rPr>
                <w:b/>
                <w:smallCaps/>
                <w:szCs w:val="24"/>
              </w:rPr>
            </w:pPr>
            <w:bookmarkStart w:id="2" w:name="dhead"/>
          </w:p>
        </w:tc>
        <w:tc>
          <w:tcPr>
            <w:tcW w:w="3120" w:type="dxa"/>
            <w:tcBorders>
              <w:bottom w:val="single" w:sz="12" w:space="0" w:color="auto"/>
            </w:tcBorders>
          </w:tcPr>
          <w:p w14:paraId="534883B3" w14:textId="77777777" w:rsidR="00BB1D82" w:rsidRPr="00DB3AA5" w:rsidRDefault="00BB1D82" w:rsidP="007B78C1">
            <w:pPr>
              <w:spacing w:before="0"/>
              <w:rPr>
                <w:rFonts w:ascii="Verdana" w:hAnsi="Verdana"/>
                <w:szCs w:val="24"/>
              </w:rPr>
            </w:pPr>
          </w:p>
        </w:tc>
      </w:tr>
      <w:tr w:rsidR="00BB1D82" w:rsidRPr="00DB3AA5" w14:paraId="03948A4C" w14:textId="77777777" w:rsidTr="00BB1D82">
        <w:trPr>
          <w:cantSplit/>
        </w:trPr>
        <w:tc>
          <w:tcPr>
            <w:tcW w:w="6911" w:type="dxa"/>
            <w:tcBorders>
              <w:top w:val="single" w:sz="12" w:space="0" w:color="auto"/>
            </w:tcBorders>
          </w:tcPr>
          <w:p w14:paraId="06666615" w14:textId="77777777" w:rsidR="00BB1D82" w:rsidRPr="00DB3AA5" w:rsidRDefault="00BB1D82" w:rsidP="007B78C1">
            <w:pPr>
              <w:spacing w:before="0" w:after="48"/>
              <w:rPr>
                <w:rFonts w:ascii="Verdana" w:hAnsi="Verdana"/>
                <w:b/>
                <w:smallCaps/>
                <w:sz w:val="20"/>
              </w:rPr>
            </w:pPr>
          </w:p>
        </w:tc>
        <w:tc>
          <w:tcPr>
            <w:tcW w:w="3120" w:type="dxa"/>
            <w:tcBorders>
              <w:top w:val="single" w:sz="12" w:space="0" w:color="auto"/>
            </w:tcBorders>
          </w:tcPr>
          <w:p w14:paraId="2166E60F" w14:textId="77777777" w:rsidR="00BB1D82" w:rsidRPr="00DB3AA5" w:rsidRDefault="00BB1D82" w:rsidP="007B78C1">
            <w:pPr>
              <w:spacing w:before="0"/>
              <w:rPr>
                <w:rFonts w:ascii="Verdana" w:hAnsi="Verdana"/>
                <w:sz w:val="20"/>
              </w:rPr>
            </w:pPr>
          </w:p>
        </w:tc>
      </w:tr>
      <w:tr w:rsidR="00BB1D82" w:rsidRPr="00DB3AA5" w14:paraId="686711B9" w14:textId="77777777" w:rsidTr="00BB1D82">
        <w:trPr>
          <w:cantSplit/>
        </w:trPr>
        <w:tc>
          <w:tcPr>
            <w:tcW w:w="6911" w:type="dxa"/>
          </w:tcPr>
          <w:p w14:paraId="748A259A" w14:textId="77777777" w:rsidR="00BB1D82" w:rsidRPr="00DB3AA5" w:rsidRDefault="006D4724" w:rsidP="007B78C1">
            <w:pPr>
              <w:spacing w:before="0"/>
              <w:rPr>
                <w:rFonts w:ascii="Verdana" w:hAnsi="Verdana"/>
                <w:b/>
                <w:sz w:val="20"/>
              </w:rPr>
            </w:pPr>
            <w:r w:rsidRPr="00DB3AA5">
              <w:rPr>
                <w:rFonts w:ascii="Verdana" w:hAnsi="Verdana"/>
                <w:b/>
                <w:sz w:val="20"/>
              </w:rPr>
              <w:t>SÉANCE PLÉNIÈRE</w:t>
            </w:r>
          </w:p>
        </w:tc>
        <w:tc>
          <w:tcPr>
            <w:tcW w:w="3120" w:type="dxa"/>
          </w:tcPr>
          <w:p w14:paraId="72D17449" w14:textId="77777777" w:rsidR="00BB1D82" w:rsidRPr="00DB3AA5" w:rsidRDefault="006D4724" w:rsidP="007B78C1">
            <w:pPr>
              <w:spacing w:before="0"/>
              <w:rPr>
                <w:rFonts w:ascii="Verdana" w:hAnsi="Verdana"/>
                <w:sz w:val="20"/>
              </w:rPr>
            </w:pPr>
            <w:r w:rsidRPr="00DB3AA5">
              <w:rPr>
                <w:rFonts w:ascii="Verdana" w:hAnsi="Verdana"/>
                <w:b/>
                <w:sz w:val="20"/>
              </w:rPr>
              <w:t>Addendum 13 au</w:t>
            </w:r>
            <w:r w:rsidRPr="00DB3AA5">
              <w:rPr>
                <w:rFonts w:ascii="Verdana" w:hAnsi="Verdana"/>
                <w:b/>
                <w:sz w:val="20"/>
              </w:rPr>
              <w:br/>
              <w:t>Document 16</w:t>
            </w:r>
            <w:r w:rsidR="00BB1D82" w:rsidRPr="00DB3AA5">
              <w:rPr>
                <w:rFonts w:ascii="Verdana" w:hAnsi="Verdana"/>
                <w:b/>
                <w:sz w:val="20"/>
              </w:rPr>
              <w:t>-</w:t>
            </w:r>
            <w:r w:rsidRPr="00DB3AA5">
              <w:rPr>
                <w:rFonts w:ascii="Verdana" w:hAnsi="Verdana"/>
                <w:b/>
                <w:sz w:val="20"/>
              </w:rPr>
              <w:t>F</w:t>
            </w:r>
          </w:p>
        </w:tc>
      </w:tr>
      <w:bookmarkEnd w:id="2"/>
      <w:tr w:rsidR="00690C7B" w:rsidRPr="00DB3AA5" w14:paraId="13360CFF" w14:textId="77777777" w:rsidTr="00BB1D82">
        <w:trPr>
          <w:cantSplit/>
        </w:trPr>
        <w:tc>
          <w:tcPr>
            <w:tcW w:w="6911" w:type="dxa"/>
          </w:tcPr>
          <w:p w14:paraId="551FD420" w14:textId="77777777" w:rsidR="00690C7B" w:rsidRPr="00DB3AA5" w:rsidRDefault="00690C7B" w:rsidP="007B78C1">
            <w:pPr>
              <w:spacing w:before="0"/>
              <w:rPr>
                <w:rFonts w:ascii="Verdana" w:hAnsi="Verdana"/>
                <w:b/>
                <w:sz w:val="20"/>
              </w:rPr>
            </w:pPr>
          </w:p>
        </w:tc>
        <w:tc>
          <w:tcPr>
            <w:tcW w:w="3120" w:type="dxa"/>
          </w:tcPr>
          <w:p w14:paraId="4119BB5F" w14:textId="455D555C" w:rsidR="00690C7B" w:rsidRPr="00DB3AA5" w:rsidRDefault="006E42ED" w:rsidP="007B78C1">
            <w:pPr>
              <w:spacing w:before="0"/>
              <w:rPr>
                <w:rFonts w:ascii="Verdana" w:hAnsi="Verdana"/>
                <w:b/>
                <w:sz w:val="20"/>
              </w:rPr>
            </w:pPr>
            <w:r w:rsidRPr="00DB3AA5">
              <w:rPr>
                <w:rFonts w:ascii="Verdana" w:hAnsi="Verdana"/>
                <w:b/>
                <w:sz w:val="20"/>
              </w:rPr>
              <w:t>4</w:t>
            </w:r>
            <w:r w:rsidR="00690C7B" w:rsidRPr="00DB3AA5">
              <w:rPr>
                <w:rFonts w:ascii="Verdana" w:hAnsi="Verdana"/>
                <w:b/>
                <w:sz w:val="20"/>
              </w:rPr>
              <w:t xml:space="preserve"> octobre 2019</w:t>
            </w:r>
          </w:p>
        </w:tc>
      </w:tr>
      <w:tr w:rsidR="00690C7B" w:rsidRPr="00DB3AA5" w14:paraId="5BFF9B0A" w14:textId="77777777" w:rsidTr="00BB1D82">
        <w:trPr>
          <w:cantSplit/>
        </w:trPr>
        <w:tc>
          <w:tcPr>
            <w:tcW w:w="6911" w:type="dxa"/>
          </w:tcPr>
          <w:p w14:paraId="1B9D522E" w14:textId="77777777" w:rsidR="00690C7B" w:rsidRPr="00DB3AA5" w:rsidRDefault="00690C7B" w:rsidP="007B78C1">
            <w:pPr>
              <w:spacing w:before="0" w:after="48"/>
              <w:rPr>
                <w:rFonts w:ascii="Verdana" w:hAnsi="Verdana"/>
                <w:b/>
                <w:smallCaps/>
                <w:sz w:val="20"/>
              </w:rPr>
            </w:pPr>
          </w:p>
        </w:tc>
        <w:tc>
          <w:tcPr>
            <w:tcW w:w="3120" w:type="dxa"/>
          </w:tcPr>
          <w:p w14:paraId="7D666362" w14:textId="77777777" w:rsidR="00690C7B" w:rsidRPr="00DB3AA5" w:rsidRDefault="00690C7B" w:rsidP="007B78C1">
            <w:pPr>
              <w:spacing w:before="0"/>
              <w:rPr>
                <w:rFonts w:ascii="Verdana" w:hAnsi="Verdana"/>
                <w:b/>
                <w:sz w:val="20"/>
              </w:rPr>
            </w:pPr>
            <w:r w:rsidRPr="00DB3AA5">
              <w:rPr>
                <w:rFonts w:ascii="Verdana" w:hAnsi="Verdana"/>
                <w:b/>
                <w:sz w:val="20"/>
              </w:rPr>
              <w:t>Original: anglais</w:t>
            </w:r>
          </w:p>
        </w:tc>
      </w:tr>
      <w:tr w:rsidR="00690C7B" w:rsidRPr="00DB3AA5" w14:paraId="283D6986" w14:textId="77777777" w:rsidTr="00C11970">
        <w:trPr>
          <w:cantSplit/>
        </w:trPr>
        <w:tc>
          <w:tcPr>
            <w:tcW w:w="10031" w:type="dxa"/>
            <w:gridSpan w:val="2"/>
          </w:tcPr>
          <w:p w14:paraId="77EBB2F5" w14:textId="77777777" w:rsidR="00690C7B" w:rsidRPr="00DB3AA5" w:rsidRDefault="00690C7B" w:rsidP="007B78C1">
            <w:pPr>
              <w:spacing w:before="0"/>
              <w:rPr>
                <w:rFonts w:ascii="Verdana" w:hAnsi="Verdana"/>
                <w:b/>
                <w:sz w:val="20"/>
              </w:rPr>
            </w:pPr>
          </w:p>
        </w:tc>
      </w:tr>
      <w:tr w:rsidR="00690C7B" w:rsidRPr="00DB3AA5" w14:paraId="1EE2AA18" w14:textId="77777777" w:rsidTr="0050008E">
        <w:trPr>
          <w:cantSplit/>
        </w:trPr>
        <w:tc>
          <w:tcPr>
            <w:tcW w:w="10031" w:type="dxa"/>
            <w:gridSpan w:val="2"/>
          </w:tcPr>
          <w:p w14:paraId="570611B8" w14:textId="77777777" w:rsidR="00690C7B" w:rsidRPr="00DB3AA5" w:rsidRDefault="00690C7B" w:rsidP="007B78C1">
            <w:pPr>
              <w:pStyle w:val="Source"/>
            </w:pPr>
            <w:bookmarkStart w:id="3" w:name="dsource" w:colFirst="0" w:colLast="0"/>
            <w:r w:rsidRPr="00DB3AA5">
              <w:t>Propositions européennes communes</w:t>
            </w:r>
          </w:p>
        </w:tc>
      </w:tr>
      <w:tr w:rsidR="00690C7B" w:rsidRPr="00DB3AA5" w14:paraId="4C030055" w14:textId="77777777" w:rsidTr="0050008E">
        <w:trPr>
          <w:cantSplit/>
        </w:trPr>
        <w:tc>
          <w:tcPr>
            <w:tcW w:w="10031" w:type="dxa"/>
            <w:gridSpan w:val="2"/>
          </w:tcPr>
          <w:p w14:paraId="78A423EC" w14:textId="77777777" w:rsidR="00690C7B" w:rsidRPr="00DB3AA5" w:rsidRDefault="00690C7B" w:rsidP="007B78C1">
            <w:pPr>
              <w:pStyle w:val="Title1"/>
            </w:pPr>
            <w:bookmarkStart w:id="4" w:name="dtitle1" w:colFirst="0" w:colLast="0"/>
            <w:bookmarkEnd w:id="3"/>
            <w:r w:rsidRPr="00DB3AA5">
              <w:t>Propositions pour les travaux de la conférence</w:t>
            </w:r>
          </w:p>
        </w:tc>
      </w:tr>
      <w:tr w:rsidR="00690C7B" w:rsidRPr="00DB3AA5" w14:paraId="24216D62" w14:textId="77777777" w:rsidTr="0050008E">
        <w:trPr>
          <w:cantSplit/>
        </w:trPr>
        <w:tc>
          <w:tcPr>
            <w:tcW w:w="10031" w:type="dxa"/>
            <w:gridSpan w:val="2"/>
          </w:tcPr>
          <w:p w14:paraId="2A30906D" w14:textId="77777777" w:rsidR="00690C7B" w:rsidRPr="00DB3AA5" w:rsidRDefault="00690C7B" w:rsidP="007B78C1">
            <w:pPr>
              <w:pStyle w:val="Title2"/>
            </w:pPr>
            <w:bookmarkStart w:id="5" w:name="dtitle2" w:colFirst="0" w:colLast="0"/>
            <w:bookmarkEnd w:id="4"/>
          </w:p>
        </w:tc>
      </w:tr>
      <w:tr w:rsidR="00690C7B" w:rsidRPr="00DB3AA5" w14:paraId="637D9C29" w14:textId="77777777" w:rsidTr="0050008E">
        <w:trPr>
          <w:cantSplit/>
        </w:trPr>
        <w:tc>
          <w:tcPr>
            <w:tcW w:w="10031" w:type="dxa"/>
            <w:gridSpan w:val="2"/>
          </w:tcPr>
          <w:p w14:paraId="316DFC87" w14:textId="77777777" w:rsidR="00690C7B" w:rsidRPr="00DB3AA5" w:rsidRDefault="00690C7B" w:rsidP="007B78C1">
            <w:pPr>
              <w:pStyle w:val="Agendaitem"/>
              <w:rPr>
                <w:lang w:val="fr-FR"/>
              </w:rPr>
            </w:pPr>
            <w:bookmarkStart w:id="6" w:name="dtitle3" w:colFirst="0" w:colLast="0"/>
            <w:bookmarkEnd w:id="5"/>
            <w:r w:rsidRPr="00DB3AA5">
              <w:rPr>
                <w:lang w:val="fr-FR"/>
              </w:rPr>
              <w:t>Point 1.13 de l'ordre du jour</w:t>
            </w:r>
          </w:p>
        </w:tc>
      </w:tr>
    </w:tbl>
    <w:bookmarkEnd w:id="6"/>
    <w:p w14:paraId="64DCB7EB" w14:textId="77777777" w:rsidR="001C0E40" w:rsidRPr="00DB3AA5" w:rsidRDefault="00DD2BC3" w:rsidP="007B78C1">
      <w:r w:rsidRPr="00DB3AA5">
        <w:t>1.13</w:t>
      </w:r>
      <w:r w:rsidRPr="00DB3AA5">
        <w:tab/>
        <w:t xml:space="preserve">envisager l'identification de bandes de fréquences pour le développement futur des Télécommunications mobiles internationales (IMT), y compris des attributions additionnelles possibles à titre primaire au service mobile, conformément à la Résolution </w:t>
      </w:r>
      <w:r w:rsidRPr="00DB3AA5">
        <w:rPr>
          <w:b/>
          <w:bCs/>
        </w:rPr>
        <w:t>238 (CMR-15)</w:t>
      </w:r>
      <w:r w:rsidRPr="00DB3AA5">
        <w:t>;</w:t>
      </w:r>
    </w:p>
    <w:p w14:paraId="0288A936" w14:textId="507DEC48" w:rsidR="003A583E" w:rsidRPr="00DB3AA5" w:rsidRDefault="006E42ED" w:rsidP="007B78C1">
      <w:pPr>
        <w:rPr>
          <w:i/>
          <w:iCs/>
        </w:rPr>
      </w:pPr>
      <w:r w:rsidRPr="00DB3AA5">
        <w:t xml:space="preserve">Résolution </w:t>
      </w:r>
      <w:r w:rsidRPr="00DB3AA5">
        <w:rPr>
          <w:b/>
          <w:bCs/>
        </w:rPr>
        <w:t>238 (CMR-15)</w:t>
      </w:r>
      <w:r w:rsidRPr="00DB3AA5">
        <w:t xml:space="preserve"> – </w:t>
      </w:r>
      <w:r w:rsidRPr="00DB3AA5">
        <w:rPr>
          <w:i/>
          <w:iCs/>
        </w:rPr>
        <w:t>Études sur les questions liées aux fréquences en vue de l'identification de bandes de fréquences pour les Télécommunications mobiles internationales (IMT), y compris des attributions additionnelles possibles à titre primaire au service mobile dans une ou plusieurs parties de la bande de fréquences comprise entre 24,25 et 86</w:t>
      </w:r>
      <w:r w:rsidR="00DA57DC">
        <w:rPr>
          <w:i/>
          <w:iCs/>
        </w:rPr>
        <w:t> </w:t>
      </w:r>
      <w:r w:rsidRPr="00DB3AA5">
        <w:rPr>
          <w:i/>
          <w:iCs/>
        </w:rPr>
        <w:t>GHz pour le développement futur des IMT à l'horizon 2020 et au-delà</w:t>
      </w:r>
      <w:r w:rsidR="00961144">
        <w:rPr>
          <w:i/>
          <w:iCs/>
        </w:rPr>
        <w:t>;</w:t>
      </w:r>
    </w:p>
    <w:p w14:paraId="0A253A52" w14:textId="52866EF3" w:rsidR="006E42ED" w:rsidRPr="00DB3AA5" w:rsidRDefault="006E42ED" w:rsidP="007B78C1">
      <w:pPr>
        <w:pStyle w:val="Headingb"/>
      </w:pPr>
      <w:r w:rsidRPr="00DB3AA5">
        <w:t>Introduction</w:t>
      </w:r>
    </w:p>
    <w:p w14:paraId="7781E65A" w14:textId="0EFA0B42" w:rsidR="00AD3F6F" w:rsidRPr="00DB3AA5" w:rsidRDefault="007A7D10" w:rsidP="007B78C1">
      <w:r w:rsidRPr="00DB3AA5">
        <w:t>L</w:t>
      </w:r>
      <w:r w:rsidR="00AD3F6F" w:rsidRPr="00DB3AA5">
        <w:t xml:space="preserve">e point </w:t>
      </w:r>
      <w:r w:rsidRPr="00DB3AA5">
        <w:t xml:space="preserve">1.13 </w:t>
      </w:r>
      <w:r w:rsidR="00AD3F6F" w:rsidRPr="00DB3AA5">
        <w:t xml:space="preserve">de l'ordre du jour </w:t>
      </w:r>
      <w:r w:rsidRPr="00DB3AA5">
        <w:t xml:space="preserve">de la CMR-19 </w:t>
      </w:r>
      <w:r w:rsidR="00AD3F6F" w:rsidRPr="00DB3AA5">
        <w:t xml:space="preserve">porte sur de possibles nouvelles attributions de fréquences qui </w:t>
      </w:r>
      <w:r w:rsidR="004C49E0">
        <w:t xml:space="preserve">permettraient de </w:t>
      </w:r>
      <w:r w:rsidR="00AD3F6F" w:rsidRPr="00DB3AA5">
        <w:t>fournir des services large bande hertziens de Terre dans la gamme de fréquences 24,25</w:t>
      </w:r>
      <w:r w:rsidRPr="00DB3AA5">
        <w:t>-</w:t>
      </w:r>
      <w:r w:rsidR="00AD3F6F" w:rsidRPr="00DB3AA5">
        <w:t xml:space="preserve">86 GHz. </w:t>
      </w:r>
      <w:r w:rsidR="007721CF" w:rsidRPr="00DB3AA5">
        <w:t>Dans ce cadre, i</w:t>
      </w:r>
      <w:r w:rsidR="00AD3F6F" w:rsidRPr="00DB3AA5">
        <w:t xml:space="preserve">l sera tenu compte des éléments ci-après, énoncés en détail dans la Résolution </w:t>
      </w:r>
      <w:r w:rsidR="00AD3F6F" w:rsidRPr="00DB3AA5">
        <w:rPr>
          <w:b/>
          <w:bCs/>
        </w:rPr>
        <w:t>238</w:t>
      </w:r>
      <w:r w:rsidRPr="00DB3AA5">
        <w:rPr>
          <w:b/>
          <w:bCs/>
        </w:rPr>
        <w:t xml:space="preserve"> (CMR-15)</w:t>
      </w:r>
      <w:r w:rsidR="00AD3F6F" w:rsidRPr="00DB3AA5">
        <w:t>:</w:t>
      </w:r>
    </w:p>
    <w:p w14:paraId="4D6F00EF" w14:textId="36E9BF36" w:rsidR="00AD3F6F" w:rsidRPr="00DB3AA5" w:rsidRDefault="00AD3F6F" w:rsidP="007B78C1">
      <w:pPr>
        <w:pStyle w:val="enumlev1"/>
      </w:pPr>
      <w:r w:rsidRPr="00DB3AA5">
        <w:t>–</w:t>
      </w:r>
      <w:r w:rsidRPr="00DB3AA5">
        <w:tab/>
        <w:t xml:space="preserve">Besoins de spectre </w:t>
      </w:r>
      <w:r w:rsidR="007B78C1">
        <w:t>de</w:t>
      </w:r>
      <w:r w:rsidRPr="00DB3AA5">
        <w:t xml:space="preserve"> la composante de Terre des IMT</w:t>
      </w:r>
      <w:r w:rsidR="00961144">
        <w:t>.</w:t>
      </w:r>
    </w:p>
    <w:p w14:paraId="0A5B492E" w14:textId="7AD2A995" w:rsidR="00AD3F6F" w:rsidRPr="00DB3AA5" w:rsidRDefault="00AD3F6F" w:rsidP="007B78C1">
      <w:pPr>
        <w:pStyle w:val="enumlev1"/>
      </w:pPr>
      <w:r w:rsidRPr="00DB3AA5">
        <w:t>–</w:t>
      </w:r>
      <w:r w:rsidRPr="00DB3AA5">
        <w:tab/>
      </w:r>
      <w:r w:rsidR="008B1141" w:rsidRPr="00DB3AA5">
        <w:t>É</w:t>
      </w:r>
      <w:r w:rsidRPr="00DB3AA5">
        <w:t>tudes de partage et de compatibilité</w:t>
      </w:r>
      <w:r w:rsidR="00BF6339" w:rsidRPr="00DB3AA5">
        <w:rPr>
          <w:vertAlign w:val="superscript"/>
        </w:rPr>
        <w:footnoteReference w:id="1"/>
      </w:r>
      <w:r w:rsidR="00BF6339" w:rsidRPr="00DB3AA5">
        <w:rPr>
          <w:vertAlign w:val="superscript"/>
        </w:rPr>
        <w:t xml:space="preserve"> </w:t>
      </w:r>
      <w:r w:rsidR="007B78C1">
        <w:t>dans</w:t>
      </w:r>
      <w:r w:rsidRPr="00DB3AA5">
        <w:t xml:space="preserve"> les bandes de fréquences suivantes:</w:t>
      </w:r>
    </w:p>
    <w:p w14:paraId="45A629B9" w14:textId="40593BCE" w:rsidR="00BF6339" w:rsidRPr="00DB3AA5" w:rsidRDefault="00BF6339" w:rsidP="007B78C1">
      <w:pPr>
        <w:pStyle w:val="enumlev2"/>
      </w:pPr>
      <w:r w:rsidRPr="00DB3AA5">
        <w:t>–</w:t>
      </w:r>
      <w:r w:rsidRPr="00DB3AA5">
        <w:tab/>
        <w:t>24,25</w:t>
      </w:r>
      <w:r w:rsidR="007B78C1">
        <w:noBreakHyphen/>
      </w:r>
      <w:r w:rsidRPr="00DB3AA5">
        <w:t>27,5</w:t>
      </w:r>
      <w:r w:rsidR="007B78C1">
        <w:t> </w:t>
      </w:r>
      <w:r w:rsidRPr="00DB3AA5">
        <w:t>GHz</w:t>
      </w:r>
      <w:r w:rsidRPr="00DB3AA5">
        <w:rPr>
          <w:vertAlign w:val="superscript"/>
        </w:rPr>
        <w:footnoteReference w:id="2"/>
      </w:r>
      <w:r w:rsidRPr="00DB3AA5">
        <w:t>, 37</w:t>
      </w:r>
      <w:r w:rsidR="007B78C1">
        <w:noBreakHyphen/>
      </w:r>
      <w:r w:rsidRPr="00DB3AA5">
        <w:t>40,5</w:t>
      </w:r>
      <w:r w:rsidR="007B78C1">
        <w:t> </w:t>
      </w:r>
      <w:r w:rsidRPr="00DB3AA5">
        <w:t>GHz, 42,5</w:t>
      </w:r>
      <w:r w:rsidR="007B78C1">
        <w:noBreakHyphen/>
      </w:r>
      <w:r w:rsidRPr="00DB3AA5">
        <w:t>43,5</w:t>
      </w:r>
      <w:r w:rsidR="007B78C1">
        <w:t> </w:t>
      </w:r>
      <w:r w:rsidRPr="00DB3AA5">
        <w:t>GHz, 45,5</w:t>
      </w:r>
      <w:r w:rsidR="007B78C1">
        <w:noBreakHyphen/>
      </w:r>
      <w:r w:rsidRPr="00DB3AA5">
        <w:t>47</w:t>
      </w:r>
      <w:r w:rsidR="007B78C1">
        <w:t> </w:t>
      </w:r>
      <w:r w:rsidRPr="00DB3AA5">
        <w:t>GHz, 47,2</w:t>
      </w:r>
      <w:r w:rsidR="007B78C1">
        <w:noBreakHyphen/>
      </w:r>
      <w:r w:rsidRPr="00DB3AA5">
        <w:t>50,2</w:t>
      </w:r>
      <w:r w:rsidR="007B78C1">
        <w:t> </w:t>
      </w:r>
      <w:r w:rsidRPr="00DB3AA5">
        <w:t>GHz, 50,4</w:t>
      </w:r>
      <w:r w:rsidR="007B78C1">
        <w:noBreakHyphen/>
      </w:r>
      <w:r w:rsidRPr="00DB3AA5">
        <w:t>52,6</w:t>
      </w:r>
      <w:r w:rsidR="007B78C1">
        <w:t> </w:t>
      </w:r>
      <w:r w:rsidRPr="00DB3AA5">
        <w:t>GHz, 66</w:t>
      </w:r>
      <w:r w:rsidR="007B78C1">
        <w:noBreakHyphen/>
      </w:r>
      <w:r w:rsidRPr="00DB3AA5">
        <w:t>76</w:t>
      </w:r>
      <w:r w:rsidR="007B78C1">
        <w:t> </w:t>
      </w:r>
      <w:r w:rsidRPr="00DB3AA5">
        <w:t xml:space="preserve">GHz </w:t>
      </w:r>
      <w:r w:rsidR="00447C8F" w:rsidRPr="00DB3AA5">
        <w:t>et</w:t>
      </w:r>
      <w:r w:rsidRPr="00DB3AA5">
        <w:t xml:space="preserve"> 81</w:t>
      </w:r>
      <w:r w:rsidR="007B78C1">
        <w:noBreakHyphen/>
      </w:r>
      <w:r w:rsidRPr="00DB3AA5">
        <w:t>86</w:t>
      </w:r>
      <w:r w:rsidR="007B78C1">
        <w:t> </w:t>
      </w:r>
      <w:r w:rsidRPr="00DB3AA5">
        <w:t>GHz</w:t>
      </w:r>
      <w:r w:rsidR="00961144">
        <w:t>;</w:t>
      </w:r>
    </w:p>
    <w:p w14:paraId="210F0FD2" w14:textId="3A5828BA" w:rsidR="00BF6339" w:rsidRPr="00DB3AA5" w:rsidRDefault="00BF6339" w:rsidP="007B78C1">
      <w:pPr>
        <w:pStyle w:val="enumlev2"/>
      </w:pPr>
      <w:r w:rsidRPr="00DB3AA5">
        <w:t>–</w:t>
      </w:r>
      <w:r w:rsidRPr="00DB3AA5">
        <w:tab/>
        <w:t>31,8</w:t>
      </w:r>
      <w:r w:rsidR="007B78C1">
        <w:noBreakHyphen/>
      </w:r>
      <w:r w:rsidRPr="00DB3AA5">
        <w:t>33,4</w:t>
      </w:r>
      <w:r w:rsidR="007B78C1">
        <w:t> </w:t>
      </w:r>
      <w:r w:rsidRPr="00DB3AA5">
        <w:t>GHz, 40,5</w:t>
      </w:r>
      <w:r w:rsidR="007B78C1">
        <w:noBreakHyphen/>
      </w:r>
      <w:r w:rsidRPr="00DB3AA5">
        <w:t>42,5</w:t>
      </w:r>
      <w:r w:rsidR="007B78C1">
        <w:t> </w:t>
      </w:r>
      <w:r w:rsidRPr="00DB3AA5">
        <w:t xml:space="preserve">GHz </w:t>
      </w:r>
      <w:r w:rsidR="00447C8F" w:rsidRPr="00DB3AA5">
        <w:t>et</w:t>
      </w:r>
      <w:r w:rsidRPr="00DB3AA5">
        <w:t xml:space="preserve"> 47</w:t>
      </w:r>
      <w:r w:rsidR="007B78C1">
        <w:noBreakHyphen/>
      </w:r>
      <w:r w:rsidRPr="00DB3AA5">
        <w:t>47,2</w:t>
      </w:r>
      <w:r w:rsidR="007B78C1">
        <w:t> </w:t>
      </w:r>
      <w:r w:rsidRPr="00DB3AA5">
        <w:t>GHz</w:t>
      </w:r>
      <w:r w:rsidR="00961144">
        <w:t>.</w:t>
      </w:r>
    </w:p>
    <w:p w14:paraId="4FD0333D" w14:textId="631F27B5" w:rsidR="0015203F" w:rsidRPr="00DB3AA5" w:rsidRDefault="007B4A50" w:rsidP="007B78C1">
      <w:pPr>
        <w:pStyle w:val="Headingb"/>
      </w:pPr>
      <w:r w:rsidRPr="00DB3AA5">
        <w:lastRenderedPageBreak/>
        <w:t>Résumé des propositions européennes concernant les bandes de fréquences</w:t>
      </w:r>
    </w:p>
    <w:p w14:paraId="6A5B8AE7" w14:textId="09FAE5DD" w:rsidR="008A5430" w:rsidRPr="00DB3AA5" w:rsidRDefault="008A5430" w:rsidP="007B78C1">
      <w:r w:rsidRPr="00DB3AA5">
        <w:t>Comme indiqué dans ses propositions, l</w:t>
      </w:r>
      <w:r w:rsidR="009A1686" w:rsidRPr="00DB3AA5">
        <w:t>'</w:t>
      </w:r>
      <w:r w:rsidRPr="00DB3AA5">
        <w:t xml:space="preserve">Europe est favorable à </w:t>
      </w:r>
      <w:r w:rsidR="00447C8F" w:rsidRPr="00DB3AA5">
        <w:t>l'attribution</w:t>
      </w:r>
      <w:r w:rsidRPr="00DB3AA5">
        <w:t xml:space="preserve"> de</w:t>
      </w:r>
      <w:r w:rsidR="00447C8F" w:rsidRPr="00DB3AA5">
        <w:t>s</w:t>
      </w:r>
      <w:r w:rsidRPr="00DB3AA5">
        <w:t xml:space="preserve"> bande</w:t>
      </w:r>
      <w:r w:rsidR="00447C8F" w:rsidRPr="00DB3AA5">
        <w:t>s</w:t>
      </w:r>
      <w:r w:rsidRPr="00DB3AA5">
        <w:t xml:space="preserve"> de fréquences </w:t>
      </w:r>
      <w:r w:rsidR="00447C8F" w:rsidRPr="00DB3AA5">
        <w:t>24,25</w:t>
      </w:r>
      <w:r w:rsidR="007B78C1">
        <w:noBreakHyphen/>
      </w:r>
      <w:r w:rsidR="00447C8F" w:rsidRPr="00DB3AA5">
        <w:t>27,5</w:t>
      </w:r>
      <w:r w:rsidR="007B78C1">
        <w:t> </w:t>
      </w:r>
      <w:r w:rsidR="00447C8F" w:rsidRPr="00DB3AA5">
        <w:t>GHz, 40,5</w:t>
      </w:r>
      <w:r w:rsidR="007B78C1">
        <w:noBreakHyphen/>
      </w:r>
      <w:r w:rsidR="00447C8F" w:rsidRPr="00DB3AA5">
        <w:t>43,5</w:t>
      </w:r>
      <w:r w:rsidR="007B78C1">
        <w:t> </w:t>
      </w:r>
      <w:r w:rsidR="00447C8F" w:rsidRPr="00DB3AA5">
        <w:t>GHz et 66</w:t>
      </w:r>
      <w:r w:rsidR="007B78C1">
        <w:noBreakHyphen/>
      </w:r>
      <w:r w:rsidR="00447C8F" w:rsidRPr="00DB3AA5">
        <w:t>71</w:t>
      </w:r>
      <w:r w:rsidR="007B78C1">
        <w:t> </w:t>
      </w:r>
      <w:r w:rsidR="00447C8F" w:rsidRPr="00DB3AA5">
        <w:t>G</w:t>
      </w:r>
      <w:r w:rsidRPr="00DB3AA5">
        <w:t>Hz au service mobile à titre primaire dans le Tableau d</w:t>
      </w:r>
      <w:r w:rsidR="009A1686" w:rsidRPr="00DB3AA5">
        <w:t>'</w:t>
      </w:r>
      <w:r w:rsidRPr="00DB3AA5">
        <w:t>attribution des bandes de fréquences de l</w:t>
      </w:r>
      <w:r w:rsidR="009A1686" w:rsidRPr="00DB3AA5">
        <w:t>'</w:t>
      </w:r>
      <w:r w:rsidRPr="00DB3AA5">
        <w:t xml:space="preserve">Article </w:t>
      </w:r>
      <w:r w:rsidRPr="00DB3AA5">
        <w:rPr>
          <w:b/>
          <w:bCs/>
        </w:rPr>
        <w:t>5</w:t>
      </w:r>
      <w:r w:rsidRPr="00DB3AA5">
        <w:t xml:space="preserve"> et à l</w:t>
      </w:r>
      <w:r w:rsidR="009A1686" w:rsidRPr="00DB3AA5">
        <w:t>'</w:t>
      </w:r>
      <w:r w:rsidRPr="00DB3AA5">
        <w:t>identification de ce</w:t>
      </w:r>
      <w:r w:rsidR="00447C8F" w:rsidRPr="00DB3AA5">
        <w:t>s</w:t>
      </w:r>
      <w:r w:rsidRPr="00DB3AA5">
        <w:t xml:space="preserve"> bande</w:t>
      </w:r>
      <w:r w:rsidR="00447C8F" w:rsidRPr="00DB3AA5">
        <w:t>s</w:t>
      </w:r>
      <w:r w:rsidRPr="00DB3AA5">
        <w:t xml:space="preserve"> pour les IMT, selon qu</w:t>
      </w:r>
      <w:r w:rsidR="009A1686" w:rsidRPr="00DB3AA5">
        <w:t>'</w:t>
      </w:r>
      <w:r w:rsidRPr="00DB3AA5">
        <w:t>il conviendra.</w:t>
      </w:r>
    </w:p>
    <w:p w14:paraId="326A8FBA" w14:textId="65180AE2" w:rsidR="0065485C" w:rsidRPr="00DB3AA5" w:rsidRDefault="0065485C" w:rsidP="007B78C1">
      <w:r w:rsidRPr="00DB3AA5">
        <w:t>L</w:t>
      </w:r>
      <w:r w:rsidR="009A1686" w:rsidRPr="00DB3AA5">
        <w:t>'</w:t>
      </w:r>
      <w:r w:rsidRPr="00DB3AA5">
        <w:t>Europe n</w:t>
      </w:r>
      <w:r w:rsidR="009A1686" w:rsidRPr="00DB3AA5">
        <w:t>'</w:t>
      </w:r>
      <w:r w:rsidRPr="00DB3AA5">
        <w:t>est pas favorable à l</w:t>
      </w:r>
      <w:r w:rsidR="009A1686" w:rsidRPr="00DB3AA5">
        <w:t>'</w:t>
      </w:r>
      <w:r w:rsidRPr="00DB3AA5">
        <w:t xml:space="preserve">attribution des bandes de fréquences </w:t>
      </w:r>
      <w:r w:rsidR="00084C83" w:rsidRPr="00DB3AA5">
        <w:t>31,8</w:t>
      </w:r>
      <w:r w:rsidR="007B78C1">
        <w:noBreakHyphen/>
      </w:r>
      <w:r w:rsidR="00084C83" w:rsidRPr="00DB3AA5">
        <w:t>33,4 G</w:t>
      </w:r>
      <w:r w:rsidRPr="00DB3AA5">
        <w:t xml:space="preserve">Hz, </w:t>
      </w:r>
      <w:r w:rsidR="00084C83" w:rsidRPr="00DB3AA5">
        <w:t>47,0</w:t>
      </w:r>
      <w:r w:rsidR="007B78C1">
        <w:noBreakHyphen/>
      </w:r>
      <w:r w:rsidR="00084C83" w:rsidRPr="00DB3AA5">
        <w:t>47,2 G</w:t>
      </w:r>
      <w:r w:rsidRPr="00DB3AA5">
        <w:t xml:space="preserve">Hz, </w:t>
      </w:r>
      <w:r w:rsidR="00084C83" w:rsidRPr="00DB3AA5">
        <w:t>47,2</w:t>
      </w:r>
      <w:r w:rsidR="007B78C1">
        <w:noBreakHyphen/>
      </w:r>
      <w:r w:rsidR="00084C83" w:rsidRPr="00DB3AA5">
        <w:t>50,2 G</w:t>
      </w:r>
      <w:r w:rsidRPr="00DB3AA5">
        <w:t xml:space="preserve">Hz, </w:t>
      </w:r>
      <w:r w:rsidR="00084C83" w:rsidRPr="00DB3AA5">
        <w:t>50,4</w:t>
      </w:r>
      <w:r w:rsidR="007B78C1">
        <w:noBreakHyphen/>
      </w:r>
      <w:r w:rsidR="00084C83" w:rsidRPr="00DB3AA5">
        <w:t>52,6 G</w:t>
      </w:r>
      <w:r w:rsidRPr="00DB3AA5">
        <w:t xml:space="preserve">Hz, </w:t>
      </w:r>
      <w:r w:rsidR="00084C83" w:rsidRPr="00DB3AA5">
        <w:t>71</w:t>
      </w:r>
      <w:r w:rsidR="007B78C1">
        <w:noBreakHyphen/>
      </w:r>
      <w:r w:rsidR="00084C83" w:rsidRPr="00DB3AA5">
        <w:t>76 G</w:t>
      </w:r>
      <w:r w:rsidRPr="00DB3AA5">
        <w:t>Hz</w:t>
      </w:r>
      <w:r w:rsidR="00084C83" w:rsidRPr="00DB3AA5">
        <w:t xml:space="preserve"> et 81</w:t>
      </w:r>
      <w:r w:rsidR="007B78C1">
        <w:noBreakHyphen/>
      </w:r>
      <w:r w:rsidR="00084C83" w:rsidRPr="00DB3AA5">
        <w:t>86 G</w:t>
      </w:r>
      <w:r w:rsidRPr="00DB3AA5">
        <w:t>Hz au service mobile à titre primaire dans le Tableau d</w:t>
      </w:r>
      <w:r w:rsidR="009A1686" w:rsidRPr="00DB3AA5">
        <w:t>'</w:t>
      </w:r>
      <w:r w:rsidRPr="00DB3AA5">
        <w:t>attribution des bandes de fréquences de l</w:t>
      </w:r>
      <w:r w:rsidR="009A1686" w:rsidRPr="00DB3AA5">
        <w:t>'</w:t>
      </w:r>
      <w:r w:rsidRPr="00DB3AA5">
        <w:t xml:space="preserve">Article </w:t>
      </w:r>
      <w:r w:rsidRPr="00961144">
        <w:rPr>
          <w:b/>
          <w:bCs/>
        </w:rPr>
        <w:t>5</w:t>
      </w:r>
      <w:r w:rsidRPr="00DB3AA5">
        <w:t xml:space="preserve"> et à l</w:t>
      </w:r>
      <w:r w:rsidR="009A1686" w:rsidRPr="00DB3AA5">
        <w:t>'</w:t>
      </w:r>
      <w:r w:rsidRPr="00DB3AA5">
        <w:t>identification de ces bandes pour les IMT, selon qu</w:t>
      </w:r>
      <w:r w:rsidR="009A1686" w:rsidRPr="00DB3AA5">
        <w:t>'</w:t>
      </w:r>
      <w:r w:rsidRPr="00DB3AA5">
        <w:t>il conviendra.</w:t>
      </w:r>
    </w:p>
    <w:p w14:paraId="2BB437D8" w14:textId="46FB0F08" w:rsidR="0065485C" w:rsidRPr="00DB3AA5" w:rsidRDefault="005D508D" w:rsidP="007B78C1">
      <w:r w:rsidRPr="00DB3AA5">
        <w:t xml:space="preserve">La proposition européenne figurant dans la Partie 8 présente l'avis de la </w:t>
      </w:r>
      <w:r w:rsidR="0065485C" w:rsidRPr="00DB3AA5">
        <w:t xml:space="preserve">CEPT </w:t>
      </w:r>
      <w:r w:rsidRPr="00DB3AA5">
        <w:t>concernant la bande 37</w:t>
      </w:r>
      <w:r w:rsidR="007B78C1">
        <w:noBreakHyphen/>
      </w:r>
      <w:r w:rsidRPr="00DB3AA5">
        <w:t>40,5</w:t>
      </w:r>
      <w:r w:rsidR="007B78C1">
        <w:t> </w:t>
      </w:r>
      <w:r w:rsidRPr="00DB3AA5">
        <w:t xml:space="preserve">GHz, y compris les </w:t>
      </w:r>
      <w:r w:rsidR="0065485C" w:rsidRPr="00DB3AA5">
        <w:t xml:space="preserve">conditions </w:t>
      </w:r>
      <w:r w:rsidRPr="00DB3AA5">
        <w:t xml:space="preserve">permettant de protéger les services existants dans la bande </w:t>
      </w:r>
      <w:r w:rsidR="0065485C" w:rsidRPr="00DB3AA5">
        <w:t>37</w:t>
      </w:r>
      <w:r w:rsidR="007B78C1">
        <w:noBreakHyphen/>
      </w:r>
      <w:r w:rsidR="0065485C" w:rsidRPr="00DB3AA5">
        <w:t>40</w:t>
      </w:r>
      <w:r w:rsidR="00885C3D" w:rsidRPr="00DB3AA5">
        <w:t>,</w:t>
      </w:r>
      <w:r w:rsidR="0065485C" w:rsidRPr="00DB3AA5">
        <w:t>5</w:t>
      </w:r>
      <w:r w:rsidR="00885C3D" w:rsidRPr="00DB3AA5">
        <w:t> </w:t>
      </w:r>
      <w:r w:rsidR="0065485C" w:rsidRPr="00DB3AA5">
        <w:t xml:space="preserve">GHz </w:t>
      </w:r>
      <w:r w:rsidRPr="00DB3AA5">
        <w:t xml:space="preserve">et le SETS </w:t>
      </w:r>
      <w:r w:rsidR="0065485C" w:rsidRPr="00DB3AA5">
        <w:t xml:space="preserve">(passive) </w:t>
      </w:r>
      <w:r w:rsidRPr="00DB3AA5">
        <w:t xml:space="preserve">dans la bande </w:t>
      </w:r>
      <w:r w:rsidR="0065485C" w:rsidRPr="00DB3AA5">
        <w:t>36</w:t>
      </w:r>
      <w:r w:rsidR="007B78C1">
        <w:noBreakHyphen/>
      </w:r>
      <w:r w:rsidR="0065485C" w:rsidRPr="00DB3AA5">
        <w:t>37</w:t>
      </w:r>
      <w:r w:rsidR="00885C3D" w:rsidRPr="00DB3AA5">
        <w:t> </w:t>
      </w:r>
      <w:r w:rsidR="0065485C" w:rsidRPr="00DB3AA5">
        <w:t>GHz.</w:t>
      </w:r>
    </w:p>
    <w:p w14:paraId="69D81132" w14:textId="4DA79841" w:rsidR="00813C51" w:rsidRPr="00DB3AA5" w:rsidRDefault="009F03CD" w:rsidP="007B78C1">
      <w:r w:rsidRPr="00DB3AA5">
        <w:t xml:space="preserve">La CEPT est favorable </w:t>
      </w:r>
      <w:r w:rsidR="007B78C1">
        <w:t xml:space="preserve">à </w:t>
      </w:r>
      <w:r w:rsidRPr="00DB3AA5">
        <w:t>la suppression de la Ré</w:t>
      </w:r>
      <w:r w:rsidR="0065485C" w:rsidRPr="00DB3AA5">
        <w:t xml:space="preserve">solution </w:t>
      </w:r>
      <w:r w:rsidR="0065485C" w:rsidRPr="00DB3AA5">
        <w:rPr>
          <w:b/>
        </w:rPr>
        <w:t>238 (C</w:t>
      </w:r>
      <w:r w:rsidRPr="00DB3AA5">
        <w:rPr>
          <w:b/>
        </w:rPr>
        <w:t>MR</w:t>
      </w:r>
      <w:r w:rsidR="0065485C" w:rsidRPr="00DB3AA5">
        <w:rPr>
          <w:b/>
        </w:rPr>
        <w:t>-15)</w:t>
      </w:r>
      <w:r w:rsidR="0065485C" w:rsidRPr="00DB3AA5">
        <w:t>.</w:t>
      </w:r>
    </w:p>
    <w:p w14:paraId="18C12951" w14:textId="6AFF93DA" w:rsidR="0097387C" w:rsidRPr="00DB3AA5" w:rsidRDefault="0097387C" w:rsidP="007B78C1">
      <w:r w:rsidRPr="00DB3AA5">
        <w:t>Les propositions européennes correspondant aux positions susmentionnées sont réparties en différents addenda comme suit:</w:t>
      </w:r>
    </w:p>
    <w:p w14:paraId="53913FCB" w14:textId="183CD38B" w:rsidR="00B01486" w:rsidRPr="00DB3AA5" w:rsidRDefault="00B01486" w:rsidP="007B78C1">
      <w:r w:rsidRPr="00DB3AA5">
        <w:rPr>
          <w:b/>
        </w:rPr>
        <w:t>Addendum 1</w:t>
      </w:r>
      <w:r w:rsidRPr="00DB3AA5">
        <w:t xml:space="preserve"> </w:t>
      </w:r>
      <w:r w:rsidRPr="00DB3AA5">
        <w:tab/>
        <w:t>Part</w:t>
      </w:r>
      <w:r w:rsidR="00DB3AA5" w:rsidRPr="00DB3AA5">
        <w:t>ie</w:t>
      </w:r>
      <w:r w:rsidRPr="00DB3AA5">
        <w:t xml:space="preserve"> 1 – Band</w:t>
      </w:r>
      <w:r w:rsidR="00DB3AA5" w:rsidRPr="00DB3AA5">
        <w:t>e</w:t>
      </w:r>
      <w:r w:rsidRPr="00DB3AA5">
        <w:t xml:space="preserve"> 24</w:t>
      </w:r>
      <w:r w:rsidR="00813C51" w:rsidRPr="00DB3AA5">
        <w:t>,</w:t>
      </w:r>
      <w:r w:rsidRPr="00DB3AA5">
        <w:t>25</w:t>
      </w:r>
      <w:r w:rsidR="007B78C1">
        <w:noBreakHyphen/>
      </w:r>
      <w:r w:rsidRPr="00DB3AA5">
        <w:t>27</w:t>
      </w:r>
      <w:r w:rsidR="00813C51" w:rsidRPr="00DB3AA5">
        <w:t>,</w:t>
      </w:r>
      <w:r w:rsidRPr="00DB3AA5">
        <w:t>5</w:t>
      </w:r>
      <w:r w:rsidR="007B78C1">
        <w:t> </w:t>
      </w:r>
      <w:r w:rsidRPr="00DB3AA5">
        <w:t>GHz</w:t>
      </w:r>
    </w:p>
    <w:p w14:paraId="0649388C" w14:textId="4FCFD726" w:rsidR="00B01486" w:rsidRPr="00DB3AA5" w:rsidRDefault="00B01486" w:rsidP="007B78C1">
      <w:r w:rsidRPr="00DB3AA5">
        <w:rPr>
          <w:b/>
        </w:rPr>
        <w:t>Addendum 2</w:t>
      </w:r>
      <w:r w:rsidRPr="00DB3AA5">
        <w:t xml:space="preserve"> </w:t>
      </w:r>
      <w:r w:rsidRPr="00DB3AA5">
        <w:tab/>
      </w:r>
      <w:r w:rsidR="00DB3AA5" w:rsidRPr="00DB3AA5">
        <w:t>Partie</w:t>
      </w:r>
      <w:r w:rsidRPr="00DB3AA5">
        <w:t xml:space="preserve"> 2 – Band</w:t>
      </w:r>
      <w:r w:rsidR="00DB3AA5" w:rsidRPr="00DB3AA5">
        <w:t>e</w:t>
      </w:r>
      <w:r w:rsidRPr="00DB3AA5">
        <w:t xml:space="preserve"> 31</w:t>
      </w:r>
      <w:r w:rsidR="00813C51" w:rsidRPr="00DB3AA5">
        <w:t>,</w:t>
      </w:r>
      <w:r w:rsidRPr="00DB3AA5">
        <w:t>8</w:t>
      </w:r>
      <w:r w:rsidR="007B78C1">
        <w:noBreakHyphen/>
      </w:r>
      <w:r w:rsidRPr="00DB3AA5">
        <w:t>33</w:t>
      </w:r>
      <w:r w:rsidR="00813C51" w:rsidRPr="00DB3AA5">
        <w:t>,</w:t>
      </w:r>
      <w:r w:rsidRPr="00DB3AA5">
        <w:t>4</w:t>
      </w:r>
      <w:r w:rsidR="007B78C1">
        <w:t> </w:t>
      </w:r>
      <w:r w:rsidRPr="00DB3AA5">
        <w:t>GHz</w:t>
      </w:r>
    </w:p>
    <w:p w14:paraId="420B189E" w14:textId="490942DE" w:rsidR="00B01486" w:rsidRPr="00DB3AA5" w:rsidRDefault="00B01486" w:rsidP="007B78C1">
      <w:r w:rsidRPr="00DB3AA5">
        <w:rPr>
          <w:b/>
        </w:rPr>
        <w:t>Addendum 3</w:t>
      </w:r>
      <w:r w:rsidRPr="00DB3AA5">
        <w:tab/>
      </w:r>
      <w:r w:rsidR="00DB3AA5" w:rsidRPr="00DB3AA5">
        <w:t xml:space="preserve">Partie </w:t>
      </w:r>
      <w:r w:rsidRPr="00DB3AA5">
        <w:t>3 – Band</w:t>
      </w:r>
      <w:r w:rsidR="00DB3AA5" w:rsidRPr="00DB3AA5">
        <w:t>e</w:t>
      </w:r>
      <w:r w:rsidRPr="00DB3AA5">
        <w:t xml:space="preserve"> 37</w:t>
      </w:r>
      <w:r w:rsidR="007B78C1">
        <w:noBreakHyphen/>
      </w:r>
      <w:r w:rsidRPr="00DB3AA5">
        <w:t>40</w:t>
      </w:r>
      <w:r w:rsidR="00813C51" w:rsidRPr="00DB3AA5">
        <w:t>,</w:t>
      </w:r>
      <w:r w:rsidRPr="00DB3AA5">
        <w:t>5</w:t>
      </w:r>
      <w:r w:rsidR="007B78C1">
        <w:t> </w:t>
      </w:r>
      <w:r w:rsidRPr="00DB3AA5">
        <w:t>GHz</w:t>
      </w:r>
    </w:p>
    <w:p w14:paraId="3EBC435C" w14:textId="11E8766A" w:rsidR="00B01486" w:rsidRPr="00DB3AA5" w:rsidRDefault="00B01486" w:rsidP="007B78C1">
      <w:r w:rsidRPr="00DB3AA5">
        <w:rPr>
          <w:b/>
        </w:rPr>
        <w:t>Addendum 4</w:t>
      </w:r>
      <w:r w:rsidRPr="00DB3AA5">
        <w:tab/>
      </w:r>
      <w:r w:rsidR="00DB3AA5" w:rsidRPr="00DB3AA5">
        <w:t xml:space="preserve">Partie </w:t>
      </w:r>
      <w:r w:rsidRPr="00DB3AA5">
        <w:t>4 – Band</w:t>
      </w:r>
      <w:r w:rsidR="00DB3AA5" w:rsidRPr="00DB3AA5">
        <w:t>e</w:t>
      </w:r>
      <w:r w:rsidRPr="00DB3AA5">
        <w:t xml:space="preserve"> 40</w:t>
      </w:r>
      <w:r w:rsidR="00813C51" w:rsidRPr="00DB3AA5">
        <w:t>,</w:t>
      </w:r>
      <w:r w:rsidRPr="00DB3AA5">
        <w:t>5</w:t>
      </w:r>
      <w:r w:rsidR="007B78C1">
        <w:noBreakHyphen/>
      </w:r>
      <w:r w:rsidRPr="00DB3AA5">
        <w:t>43</w:t>
      </w:r>
      <w:r w:rsidR="00813C51" w:rsidRPr="00DB3AA5">
        <w:t>,</w:t>
      </w:r>
      <w:r w:rsidRPr="00DB3AA5">
        <w:t>5</w:t>
      </w:r>
      <w:r w:rsidR="007B78C1">
        <w:t> </w:t>
      </w:r>
      <w:r w:rsidRPr="00DB3AA5">
        <w:t>GHz</w:t>
      </w:r>
    </w:p>
    <w:p w14:paraId="5770F1B8" w14:textId="47298B5B" w:rsidR="00B01486" w:rsidRPr="00DB3AA5" w:rsidRDefault="00B01486" w:rsidP="007B78C1">
      <w:r w:rsidRPr="00DB3AA5">
        <w:rPr>
          <w:b/>
        </w:rPr>
        <w:t>Addendum 5</w:t>
      </w:r>
      <w:r w:rsidRPr="00DB3AA5">
        <w:tab/>
      </w:r>
      <w:r w:rsidR="00DB3AA5" w:rsidRPr="00DB3AA5">
        <w:t xml:space="preserve">Partie </w:t>
      </w:r>
      <w:r w:rsidRPr="00DB3AA5">
        <w:t>5 – Band</w:t>
      </w:r>
      <w:r w:rsidR="00DB3AA5" w:rsidRPr="00DB3AA5">
        <w:t>e</w:t>
      </w:r>
      <w:r w:rsidRPr="00DB3AA5">
        <w:t xml:space="preserve"> 47</w:t>
      </w:r>
      <w:r w:rsidR="00813C51" w:rsidRPr="00DB3AA5">
        <w:t>,</w:t>
      </w:r>
      <w:r w:rsidRPr="00DB3AA5">
        <w:t>0</w:t>
      </w:r>
      <w:r w:rsidR="007B78C1">
        <w:noBreakHyphen/>
      </w:r>
      <w:r w:rsidRPr="00DB3AA5">
        <w:t>47</w:t>
      </w:r>
      <w:r w:rsidR="00813C51" w:rsidRPr="00DB3AA5">
        <w:t>,</w:t>
      </w:r>
      <w:r w:rsidRPr="00DB3AA5">
        <w:t>2</w:t>
      </w:r>
      <w:r w:rsidR="007B78C1">
        <w:t> </w:t>
      </w:r>
      <w:r w:rsidRPr="00DB3AA5">
        <w:t>GHz</w:t>
      </w:r>
    </w:p>
    <w:p w14:paraId="22F5FCC2" w14:textId="348179FD" w:rsidR="00B01486" w:rsidRPr="00DB3AA5" w:rsidRDefault="00B01486" w:rsidP="007B78C1">
      <w:r w:rsidRPr="00DB3AA5">
        <w:rPr>
          <w:b/>
        </w:rPr>
        <w:t>Addendum 6</w:t>
      </w:r>
      <w:r w:rsidRPr="00DB3AA5">
        <w:tab/>
      </w:r>
      <w:r w:rsidR="00DB3AA5" w:rsidRPr="00DB3AA5">
        <w:t xml:space="preserve">Partie </w:t>
      </w:r>
      <w:r w:rsidRPr="00DB3AA5">
        <w:t>6 – Band</w:t>
      </w:r>
      <w:r w:rsidR="00DB3AA5" w:rsidRPr="00DB3AA5">
        <w:t>e</w:t>
      </w:r>
      <w:r w:rsidRPr="00DB3AA5">
        <w:t xml:space="preserve"> 47</w:t>
      </w:r>
      <w:r w:rsidR="00813C51" w:rsidRPr="00DB3AA5">
        <w:t>,</w:t>
      </w:r>
      <w:r w:rsidRPr="00DB3AA5">
        <w:t>2</w:t>
      </w:r>
      <w:r w:rsidR="007B78C1">
        <w:noBreakHyphen/>
      </w:r>
      <w:r w:rsidRPr="00DB3AA5">
        <w:t>50</w:t>
      </w:r>
      <w:r w:rsidR="00813C51" w:rsidRPr="00DB3AA5">
        <w:t>,</w:t>
      </w:r>
      <w:r w:rsidRPr="00DB3AA5">
        <w:t>2</w:t>
      </w:r>
      <w:r w:rsidR="007B78C1">
        <w:t> </w:t>
      </w:r>
      <w:r w:rsidRPr="00DB3AA5">
        <w:t>GHz</w:t>
      </w:r>
    </w:p>
    <w:p w14:paraId="51EE5AF1" w14:textId="426E5CF9" w:rsidR="00B01486" w:rsidRPr="00DB3AA5" w:rsidRDefault="00B01486" w:rsidP="007B78C1">
      <w:r w:rsidRPr="00DB3AA5">
        <w:rPr>
          <w:b/>
        </w:rPr>
        <w:t>Addendum 7</w:t>
      </w:r>
      <w:r w:rsidRPr="00DB3AA5">
        <w:tab/>
      </w:r>
      <w:r w:rsidR="00DB3AA5" w:rsidRPr="00DB3AA5">
        <w:t xml:space="preserve">Partie </w:t>
      </w:r>
      <w:r w:rsidRPr="00DB3AA5">
        <w:t>7 – Band</w:t>
      </w:r>
      <w:r w:rsidR="00DB3AA5" w:rsidRPr="00DB3AA5">
        <w:t>e</w:t>
      </w:r>
      <w:r w:rsidRPr="00DB3AA5">
        <w:t xml:space="preserve"> 50</w:t>
      </w:r>
      <w:r w:rsidR="00813C51" w:rsidRPr="00DB3AA5">
        <w:t>,</w:t>
      </w:r>
      <w:r w:rsidRPr="00DB3AA5">
        <w:t>4</w:t>
      </w:r>
      <w:r w:rsidR="007B78C1">
        <w:noBreakHyphen/>
      </w:r>
      <w:r w:rsidRPr="00DB3AA5">
        <w:t>52</w:t>
      </w:r>
      <w:r w:rsidR="00813C51" w:rsidRPr="00DB3AA5">
        <w:t>,</w:t>
      </w:r>
      <w:r w:rsidRPr="00DB3AA5">
        <w:t>6</w:t>
      </w:r>
      <w:r w:rsidR="007B78C1">
        <w:t> </w:t>
      </w:r>
      <w:r w:rsidRPr="00DB3AA5">
        <w:t>GHz</w:t>
      </w:r>
    </w:p>
    <w:p w14:paraId="4023BFCB" w14:textId="6C3B683A" w:rsidR="00B01486" w:rsidRPr="00DB3AA5" w:rsidRDefault="00B01486" w:rsidP="007B78C1">
      <w:r w:rsidRPr="00DB3AA5">
        <w:rPr>
          <w:b/>
        </w:rPr>
        <w:t>Addendum 8</w:t>
      </w:r>
      <w:r w:rsidRPr="00DB3AA5">
        <w:tab/>
        <w:t>Part</w:t>
      </w:r>
      <w:r w:rsidR="0089366E">
        <w:t>ie</w:t>
      </w:r>
      <w:r w:rsidRPr="00DB3AA5">
        <w:t xml:space="preserve"> 8 – Band</w:t>
      </w:r>
      <w:r w:rsidR="0089366E">
        <w:t>e</w:t>
      </w:r>
      <w:r w:rsidRPr="00DB3AA5">
        <w:t xml:space="preserve"> 66</w:t>
      </w:r>
      <w:r w:rsidR="007B78C1">
        <w:noBreakHyphen/>
      </w:r>
      <w:r w:rsidRPr="00DB3AA5">
        <w:t>71</w:t>
      </w:r>
      <w:r w:rsidR="007B78C1">
        <w:t> </w:t>
      </w:r>
      <w:r w:rsidRPr="00DB3AA5">
        <w:t>GHz</w:t>
      </w:r>
    </w:p>
    <w:p w14:paraId="3681AC55" w14:textId="5AFDF792" w:rsidR="00B01486" w:rsidRPr="00DB3AA5" w:rsidRDefault="00B01486" w:rsidP="007B78C1">
      <w:r w:rsidRPr="00DB3AA5">
        <w:rPr>
          <w:b/>
        </w:rPr>
        <w:t>Addendum 9</w:t>
      </w:r>
      <w:r w:rsidRPr="00DB3AA5">
        <w:t xml:space="preserve"> </w:t>
      </w:r>
      <w:r w:rsidRPr="00DB3AA5">
        <w:tab/>
        <w:t>Part</w:t>
      </w:r>
      <w:r w:rsidR="0089366E">
        <w:t>ie</w:t>
      </w:r>
      <w:r w:rsidRPr="00DB3AA5">
        <w:t xml:space="preserve"> 9 – Band</w:t>
      </w:r>
      <w:r w:rsidR="0089366E">
        <w:t>e</w:t>
      </w:r>
      <w:r w:rsidRPr="00DB3AA5">
        <w:t xml:space="preserve"> 71</w:t>
      </w:r>
      <w:r w:rsidR="007B78C1">
        <w:noBreakHyphen/>
      </w:r>
      <w:r w:rsidRPr="00DB3AA5">
        <w:t>76</w:t>
      </w:r>
      <w:r w:rsidR="007B78C1">
        <w:t> </w:t>
      </w:r>
      <w:r w:rsidRPr="00DB3AA5">
        <w:t>GHz</w:t>
      </w:r>
    </w:p>
    <w:p w14:paraId="27BD0DB3" w14:textId="4FAC2623" w:rsidR="00B01486" w:rsidRPr="00DB3AA5" w:rsidRDefault="00B01486" w:rsidP="007B78C1">
      <w:r w:rsidRPr="00DB3AA5">
        <w:rPr>
          <w:b/>
        </w:rPr>
        <w:t>Addendum 10</w:t>
      </w:r>
      <w:r w:rsidRPr="00DB3AA5">
        <w:t xml:space="preserve"> </w:t>
      </w:r>
      <w:r w:rsidRPr="00DB3AA5">
        <w:tab/>
        <w:t>Part</w:t>
      </w:r>
      <w:r w:rsidR="0089366E">
        <w:t>ie</w:t>
      </w:r>
      <w:r w:rsidRPr="00DB3AA5">
        <w:t xml:space="preserve"> 10 – Band</w:t>
      </w:r>
      <w:r w:rsidR="0089366E">
        <w:t>e</w:t>
      </w:r>
      <w:r w:rsidRPr="00DB3AA5">
        <w:t xml:space="preserve"> 81</w:t>
      </w:r>
      <w:r w:rsidR="007B78C1">
        <w:noBreakHyphen/>
      </w:r>
      <w:r w:rsidRPr="00DB3AA5">
        <w:t>86</w:t>
      </w:r>
      <w:r w:rsidR="007B78C1">
        <w:t> </w:t>
      </w:r>
      <w:r w:rsidRPr="00DB3AA5">
        <w:t>GHz</w:t>
      </w:r>
    </w:p>
    <w:p w14:paraId="1AC3572F" w14:textId="22627167" w:rsidR="00B01486" w:rsidRDefault="00B01486" w:rsidP="007B78C1">
      <w:pPr>
        <w:rPr>
          <w:b/>
        </w:rPr>
      </w:pPr>
      <w:r w:rsidRPr="00DB3AA5">
        <w:rPr>
          <w:b/>
        </w:rPr>
        <w:t>Addendum 11</w:t>
      </w:r>
      <w:r w:rsidRPr="00DB3AA5">
        <w:t xml:space="preserve"> </w:t>
      </w:r>
      <w:r w:rsidRPr="00DB3AA5">
        <w:tab/>
        <w:t>Part</w:t>
      </w:r>
      <w:r w:rsidR="0089366E">
        <w:t>ie</w:t>
      </w:r>
      <w:r w:rsidRPr="00DB3AA5">
        <w:t xml:space="preserve"> 11 – Résolution </w:t>
      </w:r>
      <w:r w:rsidRPr="00DB3AA5">
        <w:rPr>
          <w:b/>
        </w:rPr>
        <w:t>238 (</w:t>
      </w:r>
      <w:r w:rsidR="00497FDB" w:rsidRPr="00DB3AA5">
        <w:rPr>
          <w:b/>
        </w:rPr>
        <w:t>CMR</w:t>
      </w:r>
      <w:r w:rsidRPr="00DB3AA5">
        <w:rPr>
          <w:b/>
        </w:rPr>
        <w:t>-15)</w:t>
      </w:r>
    </w:p>
    <w:p w14:paraId="35A54FE4" w14:textId="77777777" w:rsidR="007B78C1" w:rsidRPr="00DB3AA5" w:rsidRDefault="007B78C1" w:rsidP="007B78C1">
      <w:pPr>
        <w:pStyle w:val="Reasons"/>
      </w:pPr>
    </w:p>
    <w:p w14:paraId="2C7B3127" w14:textId="1A3FF338" w:rsidR="00B01486" w:rsidRPr="00DB3AA5" w:rsidRDefault="00175310" w:rsidP="007B78C1">
      <w:pPr>
        <w:jc w:val="center"/>
      </w:pPr>
      <w:r w:rsidRPr="00DB3AA5">
        <w:t>______________</w:t>
      </w:r>
    </w:p>
    <w:sectPr w:rsidR="00B01486" w:rsidRPr="00DB3AA5">
      <w:headerReference w:type="default" r:id="rId12"/>
      <w:footerReference w:type="even" r:id="rId13"/>
      <w:footerReference w:type="default" r:id="rId14"/>
      <w:footerReference w:type="first" r:id="rId15"/>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D0617C" w14:textId="77777777" w:rsidR="0070076C" w:rsidRDefault="0070076C">
      <w:r>
        <w:separator/>
      </w:r>
    </w:p>
  </w:endnote>
  <w:endnote w:type="continuationSeparator" w:id="0">
    <w:p w14:paraId="3B801121" w14:textId="77777777" w:rsidR="0070076C" w:rsidRDefault="00700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68633" w14:textId="4F8937E0" w:rsidR="00936D25" w:rsidRDefault="00936D25">
    <w:pPr>
      <w:rPr>
        <w:lang w:val="en-US"/>
      </w:rPr>
    </w:pPr>
    <w:r>
      <w:fldChar w:fldCharType="begin"/>
    </w:r>
    <w:r>
      <w:rPr>
        <w:lang w:val="en-US"/>
      </w:rPr>
      <w:instrText xml:space="preserve"> FILENAME \p  \* MERGEFORMAT </w:instrText>
    </w:r>
    <w:r>
      <w:fldChar w:fldCharType="separate"/>
    </w:r>
    <w:r w:rsidR="00F15C23">
      <w:rPr>
        <w:noProof/>
        <w:lang w:val="en-US"/>
      </w:rPr>
      <w:t>P:\FRA\ITU-R\CONF-R\CMR19\000\016ADD13F.docx</w:t>
    </w:r>
    <w:r>
      <w:fldChar w:fldCharType="end"/>
    </w:r>
    <w:r>
      <w:rPr>
        <w:lang w:val="en-US"/>
      </w:rPr>
      <w:tab/>
    </w:r>
    <w:r>
      <w:fldChar w:fldCharType="begin"/>
    </w:r>
    <w:r>
      <w:instrText xml:space="preserve"> SAVEDATE \@ DD.MM.YY </w:instrText>
    </w:r>
    <w:r>
      <w:fldChar w:fldCharType="separate"/>
    </w:r>
    <w:r w:rsidR="00F15C23">
      <w:rPr>
        <w:noProof/>
      </w:rPr>
      <w:t>17.10.19</w:t>
    </w:r>
    <w:r>
      <w:fldChar w:fldCharType="end"/>
    </w:r>
    <w:r>
      <w:rPr>
        <w:lang w:val="en-US"/>
      </w:rPr>
      <w:tab/>
    </w:r>
    <w:r>
      <w:fldChar w:fldCharType="begin"/>
    </w:r>
    <w:r>
      <w:instrText xml:space="preserve"> PRINTDATE \@ DD.MM.YY </w:instrText>
    </w:r>
    <w:r>
      <w:fldChar w:fldCharType="separate"/>
    </w:r>
    <w:r w:rsidR="00F15C23">
      <w:rPr>
        <w:noProof/>
      </w:rPr>
      <w:t>17.10.19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139EB" w14:textId="26EC0C02" w:rsidR="00936D25" w:rsidRPr="006E42ED" w:rsidRDefault="00936D25" w:rsidP="007B2C34">
    <w:pPr>
      <w:pStyle w:val="Footer"/>
      <w:rPr>
        <w:lang w:val="en-GB"/>
      </w:rPr>
    </w:pPr>
    <w:r>
      <w:fldChar w:fldCharType="begin"/>
    </w:r>
    <w:r>
      <w:rPr>
        <w:lang w:val="en-US"/>
      </w:rPr>
      <w:instrText xml:space="preserve"> FILENAME \p  \* MERGEFORMAT </w:instrText>
    </w:r>
    <w:r>
      <w:fldChar w:fldCharType="separate"/>
    </w:r>
    <w:r w:rsidR="00F15C23">
      <w:rPr>
        <w:lang w:val="en-US"/>
      </w:rPr>
      <w:t>P:\FRA\ITU-R\CONF-R\CMR19\000\016ADD13F.docx</w:t>
    </w:r>
    <w:r>
      <w:fldChar w:fldCharType="end"/>
    </w:r>
    <w:r w:rsidR="006E42ED" w:rsidRPr="006E42ED">
      <w:rPr>
        <w:lang w:val="en-GB"/>
      </w:rPr>
      <w:t xml:space="preserve"> </w:t>
    </w:r>
    <w:r w:rsidR="006E42ED">
      <w:rPr>
        <w:lang w:val="en-GB"/>
      </w:rPr>
      <w:t>(462009)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A0B21" w14:textId="2A3D6C2B" w:rsidR="00936D25" w:rsidRPr="006E42ED" w:rsidRDefault="00936D25" w:rsidP="001A11F6">
    <w:pPr>
      <w:pStyle w:val="Footer"/>
      <w:rPr>
        <w:lang w:val="en-GB"/>
      </w:rPr>
    </w:pPr>
    <w:r>
      <w:fldChar w:fldCharType="begin"/>
    </w:r>
    <w:r>
      <w:rPr>
        <w:lang w:val="en-US"/>
      </w:rPr>
      <w:instrText xml:space="preserve"> FILENAME \p  \* MERGEFORMAT </w:instrText>
    </w:r>
    <w:r>
      <w:fldChar w:fldCharType="separate"/>
    </w:r>
    <w:r w:rsidR="00F15C23">
      <w:rPr>
        <w:lang w:val="en-US"/>
      </w:rPr>
      <w:t>P:\FRA\ITU-R\CONF-R\CMR19\000\016ADD13F.docx</w:t>
    </w:r>
    <w:r>
      <w:fldChar w:fldCharType="end"/>
    </w:r>
    <w:r w:rsidR="006E42ED" w:rsidRPr="006E42ED">
      <w:rPr>
        <w:lang w:val="en-GB"/>
      </w:rPr>
      <w:t xml:space="preserve"> </w:t>
    </w:r>
    <w:r w:rsidR="006E42ED">
      <w:rPr>
        <w:lang w:val="en-GB"/>
      </w:rPr>
      <w:t>(462009)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7997BA" w14:textId="77777777" w:rsidR="0070076C" w:rsidRDefault="0070076C">
      <w:r>
        <w:rPr>
          <w:b/>
        </w:rPr>
        <w:t>_______________</w:t>
      </w:r>
    </w:p>
  </w:footnote>
  <w:footnote w:type="continuationSeparator" w:id="0">
    <w:p w14:paraId="7E3415A3" w14:textId="77777777" w:rsidR="0070076C" w:rsidRDefault="0070076C">
      <w:r>
        <w:continuationSeparator/>
      </w:r>
    </w:p>
  </w:footnote>
  <w:footnote w:id="1">
    <w:p w14:paraId="70C21139" w14:textId="3B12CCD7" w:rsidR="00BF6339" w:rsidRPr="00F7041B" w:rsidRDefault="00BF6339" w:rsidP="00BF6339">
      <w:pPr>
        <w:pStyle w:val="FootnoteText"/>
      </w:pPr>
      <w:r w:rsidRPr="001B7828">
        <w:rPr>
          <w:rStyle w:val="FootnoteReference"/>
        </w:rPr>
        <w:footnoteRef/>
      </w:r>
      <w:r w:rsidRPr="00F7041B">
        <w:rPr>
          <w:rStyle w:val="FootnoteReference"/>
          <w:sz w:val="16"/>
        </w:rPr>
        <w:t xml:space="preserve"> </w:t>
      </w:r>
      <w:r w:rsidRPr="00F7041B">
        <w:tab/>
      </w:r>
      <w:r w:rsidR="00F7041B" w:rsidRPr="00F7041B">
        <w:rPr>
          <w:lang w:val="fr-CH"/>
        </w:rPr>
        <w:t xml:space="preserve">Y compris les études relatives aux services dans les bandes </w:t>
      </w:r>
      <w:r w:rsidR="00F7041B" w:rsidRPr="00F7041B">
        <w:t>de fréquences</w:t>
      </w:r>
      <w:r w:rsidR="00F7041B" w:rsidRPr="00F7041B">
        <w:rPr>
          <w:lang w:val="fr-CH"/>
        </w:rPr>
        <w:t xml:space="preserve"> adjacentes, selon qu'il conviendra.</w:t>
      </w:r>
    </w:p>
  </w:footnote>
  <w:footnote w:id="2">
    <w:p w14:paraId="724D8B09" w14:textId="3FF0CB96" w:rsidR="00BF6339" w:rsidRPr="00F7041B" w:rsidRDefault="00BF6339" w:rsidP="00BF6339">
      <w:pPr>
        <w:pStyle w:val="FootnoteText"/>
      </w:pPr>
      <w:r w:rsidRPr="001B7828">
        <w:rPr>
          <w:rStyle w:val="FootnoteReference"/>
        </w:rPr>
        <w:footnoteRef/>
      </w:r>
      <w:r w:rsidRPr="00F7041B">
        <w:rPr>
          <w:rStyle w:val="FootnoteReference"/>
        </w:rPr>
        <w:t xml:space="preserve"> </w:t>
      </w:r>
      <w:r w:rsidRPr="00F7041B">
        <w:tab/>
      </w:r>
      <w:r w:rsidR="00F7041B" w:rsidRPr="00F7041B">
        <w:t>Lorsque des études seront effectuées concernant la bande de fréquences 24,5</w:t>
      </w:r>
      <w:r w:rsidR="007B78C1">
        <w:noBreakHyphen/>
      </w:r>
      <w:r w:rsidR="00F7041B" w:rsidRPr="00F7041B">
        <w:t>27,5</w:t>
      </w:r>
      <w:r w:rsidR="007B78C1">
        <w:t> </w:t>
      </w:r>
      <w:r w:rsidR="00F7041B" w:rsidRPr="00F7041B">
        <w:t>GHz, il conviendra de tenir compte de la nécessité d'assurer la protection des stations terriennes existantes et du déploiement des futures stations terriennes de réception dans le cadre de l'attribution au SETS (espace vers Terre) et au service de recherche spatiale (espace vers Terre) dans la bande de fréquences 25,5</w:t>
      </w:r>
      <w:r w:rsidR="007B78C1">
        <w:noBreakHyphen/>
      </w:r>
      <w:r w:rsidR="00F7041B" w:rsidRPr="00F7041B">
        <w:t>27 GHz.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8A553" w14:textId="77777777" w:rsidR="004F1F8E" w:rsidRDefault="004F1F8E" w:rsidP="004F1F8E">
    <w:pPr>
      <w:pStyle w:val="Header"/>
    </w:pPr>
    <w:r>
      <w:fldChar w:fldCharType="begin"/>
    </w:r>
    <w:r>
      <w:instrText xml:space="preserve"> PAGE </w:instrText>
    </w:r>
    <w:r>
      <w:fldChar w:fldCharType="separate"/>
    </w:r>
    <w:r w:rsidR="007B2C34">
      <w:rPr>
        <w:noProof/>
      </w:rPr>
      <w:t>2</w:t>
    </w:r>
    <w:r>
      <w:fldChar w:fldCharType="end"/>
    </w:r>
  </w:p>
  <w:p w14:paraId="491B0C76" w14:textId="77777777" w:rsidR="004F1F8E" w:rsidRDefault="004F1F8E" w:rsidP="00FD7AA3">
    <w:pPr>
      <w:pStyle w:val="Header"/>
    </w:pPr>
    <w:r>
      <w:t>CMR1</w:t>
    </w:r>
    <w:r w:rsidR="00FD7AA3">
      <w:t>9</w:t>
    </w:r>
    <w:r>
      <w:t>/</w:t>
    </w:r>
    <w:r w:rsidR="006A4B45">
      <w:t>16(Add.13)-</w:t>
    </w:r>
    <w:r w:rsidR="00010B43"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82"/>
    <w:rsid w:val="00007EC7"/>
    <w:rsid w:val="00010B43"/>
    <w:rsid w:val="00016648"/>
    <w:rsid w:val="0003522F"/>
    <w:rsid w:val="00063A1F"/>
    <w:rsid w:val="00080E2C"/>
    <w:rsid w:val="00081366"/>
    <w:rsid w:val="00084C83"/>
    <w:rsid w:val="000863B3"/>
    <w:rsid w:val="000A4755"/>
    <w:rsid w:val="000A55AE"/>
    <w:rsid w:val="000B2E0C"/>
    <w:rsid w:val="000B3D0C"/>
    <w:rsid w:val="001167B9"/>
    <w:rsid w:val="001267A0"/>
    <w:rsid w:val="0015203F"/>
    <w:rsid w:val="00160C64"/>
    <w:rsid w:val="00175310"/>
    <w:rsid w:val="0018169B"/>
    <w:rsid w:val="0019352B"/>
    <w:rsid w:val="001960D0"/>
    <w:rsid w:val="001A11F6"/>
    <w:rsid w:val="001F17E8"/>
    <w:rsid w:val="00204306"/>
    <w:rsid w:val="00232FD2"/>
    <w:rsid w:val="0026554E"/>
    <w:rsid w:val="002A4622"/>
    <w:rsid w:val="002A6F8F"/>
    <w:rsid w:val="002B17E5"/>
    <w:rsid w:val="002C0EBF"/>
    <w:rsid w:val="002C28A4"/>
    <w:rsid w:val="002D7E0A"/>
    <w:rsid w:val="00315AFE"/>
    <w:rsid w:val="003606A6"/>
    <w:rsid w:val="0036650C"/>
    <w:rsid w:val="0037295A"/>
    <w:rsid w:val="00393ACD"/>
    <w:rsid w:val="003A583E"/>
    <w:rsid w:val="003E112B"/>
    <w:rsid w:val="003E1D1C"/>
    <w:rsid w:val="003E7B05"/>
    <w:rsid w:val="003F3719"/>
    <w:rsid w:val="003F6F2D"/>
    <w:rsid w:val="00447C8F"/>
    <w:rsid w:val="00466211"/>
    <w:rsid w:val="00483196"/>
    <w:rsid w:val="004834A9"/>
    <w:rsid w:val="00497FDB"/>
    <w:rsid w:val="004C49E0"/>
    <w:rsid w:val="004D01FC"/>
    <w:rsid w:val="004E28C3"/>
    <w:rsid w:val="004F1F8E"/>
    <w:rsid w:val="00512A32"/>
    <w:rsid w:val="005343DA"/>
    <w:rsid w:val="00560874"/>
    <w:rsid w:val="00586CF2"/>
    <w:rsid w:val="005A7C75"/>
    <w:rsid w:val="005C3768"/>
    <w:rsid w:val="005C6C3F"/>
    <w:rsid w:val="005D508D"/>
    <w:rsid w:val="00613635"/>
    <w:rsid w:val="0062093D"/>
    <w:rsid w:val="00637ECF"/>
    <w:rsid w:val="00647B59"/>
    <w:rsid w:val="0065485C"/>
    <w:rsid w:val="00690C7B"/>
    <w:rsid w:val="006A4B45"/>
    <w:rsid w:val="006D4724"/>
    <w:rsid w:val="006E42ED"/>
    <w:rsid w:val="006F5FA2"/>
    <w:rsid w:val="0070076C"/>
    <w:rsid w:val="00701BAE"/>
    <w:rsid w:val="00721F04"/>
    <w:rsid w:val="00730E95"/>
    <w:rsid w:val="007426B9"/>
    <w:rsid w:val="00764342"/>
    <w:rsid w:val="007721CF"/>
    <w:rsid w:val="00774362"/>
    <w:rsid w:val="00786598"/>
    <w:rsid w:val="00790C74"/>
    <w:rsid w:val="007A04E8"/>
    <w:rsid w:val="007A7D10"/>
    <w:rsid w:val="007B2C34"/>
    <w:rsid w:val="007B4A50"/>
    <w:rsid w:val="007B78C1"/>
    <w:rsid w:val="00813C51"/>
    <w:rsid w:val="00830086"/>
    <w:rsid w:val="00851625"/>
    <w:rsid w:val="00863C0A"/>
    <w:rsid w:val="00885C3D"/>
    <w:rsid w:val="0089366E"/>
    <w:rsid w:val="008A3120"/>
    <w:rsid w:val="008A4B97"/>
    <w:rsid w:val="008A5430"/>
    <w:rsid w:val="008B1141"/>
    <w:rsid w:val="008C5B8E"/>
    <w:rsid w:val="008C5DD5"/>
    <w:rsid w:val="008D41BE"/>
    <w:rsid w:val="008D58D3"/>
    <w:rsid w:val="008E3BC9"/>
    <w:rsid w:val="00923064"/>
    <w:rsid w:val="00930FFD"/>
    <w:rsid w:val="00936D25"/>
    <w:rsid w:val="00941EA5"/>
    <w:rsid w:val="00961144"/>
    <w:rsid w:val="00964700"/>
    <w:rsid w:val="00966C16"/>
    <w:rsid w:val="0097387C"/>
    <w:rsid w:val="0098732F"/>
    <w:rsid w:val="009A045F"/>
    <w:rsid w:val="009A1686"/>
    <w:rsid w:val="009A6A2B"/>
    <w:rsid w:val="009C7E7C"/>
    <w:rsid w:val="009F03CD"/>
    <w:rsid w:val="00A00473"/>
    <w:rsid w:val="00A03C9B"/>
    <w:rsid w:val="00A37105"/>
    <w:rsid w:val="00A606C3"/>
    <w:rsid w:val="00A83B09"/>
    <w:rsid w:val="00A84541"/>
    <w:rsid w:val="00AD3F6F"/>
    <w:rsid w:val="00AE36A0"/>
    <w:rsid w:val="00B00294"/>
    <w:rsid w:val="00B01486"/>
    <w:rsid w:val="00B3749C"/>
    <w:rsid w:val="00B64FD0"/>
    <w:rsid w:val="00BA5BD0"/>
    <w:rsid w:val="00BB1D82"/>
    <w:rsid w:val="00BD51C5"/>
    <w:rsid w:val="00BF26E7"/>
    <w:rsid w:val="00BF6339"/>
    <w:rsid w:val="00C53FCA"/>
    <w:rsid w:val="00C55F3C"/>
    <w:rsid w:val="00C76BAF"/>
    <w:rsid w:val="00C814B9"/>
    <w:rsid w:val="00CD516F"/>
    <w:rsid w:val="00D119A7"/>
    <w:rsid w:val="00D25FBA"/>
    <w:rsid w:val="00D32B28"/>
    <w:rsid w:val="00D42954"/>
    <w:rsid w:val="00D66EAC"/>
    <w:rsid w:val="00D730DF"/>
    <w:rsid w:val="00D772F0"/>
    <w:rsid w:val="00D77BDC"/>
    <w:rsid w:val="00DA57DC"/>
    <w:rsid w:val="00DB3AA5"/>
    <w:rsid w:val="00DC402B"/>
    <w:rsid w:val="00DD2BC3"/>
    <w:rsid w:val="00DE0932"/>
    <w:rsid w:val="00E03A27"/>
    <w:rsid w:val="00E049F1"/>
    <w:rsid w:val="00E37A25"/>
    <w:rsid w:val="00E537FF"/>
    <w:rsid w:val="00E6539B"/>
    <w:rsid w:val="00E70A31"/>
    <w:rsid w:val="00E723A7"/>
    <w:rsid w:val="00E906AB"/>
    <w:rsid w:val="00EA3F38"/>
    <w:rsid w:val="00EA5AB6"/>
    <w:rsid w:val="00EC7615"/>
    <w:rsid w:val="00ED16AA"/>
    <w:rsid w:val="00ED6B8D"/>
    <w:rsid w:val="00EE3D7B"/>
    <w:rsid w:val="00EF662E"/>
    <w:rsid w:val="00F10064"/>
    <w:rsid w:val="00F148F1"/>
    <w:rsid w:val="00F15C23"/>
    <w:rsid w:val="00F7041B"/>
    <w:rsid w:val="00F711A7"/>
    <w:rsid w:val="00FA3BBF"/>
    <w:rsid w:val="00FC41F8"/>
    <w:rsid w:val="00FD7AA3"/>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7B0CB41"/>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
    <w:qFormat/>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
    <w:basedOn w:val="Normal"/>
    <w:link w:val="FootnoteTextChar"/>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
    <w:basedOn w:val="DefaultParagraphFont"/>
    <w:link w:val="FootnoteText"/>
    <w:rsid w:val="00BF6339"/>
    <w:rPr>
      <w:rFonts w:ascii="Times New Roman" w:hAnsi="Times New Roman"/>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R16-WRC19-C-0016!A13!MSW-F</DPM_x0020_File_x0020_name>
    <DPM_x0020_Author xmlns="32a1a8c5-2265-4ebc-b7a0-2071e2c5c9bb" xsi:nil="false">DPM</DPM_x0020_Author>
    <DPM_x0020_Version xmlns="32a1a8c5-2265-4ebc-b7a0-2071e2c5c9bb" xsi:nil="false">DPM_2019.10.01.01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Props1.xml><?xml version="1.0" encoding="utf-8"?>
<ds:datastoreItem xmlns:ds="http://schemas.openxmlformats.org/officeDocument/2006/customXml" ds:itemID="{531E6DF9-64C9-4B35-BC3B-223EEE976106}">
  <ds:schemaRefs>
    <ds:schemaRef ds:uri="http://schemas.microsoft.com/sharepoint/v3/contenttype/forms"/>
  </ds:schemaRefs>
</ds:datastoreItem>
</file>

<file path=customXml/itemProps2.xml><?xml version="1.0" encoding="utf-8"?>
<ds:datastoreItem xmlns:ds="http://schemas.openxmlformats.org/officeDocument/2006/customXml" ds:itemID="{B8B28ED2-D447-4426-A943-8D9A8F3FF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4.xml><?xml version="1.0" encoding="utf-8"?>
<ds:datastoreItem xmlns:ds="http://schemas.openxmlformats.org/officeDocument/2006/customXml" ds:itemID="{856D240B-901C-4BDD-845E-E9FFE5068CA2}">
  <ds:schemaRefs>
    <ds:schemaRef ds:uri="996b2e75-67fd-4955-a3b0-5ab9934cb50b"/>
    <ds:schemaRef ds:uri="http://schemas.microsoft.com/office/2006/documentManagement/types"/>
    <ds:schemaRef ds:uri="http://purl.org/dc/elements/1.1/"/>
    <ds:schemaRef ds:uri="http://purl.org/dc/dcmitype/"/>
    <ds:schemaRef ds:uri="32a1a8c5-2265-4ebc-b7a0-2071e2c5c9bb"/>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503</Words>
  <Characters>2798</Characters>
  <Application>Microsoft Office Word</Application>
  <DocSecurity>0</DocSecurity>
  <Lines>66</Lines>
  <Paragraphs>40</Paragraphs>
  <ScaleCrop>false</ScaleCrop>
  <HeadingPairs>
    <vt:vector size="2" baseType="variant">
      <vt:variant>
        <vt:lpstr>Title</vt:lpstr>
      </vt:variant>
      <vt:variant>
        <vt:i4>1</vt:i4>
      </vt:variant>
    </vt:vector>
  </HeadingPairs>
  <TitlesOfParts>
    <vt:vector size="1" baseType="lpstr">
      <vt:lpstr>R16-WRC19-C-0016!A13!MSW-F</vt:lpstr>
    </vt:vector>
  </TitlesOfParts>
  <Manager>Secrétariat général - Pool</Manager>
  <Company>Union internationale des télécommunications (UIT)</Company>
  <LinksUpToDate>false</LinksUpToDate>
  <CharactersWithSpaces>3261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R16-WRC19-C-0016!A13!MSW-F</dc:title>
  <dc:subject>Conférence mondiale des radiocommunications - 2019</dc:subject>
  <dc:creator>Documents Proposals Manager (DPM)</dc:creator>
  <cp:keywords>DPM_v2019.10.8.1_prod</cp:keywords>
  <dc:description/>
  <cp:lastModifiedBy>French</cp:lastModifiedBy>
  <cp:revision>7</cp:revision>
  <cp:lastPrinted>2019-10-17T11:51:00Z</cp:lastPrinted>
  <dcterms:created xsi:type="dcterms:W3CDTF">2019-10-15T14:21:00Z</dcterms:created>
  <dcterms:modified xsi:type="dcterms:W3CDTF">2019-10-17T11:51:00Z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