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604F17C8" w14:textId="77777777">
        <w:trPr>
          <w:cantSplit/>
        </w:trPr>
        <w:tc>
          <w:tcPr>
            <w:tcW w:w="6911" w:type="dxa"/>
          </w:tcPr>
          <w:p w14:paraId="1AB29573"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01C1499" w14:textId="77777777" w:rsidR="00A066F1" w:rsidRDefault="005F04D8" w:rsidP="003B2284">
            <w:pPr>
              <w:spacing w:before="0" w:line="240" w:lineRule="atLeast"/>
              <w:jc w:val="right"/>
            </w:pPr>
            <w:bookmarkStart w:id="1" w:name="ditulogo"/>
            <w:bookmarkEnd w:id="1"/>
            <w:r>
              <w:rPr>
                <w:noProof/>
                <w:lang w:eastAsia="zh-CN"/>
              </w:rPr>
              <w:drawing>
                <wp:inline distT="0" distB="0" distL="0" distR="0" wp14:anchorId="09282CF4" wp14:editId="655135D9">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12D8862B" w14:textId="77777777">
        <w:trPr>
          <w:cantSplit/>
        </w:trPr>
        <w:tc>
          <w:tcPr>
            <w:tcW w:w="6911" w:type="dxa"/>
            <w:tcBorders>
              <w:bottom w:val="single" w:sz="12" w:space="0" w:color="auto"/>
            </w:tcBorders>
          </w:tcPr>
          <w:p w14:paraId="55504A91" w14:textId="77777777" w:rsidR="00A066F1" w:rsidRPr="003B2284" w:rsidRDefault="00A066F1" w:rsidP="00A066F1">
            <w:pPr>
              <w:spacing w:before="0" w:after="48" w:line="240" w:lineRule="atLeast"/>
              <w:rPr>
                <w:rFonts w:ascii="Verdana" w:hAnsi="Verdana"/>
                <w:b/>
                <w:smallCaps/>
                <w:sz w:val="20"/>
              </w:rPr>
            </w:pPr>
            <w:bookmarkStart w:id="2" w:name="dhead"/>
          </w:p>
        </w:tc>
        <w:tc>
          <w:tcPr>
            <w:tcW w:w="3120" w:type="dxa"/>
            <w:tcBorders>
              <w:bottom w:val="single" w:sz="12" w:space="0" w:color="auto"/>
            </w:tcBorders>
          </w:tcPr>
          <w:p w14:paraId="044980A2" w14:textId="77777777" w:rsidR="00A066F1" w:rsidRPr="00617BE4" w:rsidRDefault="00A066F1" w:rsidP="00A066F1">
            <w:pPr>
              <w:spacing w:before="0" w:line="240" w:lineRule="atLeast"/>
              <w:rPr>
                <w:rFonts w:ascii="Verdana" w:hAnsi="Verdana"/>
                <w:szCs w:val="24"/>
              </w:rPr>
            </w:pPr>
          </w:p>
        </w:tc>
      </w:tr>
      <w:tr w:rsidR="00A066F1" w:rsidRPr="00C324A8" w14:paraId="204EBF48" w14:textId="77777777">
        <w:trPr>
          <w:cantSplit/>
        </w:trPr>
        <w:tc>
          <w:tcPr>
            <w:tcW w:w="6911" w:type="dxa"/>
            <w:tcBorders>
              <w:top w:val="single" w:sz="12" w:space="0" w:color="auto"/>
            </w:tcBorders>
          </w:tcPr>
          <w:p w14:paraId="179FE5C2"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C3DF78D" w14:textId="77777777" w:rsidR="00A066F1" w:rsidRPr="00C324A8" w:rsidRDefault="00A066F1" w:rsidP="00A066F1">
            <w:pPr>
              <w:spacing w:before="0" w:line="240" w:lineRule="atLeast"/>
              <w:rPr>
                <w:rFonts w:ascii="Verdana" w:hAnsi="Verdana"/>
                <w:sz w:val="20"/>
              </w:rPr>
            </w:pPr>
          </w:p>
        </w:tc>
      </w:tr>
      <w:tr w:rsidR="00A066F1" w:rsidRPr="00C324A8" w14:paraId="375AA6A3" w14:textId="77777777">
        <w:trPr>
          <w:cantSplit/>
          <w:trHeight w:val="23"/>
        </w:trPr>
        <w:tc>
          <w:tcPr>
            <w:tcW w:w="6911" w:type="dxa"/>
            <w:shd w:val="clear" w:color="auto" w:fill="auto"/>
          </w:tcPr>
          <w:p w14:paraId="080CE5BB" w14:textId="77777777"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tcPr>
          <w:p w14:paraId="71D5EFBA"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13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3FCB1283" w14:textId="77777777">
        <w:trPr>
          <w:cantSplit/>
          <w:trHeight w:val="23"/>
        </w:trPr>
        <w:tc>
          <w:tcPr>
            <w:tcW w:w="6911" w:type="dxa"/>
            <w:shd w:val="clear" w:color="auto" w:fill="auto"/>
          </w:tcPr>
          <w:p w14:paraId="2BB77CA1" w14:textId="77777777"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tcPr>
          <w:p w14:paraId="3934F5EB" w14:textId="77777777" w:rsidR="00A066F1" w:rsidRPr="00841216" w:rsidRDefault="00DE120C" w:rsidP="00A066F1">
            <w:pPr>
              <w:tabs>
                <w:tab w:val="left" w:pos="993"/>
              </w:tabs>
              <w:spacing w:before="0"/>
              <w:rPr>
                <w:rFonts w:ascii="Verdana" w:hAnsi="Verdana"/>
                <w:sz w:val="20"/>
              </w:rPr>
            </w:pPr>
            <w:r>
              <w:rPr>
                <w:rFonts w:ascii="Verdana" w:hAnsi="Verdana"/>
                <w:b/>
                <w:sz w:val="20"/>
              </w:rPr>
              <w:t>4</w:t>
            </w:r>
            <w:r w:rsidR="00420873" w:rsidRPr="00841216">
              <w:rPr>
                <w:rFonts w:ascii="Verdana" w:hAnsi="Verdana"/>
                <w:b/>
                <w:sz w:val="20"/>
              </w:rPr>
              <w:t xml:space="preserve"> October 2019</w:t>
            </w:r>
          </w:p>
        </w:tc>
      </w:tr>
      <w:tr w:rsidR="00A066F1" w:rsidRPr="00C324A8" w14:paraId="5312078A" w14:textId="77777777">
        <w:trPr>
          <w:cantSplit/>
          <w:trHeight w:val="23"/>
        </w:trPr>
        <w:tc>
          <w:tcPr>
            <w:tcW w:w="6911" w:type="dxa"/>
            <w:shd w:val="clear" w:color="auto" w:fill="auto"/>
          </w:tcPr>
          <w:p w14:paraId="6C91F2C5" w14:textId="77777777"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14:paraId="361B5ED6"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344EEE84" w14:textId="77777777" w:rsidTr="00025864">
        <w:trPr>
          <w:cantSplit/>
          <w:trHeight w:val="23"/>
        </w:trPr>
        <w:tc>
          <w:tcPr>
            <w:tcW w:w="10031" w:type="dxa"/>
            <w:gridSpan w:val="2"/>
            <w:shd w:val="clear" w:color="auto" w:fill="auto"/>
          </w:tcPr>
          <w:p w14:paraId="75B82421" w14:textId="77777777" w:rsidR="00A066F1" w:rsidRPr="00C324A8" w:rsidRDefault="00A066F1" w:rsidP="00A066F1">
            <w:pPr>
              <w:tabs>
                <w:tab w:val="left" w:pos="993"/>
              </w:tabs>
              <w:spacing w:before="0"/>
              <w:rPr>
                <w:rFonts w:ascii="Verdana" w:hAnsi="Verdana"/>
                <w:b/>
                <w:sz w:val="20"/>
              </w:rPr>
            </w:pPr>
          </w:p>
        </w:tc>
      </w:tr>
      <w:tr w:rsidR="00E55816" w:rsidRPr="00C324A8" w14:paraId="3419C0C5" w14:textId="77777777" w:rsidTr="00025864">
        <w:trPr>
          <w:cantSplit/>
          <w:trHeight w:val="23"/>
        </w:trPr>
        <w:tc>
          <w:tcPr>
            <w:tcW w:w="10031" w:type="dxa"/>
            <w:gridSpan w:val="2"/>
            <w:shd w:val="clear" w:color="auto" w:fill="auto"/>
          </w:tcPr>
          <w:p w14:paraId="5321006A" w14:textId="77777777" w:rsidR="00E55816" w:rsidRDefault="00884D60" w:rsidP="00E55816">
            <w:pPr>
              <w:pStyle w:val="Source"/>
            </w:pPr>
            <w:r>
              <w:t>European Common Proposals</w:t>
            </w:r>
          </w:p>
        </w:tc>
      </w:tr>
      <w:tr w:rsidR="00E55816" w:rsidRPr="00C324A8" w14:paraId="6BB88B4D" w14:textId="77777777" w:rsidTr="00025864">
        <w:trPr>
          <w:cantSplit/>
          <w:trHeight w:val="23"/>
        </w:trPr>
        <w:tc>
          <w:tcPr>
            <w:tcW w:w="10031" w:type="dxa"/>
            <w:gridSpan w:val="2"/>
            <w:shd w:val="clear" w:color="auto" w:fill="auto"/>
          </w:tcPr>
          <w:p w14:paraId="5B050C5F" w14:textId="77777777" w:rsidR="00E55816" w:rsidRDefault="007D5320" w:rsidP="00E55816">
            <w:pPr>
              <w:pStyle w:val="Title1"/>
            </w:pPr>
            <w:r>
              <w:t>Proposals for the work of the conference</w:t>
            </w:r>
          </w:p>
        </w:tc>
      </w:tr>
      <w:tr w:rsidR="00E55816" w:rsidRPr="00C324A8" w14:paraId="1AD08535" w14:textId="77777777" w:rsidTr="00025864">
        <w:trPr>
          <w:cantSplit/>
          <w:trHeight w:val="23"/>
        </w:trPr>
        <w:tc>
          <w:tcPr>
            <w:tcW w:w="10031" w:type="dxa"/>
            <w:gridSpan w:val="2"/>
            <w:shd w:val="clear" w:color="auto" w:fill="auto"/>
          </w:tcPr>
          <w:p w14:paraId="21C4ED4E" w14:textId="77777777" w:rsidR="00E55816" w:rsidRDefault="00E55816" w:rsidP="00E55816">
            <w:pPr>
              <w:pStyle w:val="Title2"/>
            </w:pPr>
          </w:p>
        </w:tc>
      </w:tr>
      <w:tr w:rsidR="00A538A6" w:rsidRPr="00C324A8" w14:paraId="3DAA6FF1" w14:textId="77777777" w:rsidTr="00025864">
        <w:trPr>
          <w:cantSplit/>
          <w:trHeight w:val="23"/>
        </w:trPr>
        <w:tc>
          <w:tcPr>
            <w:tcW w:w="10031" w:type="dxa"/>
            <w:gridSpan w:val="2"/>
            <w:shd w:val="clear" w:color="auto" w:fill="auto"/>
          </w:tcPr>
          <w:p w14:paraId="4C92FAC0" w14:textId="77777777" w:rsidR="00A538A6" w:rsidRDefault="004B13CB" w:rsidP="004B13CB">
            <w:pPr>
              <w:pStyle w:val="Agendaitem"/>
            </w:pPr>
            <w:r>
              <w:t>Agenda item 1.13</w:t>
            </w:r>
          </w:p>
        </w:tc>
      </w:tr>
    </w:tbl>
    <w:bookmarkEnd w:id="7"/>
    <w:bookmarkEnd w:id="8"/>
    <w:p w14:paraId="4E95425F" w14:textId="77777777" w:rsidR="005118F7" w:rsidRPr="00EC5386" w:rsidRDefault="001F0D6D" w:rsidP="00AB5478">
      <w:pPr>
        <w:overflowPunct/>
        <w:autoSpaceDE/>
        <w:autoSpaceDN/>
        <w:adjustRightInd/>
        <w:textAlignment w:val="auto"/>
        <w:rPr>
          <w:lang w:val="en-US"/>
        </w:rPr>
      </w:pPr>
      <w:r w:rsidRPr="00656311">
        <w:rPr>
          <w:lang w:val="en-US"/>
        </w:rPr>
        <w:t>1.13</w:t>
      </w:r>
      <w:r w:rsidRPr="00656311">
        <w:rPr>
          <w:lang w:val="en-US"/>
        </w:rPr>
        <w:tab/>
        <w:t xml:space="preserve">to consider identification of frequency bands for the future development of International Mobile Telecommunications (IMT), including possible additional allocations to the mobile service on a primary basis, in accordance with Resolution </w:t>
      </w:r>
      <w:r>
        <w:rPr>
          <w:b/>
          <w:bCs/>
          <w:lang w:val="en-US"/>
        </w:rPr>
        <w:t xml:space="preserve">238 </w:t>
      </w:r>
      <w:r w:rsidRPr="00656311">
        <w:rPr>
          <w:b/>
          <w:bCs/>
          <w:lang w:val="en-US"/>
        </w:rPr>
        <w:t>(WRC-15)</w:t>
      </w:r>
      <w:r w:rsidRPr="00656311">
        <w:rPr>
          <w:lang w:val="en-US"/>
        </w:rPr>
        <w:t>;</w:t>
      </w:r>
    </w:p>
    <w:p w14:paraId="4F201DD6" w14:textId="77777777" w:rsidR="00893042" w:rsidRPr="00B1566B" w:rsidRDefault="00893042" w:rsidP="00893042">
      <w:pPr>
        <w:rPr>
          <w:rFonts w:eastAsia="SimSun"/>
          <w:i/>
          <w:iCs/>
        </w:rPr>
      </w:pPr>
      <w:r w:rsidRPr="00B1566B">
        <w:t xml:space="preserve">Resolution </w:t>
      </w:r>
      <w:r w:rsidRPr="00B1566B">
        <w:rPr>
          <w:rFonts w:ascii="Times New Roman Bold" w:hAnsi="Times New Roman Bold" w:cs="Times New Roman Bold"/>
          <w:b/>
          <w:bCs/>
        </w:rPr>
        <w:t xml:space="preserve">238 </w:t>
      </w:r>
      <w:r w:rsidRPr="00B1566B">
        <w:rPr>
          <w:b/>
          <w:bCs/>
        </w:rPr>
        <w:t>(WRC-15)</w:t>
      </w:r>
      <w:r w:rsidRPr="00B1566B">
        <w:t xml:space="preserve"> – </w:t>
      </w:r>
      <w:r w:rsidRPr="00B1566B">
        <w:rPr>
          <w:rFonts w:eastAsia="SimSun"/>
          <w:i/>
          <w:iCs/>
        </w:rPr>
        <w:t>Studies on frequency-related matters for International Mobile Telecommunications identification including possible additional allocations to the mobile services on a primary basis in portion(s) of the frequency range between 24.25 and 86 GHz for the future development of International Mobile Telecommunications for 2020 and beyond</w:t>
      </w:r>
    </w:p>
    <w:p w14:paraId="1E258717" w14:textId="77777777" w:rsidR="00893042" w:rsidRPr="00B1566B" w:rsidRDefault="00893042" w:rsidP="00893042">
      <w:pPr>
        <w:pStyle w:val="Headingb"/>
        <w:rPr>
          <w:lang w:val="en-GB"/>
        </w:rPr>
      </w:pPr>
      <w:r w:rsidRPr="00B1566B">
        <w:rPr>
          <w:lang w:val="en-GB"/>
        </w:rPr>
        <w:t>Introduction</w:t>
      </w:r>
    </w:p>
    <w:p w14:paraId="20BC49DC" w14:textId="77777777" w:rsidR="00893042" w:rsidRPr="00B1566B" w:rsidRDefault="00893042" w:rsidP="00893042">
      <w:r w:rsidRPr="00B1566B">
        <w:t xml:space="preserve">WRC-19 agenda item 1.13 considers possible new spectrum allocations suitable for delivery of terrestrial wireless broadband in the 24.25-86 GHz frequency range. This will encompass the following elements, set out in full in Resolution </w:t>
      </w:r>
      <w:r w:rsidRPr="00B1566B">
        <w:rPr>
          <w:b/>
          <w:bCs/>
        </w:rPr>
        <w:t>238 (WRC-15)</w:t>
      </w:r>
      <w:r w:rsidRPr="00B1566B">
        <w:t>:</w:t>
      </w:r>
    </w:p>
    <w:p w14:paraId="726A41DA" w14:textId="77777777" w:rsidR="00893042" w:rsidRPr="00B1566B" w:rsidRDefault="00893042" w:rsidP="00893042">
      <w:r w:rsidRPr="00B1566B">
        <w:rPr>
          <w:szCs w:val="24"/>
        </w:rPr>
        <w:t>–</w:t>
      </w:r>
      <w:r w:rsidRPr="00B1566B">
        <w:rPr>
          <w:szCs w:val="24"/>
        </w:rPr>
        <w:tab/>
      </w:r>
      <w:r w:rsidRPr="00B1566B">
        <w:t>Spectrum needs for the terrestrial component of IMT</w:t>
      </w:r>
    </w:p>
    <w:p w14:paraId="716D4C97" w14:textId="77777777" w:rsidR="00893042" w:rsidRPr="00B1566B" w:rsidRDefault="00893042" w:rsidP="00893042">
      <w:r w:rsidRPr="00B1566B">
        <w:rPr>
          <w:szCs w:val="24"/>
        </w:rPr>
        <w:t>–</w:t>
      </w:r>
      <w:r w:rsidRPr="00B1566B">
        <w:rPr>
          <w:szCs w:val="24"/>
        </w:rPr>
        <w:tab/>
      </w:r>
      <w:r w:rsidRPr="00B1566B">
        <w:t>Sharing and compatibility studies</w:t>
      </w:r>
      <w:r w:rsidRPr="00B1566B">
        <w:rPr>
          <w:vertAlign w:val="superscript"/>
        </w:rPr>
        <w:footnoteReference w:id="1"/>
      </w:r>
      <w:r w:rsidRPr="00B1566B">
        <w:rPr>
          <w:vertAlign w:val="superscript"/>
        </w:rPr>
        <w:t xml:space="preserve"> </w:t>
      </w:r>
      <w:r w:rsidRPr="00B1566B">
        <w:t>for the following frequency bands:</w:t>
      </w:r>
    </w:p>
    <w:p w14:paraId="09203B90" w14:textId="77777777" w:rsidR="00893042" w:rsidRPr="00B1566B" w:rsidRDefault="00893042" w:rsidP="00893042">
      <w:pPr>
        <w:pStyle w:val="enumlev2"/>
      </w:pPr>
      <w:r w:rsidRPr="00B1566B">
        <w:rPr>
          <w:szCs w:val="24"/>
        </w:rPr>
        <w:t>–</w:t>
      </w:r>
      <w:r w:rsidRPr="00B1566B">
        <w:rPr>
          <w:szCs w:val="24"/>
        </w:rPr>
        <w:tab/>
      </w:r>
      <w:r w:rsidRPr="00B1566B">
        <w:t>24.25-27.5 GHz</w:t>
      </w:r>
      <w:r w:rsidRPr="00B1566B">
        <w:rPr>
          <w:vertAlign w:val="superscript"/>
        </w:rPr>
        <w:footnoteReference w:id="2"/>
      </w:r>
      <w:r w:rsidRPr="00B1566B">
        <w:t>, 37-40.5 GHz, 42.5-43.5 GHz, 45.5-47 GHz, 47.2-50.2 GHz, 50.4-52.6 GHz, 66-76 GHz and 81-86 GHz</w:t>
      </w:r>
    </w:p>
    <w:p w14:paraId="3499BCC9" w14:textId="77777777" w:rsidR="00893042" w:rsidRPr="00B1566B" w:rsidRDefault="00893042" w:rsidP="00893042">
      <w:pPr>
        <w:pStyle w:val="enumlev2"/>
      </w:pPr>
      <w:r w:rsidRPr="00B1566B">
        <w:rPr>
          <w:szCs w:val="24"/>
        </w:rPr>
        <w:t>–</w:t>
      </w:r>
      <w:r w:rsidRPr="00B1566B">
        <w:rPr>
          <w:szCs w:val="24"/>
        </w:rPr>
        <w:tab/>
      </w:r>
      <w:r w:rsidRPr="00B1566B">
        <w:t xml:space="preserve">31.8-33.4 GHz, 40.5-42.5 GHz and 47-47.2 GHz </w:t>
      </w:r>
    </w:p>
    <w:p w14:paraId="08EC2AB6" w14:textId="77777777" w:rsidR="00893042" w:rsidRPr="00B1566B" w:rsidRDefault="00893042" w:rsidP="00893042">
      <w:pPr>
        <w:pStyle w:val="Headingb"/>
        <w:rPr>
          <w:lang w:val="en-GB"/>
        </w:rPr>
      </w:pPr>
      <w:r w:rsidRPr="00B1566B">
        <w:rPr>
          <w:lang w:val="en-GB"/>
        </w:rPr>
        <w:t>Summary of European proposals on the frequency bands:</w:t>
      </w:r>
    </w:p>
    <w:p w14:paraId="672F4ABA" w14:textId="77777777" w:rsidR="00241FA2" w:rsidRDefault="00893042" w:rsidP="00893042">
      <w:r w:rsidRPr="00B1566B">
        <w:t>These European proposals support the frequency bands 24.25-27.5 GHz, 40.5-43.5 GHz and 66</w:t>
      </w:r>
      <w:r w:rsidRPr="00B1566B">
        <w:noBreakHyphen/>
        <w:t xml:space="preserve">71 GHz for allocation to the mobile service on a primary basis in the table of frequency allocation of Article </w:t>
      </w:r>
      <w:r w:rsidRPr="00B1566B">
        <w:rPr>
          <w:b/>
        </w:rPr>
        <w:t>5</w:t>
      </w:r>
      <w:r w:rsidRPr="00B1566B">
        <w:t xml:space="preserve"> and identification for IMT, as appropriate.</w:t>
      </w:r>
    </w:p>
    <w:p w14:paraId="1C52ADC5" w14:textId="148AE762" w:rsidR="00893042" w:rsidRPr="00B1566B" w:rsidRDefault="00187BD9" w:rsidP="00893042">
      <w:r w:rsidRPr="00893042">
        <w:br w:type="page"/>
      </w:r>
      <w:r w:rsidR="00893042" w:rsidRPr="00B1566B">
        <w:lastRenderedPageBreak/>
        <w:t>These European proposals do not support the frequency bands 31.8-33.4 GHz, 47.0</w:t>
      </w:r>
      <w:r w:rsidR="00893042">
        <w:t>-</w:t>
      </w:r>
      <w:r w:rsidR="00893042" w:rsidRPr="00B1566B">
        <w:t xml:space="preserve">47.2 GHz, </w:t>
      </w:r>
      <w:r w:rsidR="00893042">
        <w:t>47.2</w:t>
      </w:r>
      <w:r w:rsidR="00080262">
        <w:noBreakHyphen/>
      </w:r>
      <w:r w:rsidR="00893042">
        <w:t xml:space="preserve">50.2 GHz, </w:t>
      </w:r>
      <w:r w:rsidR="00893042" w:rsidRPr="00B1566B">
        <w:t>50.4</w:t>
      </w:r>
      <w:r w:rsidR="00893042">
        <w:t>-</w:t>
      </w:r>
      <w:r w:rsidR="00893042" w:rsidRPr="00B1566B">
        <w:t>52.6 GHz, 71-76 GHz and 81</w:t>
      </w:r>
      <w:r w:rsidR="00893042" w:rsidRPr="00B1566B">
        <w:noBreakHyphen/>
        <w:t xml:space="preserve">86 GHz for allocation to the mobile service on a primary basis in the table of frequency allocation of Article </w:t>
      </w:r>
      <w:r w:rsidR="00893042" w:rsidRPr="00B1566B">
        <w:rPr>
          <w:b/>
        </w:rPr>
        <w:t>5</w:t>
      </w:r>
      <w:r w:rsidR="00893042" w:rsidRPr="00B1566B">
        <w:t xml:space="preserve"> and identification for IMT, as appropriate.</w:t>
      </w:r>
    </w:p>
    <w:p w14:paraId="2AE11D22" w14:textId="77777777" w:rsidR="00893042" w:rsidRPr="00B1566B" w:rsidRDefault="00893042" w:rsidP="00893042">
      <w:r w:rsidRPr="00B1566B">
        <w:t>For the band 37</w:t>
      </w:r>
      <w:r>
        <w:t>-</w:t>
      </w:r>
      <w:r w:rsidRPr="00B1566B">
        <w:t>40.5 GHz, the European proposal in Part 8 provides CEPT’s view on the band including the relevant conditions to ensure protection of incumbent services in the 37-40.5 GHz band and EESS (passive) in the 36-37 GHz band.</w:t>
      </w:r>
    </w:p>
    <w:p w14:paraId="19276E88" w14:textId="77777777" w:rsidR="00893042" w:rsidRPr="00B1566B" w:rsidRDefault="00893042" w:rsidP="00893042">
      <w:r w:rsidRPr="00B1566B">
        <w:t xml:space="preserve">The suppression of Resolution </w:t>
      </w:r>
      <w:r w:rsidRPr="007C51F6">
        <w:rPr>
          <w:b/>
        </w:rPr>
        <w:t>238</w:t>
      </w:r>
      <w:r w:rsidR="00860ABF" w:rsidRPr="007C51F6">
        <w:rPr>
          <w:b/>
        </w:rPr>
        <w:t xml:space="preserve"> </w:t>
      </w:r>
      <w:r w:rsidR="00860ABF" w:rsidRPr="007C51F6">
        <w:rPr>
          <w:b/>
          <w:rPrChange w:id="9" w:author="Bonnici, Adrienne" w:date="2019-10-10T08:58:00Z">
            <w:rPr>
              <w:b/>
              <w:highlight w:val="cyan"/>
            </w:rPr>
          </w:rPrChange>
        </w:rPr>
        <w:t>(WRC-15)</w:t>
      </w:r>
      <w:r w:rsidRPr="00B1566B">
        <w:rPr>
          <w:b/>
        </w:rPr>
        <w:t xml:space="preserve"> </w:t>
      </w:r>
      <w:r w:rsidRPr="00B1566B">
        <w:t>is supported.</w:t>
      </w:r>
    </w:p>
    <w:p w14:paraId="18C80E55" w14:textId="77777777" w:rsidR="00893042" w:rsidRPr="00B1566B" w:rsidRDefault="00893042" w:rsidP="00893042">
      <w:r w:rsidRPr="00B1566B">
        <w:t>The European proposals summarized above are divided into the following addenda:</w:t>
      </w:r>
    </w:p>
    <w:p w14:paraId="4DDA8BD3" w14:textId="77777777" w:rsidR="00893042" w:rsidRPr="00D50273" w:rsidRDefault="00893042" w:rsidP="00893042">
      <w:r w:rsidRPr="00D50273">
        <w:rPr>
          <w:b/>
        </w:rPr>
        <w:t>Addendum 1</w:t>
      </w:r>
      <w:r w:rsidRPr="00D50273">
        <w:t xml:space="preserve"> </w:t>
      </w:r>
      <w:r w:rsidRPr="00D50273">
        <w:tab/>
        <w:t>Part 1 – Band 24.25-27.5 GHz</w:t>
      </w:r>
    </w:p>
    <w:p w14:paraId="5432F94A" w14:textId="77777777" w:rsidR="00893042" w:rsidRPr="00D50273" w:rsidRDefault="00893042" w:rsidP="00893042">
      <w:r w:rsidRPr="00D50273">
        <w:rPr>
          <w:b/>
        </w:rPr>
        <w:t>Addendum 2</w:t>
      </w:r>
      <w:r w:rsidRPr="00D50273">
        <w:t xml:space="preserve"> </w:t>
      </w:r>
      <w:r w:rsidRPr="00D50273">
        <w:tab/>
        <w:t>Part 2 – Band 31.8-33.4 GHz</w:t>
      </w:r>
    </w:p>
    <w:p w14:paraId="42926B57" w14:textId="77777777" w:rsidR="00893042" w:rsidRDefault="00893042" w:rsidP="00893042">
      <w:r w:rsidRPr="00D50273">
        <w:rPr>
          <w:b/>
        </w:rPr>
        <w:t xml:space="preserve">Addendum </w:t>
      </w:r>
      <w:r>
        <w:rPr>
          <w:b/>
        </w:rPr>
        <w:t>3</w:t>
      </w:r>
      <w:r w:rsidRPr="00D50273">
        <w:tab/>
        <w:t xml:space="preserve">Part </w:t>
      </w:r>
      <w:r>
        <w:t>3</w:t>
      </w:r>
      <w:r w:rsidRPr="00D50273">
        <w:t xml:space="preserve"> – Band 37-40.5 GHz</w:t>
      </w:r>
    </w:p>
    <w:p w14:paraId="062CD22F" w14:textId="77777777" w:rsidR="00893042" w:rsidRDefault="00893042" w:rsidP="00893042">
      <w:r w:rsidRPr="00D50273">
        <w:rPr>
          <w:b/>
        </w:rPr>
        <w:t xml:space="preserve">Addendum </w:t>
      </w:r>
      <w:r>
        <w:rPr>
          <w:b/>
        </w:rPr>
        <w:t>4</w:t>
      </w:r>
      <w:r>
        <w:tab/>
        <w:t xml:space="preserve">Part 4 – Band </w:t>
      </w:r>
      <w:r w:rsidRPr="00D50273">
        <w:t>40.5</w:t>
      </w:r>
      <w:r>
        <w:t>-43.5</w:t>
      </w:r>
      <w:r w:rsidRPr="00D50273">
        <w:t xml:space="preserve"> GHz</w:t>
      </w:r>
    </w:p>
    <w:p w14:paraId="008805EF" w14:textId="77777777" w:rsidR="00893042" w:rsidRPr="00D50273" w:rsidRDefault="00893042" w:rsidP="00893042">
      <w:r w:rsidRPr="00D50273">
        <w:rPr>
          <w:b/>
        </w:rPr>
        <w:t xml:space="preserve">Addendum </w:t>
      </w:r>
      <w:r>
        <w:rPr>
          <w:b/>
        </w:rPr>
        <w:t>5</w:t>
      </w:r>
      <w:r w:rsidRPr="00D50273">
        <w:tab/>
        <w:t xml:space="preserve">Part </w:t>
      </w:r>
      <w:r>
        <w:t>5</w:t>
      </w:r>
      <w:r w:rsidRPr="00D50273">
        <w:t xml:space="preserve"> – Band 47.0-47.2 GHz</w:t>
      </w:r>
    </w:p>
    <w:p w14:paraId="7D583F6B" w14:textId="77777777" w:rsidR="00893042" w:rsidRPr="00D50273" w:rsidRDefault="00893042" w:rsidP="00893042">
      <w:r w:rsidRPr="00D50273">
        <w:rPr>
          <w:b/>
        </w:rPr>
        <w:t xml:space="preserve">Addendum </w:t>
      </w:r>
      <w:r>
        <w:rPr>
          <w:b/>
        </w:rPr>
        <w:t>6</w:t>
      </w:r>
      <w:r w:rsidRPr="00D50273">
        <w:tab/>
        <w:t xml:space="preserve">Part </w:t>
      </w:r>
      <w:r>
        <w:t>6</w:t>
      </w:r>
      <w:r w:rsidRPr="00D50273">
        <w:t xml:space="preserve"> – Band 47.2-50.2 GHz</w:t>
      </w:r>
    </w:p>
    <w:p w14:paraId="3D85E269" w14:textId="77777777" w:rsidR="00893042" w:rsidRPr="00B1566B" w:rsidRDefault="00893042" w:rsidP="00893042">
      <w:r w:rsidRPr="00D50273">
        <w:rPr>
          <w:b/>
        </w:rPr>
        <w:t xml:space="preserve">Addendum </w:t>
      </w:r>
      <w:r>
        <w:rPr>
          <w:b/>
        </w:rPr>
        <w:t>7</w:t>
      </w:r>
      <w:r w:rsidRPr="00D50273">
        <w:tab/>
        <w:t xml:space="preserve">Part </w:t>
      </w:r>
      <w:r>
        <w:t>7</w:t>
      </w:r>
      <w:r w:rsidRPr="00D50273">
        <w:t xml:space="preserve"> – Band 50.4-52.6 GHz</w:t>
      </w:r>
    </w:p>
    <w:p w14:paraId="544BA2CC" w14:textId="77777777" w:rsidR="00893042" w:rsidRPr="00D50273" w:rsidRDefault="00893042" w:rsidP="00893042">
      <w:r w:rsidRPr="00D50273">
        <w:rPr>
          <w:b/>
        </w:rPr>
        <w:t xml:space="preserve">Addendum </w:t>
      </w:r>
      <w:r>
        <w:rPr>
          <w:b/>
        </w:rPr>
        <w:t>8</w:t>
      </w:r>
      <w:r w:rsidRPr="00D50273">
        <w:tab/>
        <w:t xml:space="preserve">Part </w:t>
      </w:r>
      <w:r>
        <w:t>8</w:t>
      </w:r>
      <w:r w:rsidRPr="00D50273">
        <w:t xml:space="preserve"> – Band 66-71 GHz</w:t>
      </w:r>
    </w:p>
    <w:p w14:paraId="74B13EFA" w14:textId="77777777" w:rsidR="00893042" w:rsidRPr="00D50273" w:rsidRDefault="00893042" w:rsidP="00893042">
      <w:r w:rsidRPr="00D50273">
        <w:rPr>
          <w:b/>
        </w:rPr>
        <w:t xml:space="preserve">Addendum </w:t>
      </w:r>
      <w:r>
        <w:rPr>
          <w:b/>
        </w:rPr>
        <w:t>9</w:t>
      </w:r>
      <w:r w:rsidRPr="00D50273">
        <w:t xml:space="preserve"> </w:t>
      </w:r>
      <w:r w:rsidRPr="00D50273">
        <w:tab/>
        <w:t xml:space="preserve">Part </w:t>
      </w:r>
      <w:r>
        <w:t>9</w:t>
      </w:r>
      <w:r w:rsidRPr="00D50273">
        <w:t xml:space="preserve"> – Band 71-76 GHz</w:t>
      </w:r>
    </w:p>
    <w:p w14:paraId="4EC9F8FA" w14:textId="77777777" w:rsidR="00893042" w:rsidRPr="00D50273" w:rsidRDefault="00893042" w:rsidP="00893042">
      <w:r w:rsidRPr="00D50273">
        <w:rPr>
          <w:b/>
        </w:rPr>
        <w:t xml:space="preserve">Addendum </w:t>
      </w:r>
      <w:r>
        <w:rPr>
          <w:b/>
        </w:rPr>
        <w:t>10</w:t>
      </w:r>
      <w:r w:rsidRPr="00D50273">
        <w:t xml:space="preserve"> </w:t>
      </w:r>
      <w:r w:rsidRPr="00D50273">
        <w:tab/>
        <w:t xml:space="preserve">Part </w:t>
      </w:r>
      <w:r>
        <w:t>10</w:t>
      </w:r>
      <w:r w:rsidRPr="00D50273">
        <w:t xml:space="preserve"> – Band 81-86 GHz</w:t>
      </w:r>
    </w:p>
    <w:p w14:paraId="356167E9" w14:textId="334B3D04" w:rsidR="00893042" w:rsidRDefault="00893042" w:rsidP="00FC30D2">
      <w:r w:rsidRPr="00D50273">
        <w:rPr>
          <w:b/>
        </w:rPr>
        <w:t xml:space="preserve">Addendum </w:t>
      </w:r>
      <w:r>
        <w:rPr>
          <w:b/>
        </w:rPr>
        <w:t>11</w:t>
      </w:r>
      <w:r w:rsidRPr="00D50273">
        <w:tab/>
        <w:t xml:space="preserve">Part </w:t>
      </w:r>
      <w:r>
        <w:t>11</w:t>
      </w:r>
      <w:r w:rsidRPr="00D50273">
        <w:t xml:space="preserve"> – Resolution </w:t>
      </w:r>
      <w:r w:rsidRPr="00D50273">
        <w:rPr>
          <w:b/>
        </w:rPr>
        <w:t>238 (WRC-15)</w:t>
      </w:r>
    </w:p>
    <w:p w14:paraId="74DC2E5B" w14:textId="77777777" w:rsidR="00893042" w:rsidRDefault="00893042">
      <w:pPr>
        <w:jc w:val="center"/>
      </w:pPr>
      <w:r>
        <w:t>______________</w:t>
      </w:r>
    </w:p>
    <w:p w14:paraId="3DEB5BA9" w14:textId="77777777" w:rsidR="00187BD9" w:rsidRPr="00893042" w:rsidRDefault="00187BD9" w:rsidP="00893042">
      <w:pPr>
        <w:tabs>
          <w:tab w:val="clear" w:pos="1134"/>
          <w:tab w:val="clear" w:pos="1871"/>
          <w:tab w:val="clear" w:pos="2268"/>
        </w:tabs>
        <w:overflowPunct/>
        <w:autoSpaceDE/>
        <w:autoSpaceDN/>
        <w:adjustRightInd/>
        <w:spacing w:before="0"/>
        <w:textAlignment w:val="auto"/>
      </w:pPr>
    </w:p>
    <w:sectPr w:rsidR="00187BD9" w:rsidRPr="00893042"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8A98" w14:textId="77777777" w:rsidR="007D4A47" w:rsidRDefault="007D4A47">
      <w:r>
        <w:separator/>
      </w:r>
    </w:p>
  </w:endnote>
  <w:endnote w:type="continuationSeparator" w:id="0">
    <w:p w14:paraId="6E002766" w14:textId="77777777" w:rsidR="007D4A47" w:rsidRDefault="007D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535D" w14:textId="77777777" w:rsidR="00E45D05" w:rsidRDefault="00E45D05">
    <w:pPr>
      <w:framePr w:wrap="around" w:vAnchor="text" w:hAnchor="margin" w:xAlign="right" w:y="1"/>
    </w:pPr>
    <w:r>
      <w:fldChar w:fldCharType="begin"/>
    </w:r>
    <w:r>
      <w:instrText xml:space="preserve">PAGE  </w:instrText>
    </w:r>
    <w:r>
      <w:fldChar w:fldCharType="end"/>
    </w:r>
  </w:p>
  <w:p w14:paraId="4A2FE576" w14:textId="2CD5604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B306E">
      <w:rPr>
        <w:noProof/>
        <w:lang w:val="en-US"/>
      </w:rPr>
      <w:t>P:\ENG\ITU-R\CONF-R\CMR19\000\016ADD13E.docx</w:t>
    </w:r>
    <w:r>
      <w:fldChar w:fldCharType="end"/>
    </w:r>
    <w:r w:rsidRPr="0041348E">
      <w:rPr>
        <w:lang w:val="en-US"/>
      </w:rPr>
      <w:tab/>
    </w:r>
    <w:r>
      <w:fldChar w:fldCharType="begin"/>
    </w:r>
    <w:r>
      <w:instrText xml:space="preserve"> SAVEDATE \@ DD.MM.YY </w:instrText>
    </w:r>
    <w:r>
      <w:fldChar w:fldCharType="separate"/>
    </w:r>
    <w:r w:rsidR="00DB306E">
      <w:rPr>
        <w:noProof/>
      </w:rPr>
      <w:t>10.10.19</w:t>
    </w:r>
    <w:r>
      <w:fldChar w:fldCharType="end"/>
    </w:r>
    <w:r w:rsidRPr="0041348E">
      <w:rPr>
        <w:lang w:val="en-US"/>
      </w:rPr>
      <w:tab/>
    </w:r>
    <w:r>
      <w:fldChar w:fldCharType="begin"/>
    </w:r>
    <w:r>
      <w:instrText xml:space="preserve"> PRINTDATE \@ DD.MM.YY </w:instrText>
    </w:r>
    <w:r>
      <w:fldChar w:fldCharType="separate"/>
    </w:r>
    <w:r w:rsidR="00DB306E">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F8CA" w14:textId="4A7303B9" w:rsidR="00E45D05" w:rsidRDefault="00E45D05" w:rsidP="009B1EA1">
    <w:pPr>
      <w:pStyle w:val="Footer"/>
    </w:pPr>
    <w:r>
      <w:fldChar w:fldCharType="begin"/>
    </w:r>
    <w:r w:rsidRPr="0041348E">
      <w:rPr>
        <w:lang w:val="en-US"/>
      </w:rPr>
      <w:instrText xml:space="preserve"> FILENAME \p  \* MERGEFORMAT </w:instrText>
    </w:r>
    <w:r>
      <w:fldChar w:fldCharType="separate"/>
    </w:r>
    <w:r w:rsidR="00DB306E">
      <w:rPr>
        <w:lang w:val="en-US"/>
      </w:rPr>
      <w:t>P:\ENG\ITU-R\CONF-R\CMR19\000\016ADD13E.docx</w:t>
    </w:r>
    <w:r>
      <w:fldChar w:fldCharType="end"/>
    </w:r>
    <w:r w:rsidR="00080262">
      <w:t xml:space="preserve"> (462009)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C76C" w14:textId="18114C52"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DB306E">
      <w:rPr>
        <w:lang w:val="en-US"/>
      </w:rPr>
      <w:t>P:\ENG\ITU-R\CONF-R\CMR19\000\016ADD13E.docx</w:t>
    </w:r>
    <w:r>
      <w:fldChar w:fldCharType="end"/>
    </w:r>
    <w:r w:rsidR="00080262">
      <w:t xml:space="preserve"> (462009)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BC249" w14:textId="77777777" w:rsidR="007D4A47" w:rsidRDefault="007D4A47">
      <w:r>
        <w:rPr>
          <w:b/>
        </w:rPr>
        <w:t>_______________</w:t>
      </w:r>
    </w:p>
  </w:footnote>
  <w:footnote w:type="continuationSeparator" w:id="0">
    <w:p w14:paraId="47BE0068" w14:textId="77777777" w:rsidR="007D4A47" w:rsidRDefault="007D4A47">
      <w:r>
        <w:continuationSeparator/>
      </w:r>
    </w:p>
  </w:footnote>
  <w:footnote w:id="1">
    <w:p w14:paraId="7E4CF530" w14:textId="03405556" w:rsidR="00893042" w:rsidRPr="001B7828" w:rsidRDefault="00893042" w:rsidP="00893042">
      <w:pPr>
        <w:pStyle w:val="FootnoteText"/>
        <w:rPr>
          <w:lang w:val="en-US"/>
        </w:rPr>
      </w:pPr>
      <w:r w:rsidRPr="001B7828">
        <w:rPr>
          <w:rStyle w:val="FootnoteReference"/>
        </w:rPr>
        <w:footnoteRef/>
      </w:r>
      <w:r w:rsidRPr="001B7828">
        <w:rPr>
          <w:rStyle w:val="FootnoteReference"/>
          <w:sz w:val="16"/>
          <w:lang w:val="en-US"/>
        </w:rPr>
        <w:t xml:space="preserve"> </w:t>
      </w:r>
      <w:r w:rsidRPr="001B7828">
        <w:rPr>
          <w:lang w:val="en-US"/>
        </w:rPr>
        <w:tab/>
        <w:t>Including studies with respect to services in adjacent bands, as appropriate.</w:t>
      </w:r>
    </w:p>
  </w:footnote>
  <w:footnote w:id="2">
    <w:p w14:paraId="6967308A" w14:textId="77777777" w:rsidR="00893042" w:rsidRPr="0056156F" w:rsidRDefault="00893042" w:rsidP="00893042">
      <w:pPr>
        <w:pStyle w:val="FootnoteText"/>
      </w:pPr>
      <w:r w:rsidRPr="001B7828">
        <w:rPr>
          <w:rStyle w:val="FootnoteReference"/>
        </w:rPr>
        <w:footnoteRef/>
      </w:r>
      <w:r w:rsidRPr="001B7828">
        <w:rPr>
          <w:rStyle w:val="FootnoteReference"/>
          <w:lang w:val="en-US"/>
        </w:rPr>
        <w:t xml:space="preserve"> </w:t>
      </w:r>
      <w:r w:rsidRPr="001B7828">
        <w:rPr>
          <w:lang w:val="en-US"/>
        </w:rPr>
        <w:tab/>
        <w:t>When conducting studies in the band 24.5-27.5 GHz, to take into account the need to ensure the protection of existing earth stations and the deployment of future receiving earth stations under the EESS (space-to-Earth) and SRS (space-to-Earth) allocation in t</w:t>
      </w:r>
      <w:r>
        <w:rPr>
          <w:lang w:val="en-US"/>
        </w:rPr>
        <w:t>he frequency band 25.5-27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E624" w14:textId="77777777" w:rsidR="00E45D05" w:rsidRDefault="00A066F1" w:rsidP="00187BD9">
    <w:pPr>
      <w:pStyle w:val="Header"/>
    </w:pPr>
    <w:r>
      <w:fldChar w:fldCharType="begin"/>
    </w:r>
    <w:r>
      <w:instrText xml:space="preserve"> PAGE  \* MERGEFORMAT </w:instrText>
    </w:r>
    <w:r>
      <w:fldChar w:fldCharType="separate"/>
    </w:r>
    <w:r w:rsidR="007C51F6">
      <w:rPr>
        <w:noProof/>
      </w:rPr>
      <w:t>2</w:t>
    </w:r>
    <w:r>
      <w:fldChar w:fldCharType="end"/>
    </w:r>
  </w:p>
  <w:p w14:paraId="0271B911" w14:textId="77777777" w:rsidR="00A066F1" w:rsidRPr="00A066F1" w:rsidRDefault="00187BD9" w:rsidP="00241FA2">
    <w:pPr>
      <w:pStyle w:val="Header"/>
    </w:pPr>
    <w:r>
      <w:t>CMR1</w:t>
    </w:r>
    <w:r w:rsidR="00202756">
      <w:t>9</w:t>
    </w:r>
    <w:r w:rsidR="00A066F1">
      <w:t>/</w:t>
    </w:r>
    <w:bookmarkStart w:id="10" w:name="OLE_LINK1"/>
    <w:bookmarkStart w:id="11" w:name="OLE_LINK2"/>
    <w:bookmarkStart w:id="12" w:name="OLE_LINK3"/>
    <w:r w:rsidR="00EB55C6">
      <w:t>16(Add.13)</w:t>
    </w:r>
    <w:bookmarkEnd w:id="10"/>
    <w:bookmarkEnd w:id="11"/>
    <w:bookmarkEnd w:id="12"/>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0262"/>
    <w:rsid w:val="00086491"/>
    <w:rsid w:val="00091346"/>
    <w:rsid w:val="0009706C"/>
    <w:rsid w:val="000D154B"/>
    <w:rsid w:val="000D2DAF"/>
    <w:rsid w:val="000E463E"/>
    <w:rsid w:val="000F73FF"/>
    <w:rsid w:val="00114CF7"/>
    <w:rsid w:val="00116A45"/>
    <w:rsid w:val="00116C7A"/>
    <w:rsid w:val="00123B68"/>
    <w:rsid w:val="00126F2E"/>
    <w:rsid w:val="00146F6F"/>
    <w:rsid w:val="00187BD9"/>
    <w:rsid w:val="00190B55"/>
    <w:rsid w:val="001C3B5F"/>
    <w:rsid w:val="001D058F"/>
    <w:rsid w:val="001F0D6D"/>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C51F6"/>
    <w:rsid w:val="007D4A47"/>
    <w:rsid w:val="007D5320"/>
    <w:rsid w:val="00800972"/>
    <w:rsid w:val="00804475"/>
    <w:rsid w:val="00811633"/>
    <w:rsid w:val="00814037"/>
    <w:rsid w:val="00841216"/>
    <w:rsid w:val="00842AF0"/>
    <w:rsid w:val="00860ABF"/>
    <w:rsid w:val="0086171E"/>
    <w:rsid w:val="00872FC8"/>
    <w:rsid w:val="008845D0"/>
    <w:rsid w:val="00884D60"/>
    <w:rsid w:val="00893042"/>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56A3D"/>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B306E"/>
    <w:rsid w:val="00DC16DD"/>
    <w:rsid w:val="00DD44AF"/>
    <w:rsid w:val="00DD6CD8"/>
    <w:rsid w:val="00DE120C"/>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C30D2"/>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DAFD0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iPriority w:val="99"/>
    <w:qForma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eadingbChar">
    <w:name w:val="Heading_b Char"/>
    <w:link w:val="Headingb"/>
    <w:locked/>
    <w:rsid w:val="00893042"/>
    <w:rPr>
      <w:rFonts w:ascii="Times New Roman Bold" w:hAnsi="Times New Roman Bold" w:cs="Times New Roman Bold"/>
      <w:b/>
      <w:sz w:val="24"/>
      <w:lang w:val="fr-CH" w:eastAsia="en-US"/>
    </w:rPr>
  </w:style>
  <w:style w:type="paragraph" w:styleId="Revision">
    <w:name w:val="Revision"/>
    <w:hidden/>
    <w:uiPriority w:val="99"/>
    <w:semiHidden/>
    <w:rsid w:val="007C51F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903BEF1-9C18-4146-B063-14581A249ED2}">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996b2e75-67fd-4955-a3b0-5ab9934cb50b"/>
    <ds:schemaRef ds:uri="32a1a8c5-2265-4ebc-b7a0-2071e2c5c9bb"/>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48B607D-624D-40C1-B09A-EE14EF0B275A}">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51EA79-4D8E-42E2-8EED-80CC97F1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428</Words>
  <Characters>2386</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R16-WRC19-C-0016!A13!MSW-E</vt:lpstr>
    </vt:vector>
  </TitlesOfParts>
  <Manager>General Secretariat - Pool</Manager>
  <Company>International Telecommunication Union (ITU)</Company>
  <LinksUpToDate>false</LinksUpToDate>
  <CharactersWithSpaces>2801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R16-WRC19-C-0016!A13!MSW-E</dc:title>
  <dc:subject>World Radiocommunication Conference - 2019</dc:subject>
  <dc:creator>Documents Proposals Manager (DPM)</dc:creator>
  <cp:keywords>DPM_v2019.10.3.1_prod</cp:keywords>
  <dc:description>Uploaded on 2015.07.06</dc:description>
  <cp:lastModifiedBy>English</cp:lastModifiedBy>
  <cp:revision>6</cp:revision>
  <cp:lastPrinted>2019-10-16T15:38:00Z</cp:lastPrinted>
  <dcterms:created xsi:type="dcterms:W3CDTF">2019-10-10T12:31:00Z</dcterms:created>
  <dcterms:modified xsi:type="dcterms:W3CDTF">2019-10-16T15:38:00Z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