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31209806" w14:textId="77777777" w:rsidTr="00F55E63">
        <w:trPr>
          <w:cantSplit/>
          <w:trHeight w:val="20"/>
        </w:trPr>
        <w:tc>
          <w:tcPr>
            <w:tcW w:w="6619" w:type="dxa"/>
          </w:tcPr>
          <w:p w14:paraId="113F1E69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D7E4B6E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BC897AA" wp14:editId="696F3CE8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ED8C454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4A74E895" w14:textId="77777777" w:rsidR="00280E04" w:rsidRPr="00960962" w:rsidRDefault="00280E04" w:rsidP="00D11FD1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020B8422" w14:textId="77777777" w:rsidR="00280E04" w:rsidRPr="00A9645C" w:rsidRDefault="00280E04" w:rsidP="00D11FD1">
            <w:pPr>
              <w:spacing w:line="240" w:lineRule="exact"/>
              <w:rPr>
                <w:lang w:bidi="ar-EG"/>
              </w:rPr>
            </w:pPr>
          </w:p>
        </w:tc>
      </w:tr>
      <w:tr w:rsidR="00280E04" w14:paraId="4B57DF34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CF071EF" w14:textId="77777777" w:rsidR="00280E04" w:rsidRPr="00BD6EF3" w:rsidRDefault="00280E04" w:rsidP="00D11FD1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F4F96C6" w14:textId="77777777" w:rsidR="00280E04" w:rsidRPr="00BD6EF3" w:rsidRDefault="00280E04" w:rsidP="00D11FD1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7B10BA" w:rsidRPr="00F545E4" w14:paraId="1FBD5380" w14:textId="77777777" w:rsidTr="00F55E63">
        <w:trPr>
          <w:cantSplit/>
        </w:trPr>
        <w:tc>
          <w:tcPr>
            <w:tcW w:w="6619" w:type="dxa"/>
          </w:tcPr>
          <w:p w14:paraId="051AAD5A" w14:textId="77777777" w:rsidR="007B10BA" w:rsidRPr="00F545E4" w:rsidRDefault="007B10BA" w:rsidP="00D11FD1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 w:hint="cs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B7918E7" w14:textId="2203A005" w:rsidR="007B10BA" w:rsidRPr="00F545E4" w:rsidRDefault="00D11FD1" w:rsidP="00D11FD1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>الإضافة</w:t>
            </w:r>
            <w:r>
              <w:rPr>
                <w:rFonts w:ascii="Traditional Arabic" w:hAnsi="Traditional Arabic" w:hint="cs"/>
                <w:sz w:val="30"/>
                <w:rtl/>
                <w:lang w:bidi="ar-SA"/>
              </w:rPr>
              <w:t xml:space="preserve"> </w:t>
            </w:r>
            <w:r w:rsidR="007B10BA">
              <w:rPr>
                <w:rFonts w:ascii="Verdana" w:hAnsi="Verdana"/>
              </w:rPr>
              <w:t>11</w:t>
            </w:r>
            <w:r w:rsidR="007B10BA" w:rsidRPr="003B4967"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16-</w:t>
            </w:r>
            <w:r w:rsidRPr="003B4967">
              <w:rPr>
                <w:rFonts w:ascii="Verdana" w:eastAsia="SimSun" w:hAnsi="Verdana"/>
              </w:rPr>
              <w:t>A</w:t>
            </w:r>
          </w:p>
        </w:tc>
      </w:tr>
      <w:tr w:rsidR="007B10BA" w:rsidRPr="00F545E4" w14:paraId="5C462B1B" w14:textId="77777777" w:rsidTr="00F55E63">
        <w:trPr>
          <w:cantSplit/>
        </w:trPr>
        <w:tc>
          <w:tcPr>
            <w:tcW w:w="6619" w:type="dxa"/>
          </w:tcPr>
          <w:p w14:paraId="3D391976" w14:textId="77777777" w:rsidR="007B10BA" w:rsidRPr="00F545E4" w:rsidRDefault="007B10BA" w:rsidP="00D11FD1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292940A" w14:textId="25D5930B" w:rsidR="007B10BA" w:rsidRPr="00F545E4" w:rsidRDefault="00481B3F" w:rsidP="00D11FD1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ascii="Verdana" w:eastAsia="SimSun" w:hAnsi="Verdana"/>
                <w:lang w:val="fr-FR"/>
              </w:rPr>
              <w:t>7</w:t>
            </w:r>
            <w:r w:rsidR="007B10BA"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="007B10BA" w:rsidRPr="003B4967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398E5BDE" w14:textId="77777777" w:rsidTr="00F55E63">
        <w:trPr>
          <w:cantSplit/>
        </w:trPr>
        <w:tc>
          <w:tcPr>
            <w:tcW w:w="6619" w:type="dxa"/>
          </w:tcPr>
          <w:p w14:paraId="0AF0A518" w14:textId="77777777" w:rsidR="00A809E8" w:rsidRPr="00F545E4" w:rsidRDefault="00A809E8" w:rsidP="00D11FD1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CFA4DFA" w14:textId="77777777" w:rsidR="00A809E8" w:rsidRPr="00F545E4" w:rsidRDefault="00F55E63" w:rsidP="00D11FD1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01DBAB00" w14:textId="77777777" w:rsidTr="00F55E63">
        <w:trPr>
          <w:cantSplit/>
        </w:trPr>
        <w:tc>
          <w:tcPr>
            <w:tcW w:w="9672" w:type="dxa"/>
            <w:gridSpan w:val="2"/>
          </w:tcPr>
          <w:p w14:paraId="25672AA4" w14:textId="77777777" w:rsidR="00764079" w:rsidRDefault="00764079" w:rsidP="00D11FD1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096DDF58" w14:textId="77777777" w:rsidTr="00F55E63">
        <w:trPr>
          <w:cantSplit/>
        </w:trPr>
        <w:tc>
          <w:tcPr>
            <w:tcW w:w="9672" w:type="dxa"/>
            <w:gridSpan w:val="2"/>
          </w:tcPr>
          <w:p w14:paraId="633BD52C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2F836795" w14:textId="77777777" w:rsidTr="00F55E63">
        <w:trPr>
          <w:cantSplit/>
        </w:trPr>
        <w:tc>
          <w:tcPr>
            <w:tcW w:w="9672" w:type="dxa"/>
            <w:gridSpan w:val="2"/>
          </w:tcPr>
          <w:p w14:paraId="571DDBBB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5620FED4" w14:textId="77777777" w:rsidTr="00F55E63">
        <w:trPr>
          <w:cantSplit/>
        </w:trPr>
        <w:tc>
          <w:tcPr>
            <w:tcW w:w="9672" w:type="dxa"/>
            <w:gridSpan w:val="2"/>
          </w:tcPr>
          <w:p w14:paraId="5F298004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1BA2A4ED" w14:textId="77777777" w:rsidTr="00F55E63">
        <w:trPr>
          <w:cantSplit/>
        </w:trPr>
        <w:tc>
          <w:tcPr>
            <w:tcW w:w="9672" w:type="dxa"/>
            <w:gridSpan w:val="2"/>
          </w:tcPr>
          <w:p w14:paraId="4ADD0200" w14:textId="3DAB687B" w:rsidR="00764079" w:rsidRPr="0012545F" w:rsidRDefault="00DB4CC9" w:rsidP="00D11FD1">
            <w:pPr>
              <w:pStyle w:val="Agendaitem"/>
              <w:spacing w:after="0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D55250">
              <w:rPr>
                <w:rFonts w:hint="cs"/>
                <w:rtl/>
                <w:lang w:val="en-US"/>
              </w:rPr>
              <w:t xml:space="preserve"> </w:t>
            </w:r>
            <w:r w:rsidR="00D55250">
              <w:rPr>
                <w:lang w:val="en-US"/>
              </w:rPr>
              <w:t>11.1</w:t>
            </w:r>
          </w:p>
        </w:tc>
      </w:tr>
    </w:tbl>
    <w:p w14:paraId="25497779" w14:textId="25F57081" w:rsidR="00240FDE" w:rsidRDefault="00240FDE" w:rsidP="00D11FD1">
      <w:pPr>
        <w:rPr>
          <w:rFonts w:eastAsia="SimSun"/>
          <w:rtl/>
          <w:lang w:eastAsia="zh-CN" w:bidi="ar-EG"/>
        </w:rPr>
      </w:pPr>
      <w:r>
        <w:rPr>
          <w:rFonts w:eastAsia="SimSun"/>
          <w:lang w:eastAsia="zh-CN" w:bidi="ar-SY"/>
        </w:rPr>
        <w:t>1</w:t>
      </w:r>
      <w:r>
        <w:rPr>
          <w:rFonts w:eastAsia="SimSun"/>
          <w:lang w:eastAsia="zh-CN" w:bidi="ar-SY"/>
        </w:rPr>
        <w:tab/>
      </w:r>
      <w:r w:rsidR="00EA4CD4" w:rsidRPr="00EA4CD4">
        <w:rPr>
          <w:rFonts w:eastAsia="SimSun"/>
          <w:rtl/>
          <w:lang w:eastAsia="zh-CN"/>
        </w:rPr>
        <w:t xml:space="preserve">النظر في البنود التالية واتخاذ التدابير اللازمة بشأنها، وذلك على أساس المقترحات المقدمة من الإدارات، </w:t>
      </w:r>
      <w:r w:rsidR="00EA4CD4">
        <w:rPr>
          <w:rFonts w:eastAsia="SimSun" w:hint="cs"/>
          <w:rtl/>
          <w:lang w:eastAsia="zh-CN"/>
        </w:rPr>
        <w:t>مع مراعاة</w:t>
      </w:r>
      <w:r w:rsidR="00EA4CD4" w:rsidRPr="00EA4CD4">
        <w:rPr>
          <w:rFonts w:eastAsia="SimSun"/>
          <w:rtl/>
          <w:lang w:eastAsia="zh-CN"/>
        </w:rPr>
        <w:t xml:space="preserve"> نتائج المؤتم</w:t>
      </w:r>
      <w:r w:rsidR="00EA4CD4">
        <w:rPr>
          <w:rFonts w:eastAsia="SimSun" w:hint="cs"/>
          <w:rtl/>
          <w:lang w:eastAsia="zh-CN"/>
        </w:rPr>
        <w:t>ر العالمي للاتصالات الراديوية لعام</w:t>
      </w:r>
      <w:r w:rsidR="00D11FD1">
        <w:rPr>
          <w:rFonts w:eastAsia="SimSun" w:hint="cs"/>
          <w:rtl/>
          <w:lang w:eastAsia="zh-CN"/>
        </w:rPr>
        <w:t xml:space="preserve"> </w:t>
      </w:r>
      <w:r w:rsidR="00EA4CD4">
        <w:rPr>
          <w:rFonts w:eastAsia="SimSun"/>
          <w:lang w:val="fr-FR" w:eastAsia="zh-CN"/>
        </w:rPr>
        <w:t>2015</w:t>
      </w:r>
      <w:r w:rsidR="00EA4CD4">
        <w:rPr>
          <w:rFonts w:eastAsia="SimSun" w:hint="cs"/>
          <w:rtl/>
          <w:lang w:eastAsia="zh-CN" w:bidi="ar-SY"/>
        </w:rPr>
        <w:t xml:space="preserve"> </w:t>
      </w:r>
      <w:r w:rsidR="00EA4CD4">
        <w:rPr>
          <w:rFonts w:eastAsia="SimSun"/>
          <w:lang w:eastAsia="zh-CN" w:bidi="ar-SY"/>
        </w:rPr>
        <w:t>(</w:t>
      </w:r>
      <w:r w:rsidR="00EA4CD4" w:rsidRPr="00EA4CD4">
        <w:rPr>
          <w:rFonts w:eastAsia="SimSun"/>
          <w:lang w:eastAsia="zh-CN" w:bidi="ar-SY"/>
        </w:rPr>
        <w:t>WRC-15</w:t>
      </w:r>
      <w:r w:rsidR="00EA4CD4">
        <w:rPr>
          <w:rFonts w:eastAsia="SimSun"/>
          <w:lang w:eastAsia="zh-CN" w:bidi="ar-SY"/>
        </w:rPr>
        <w:t>)</w:t>
      </w:r>
      <w:r w:rsidR="00EA4CD4">
        <w:rPr>
          <w:rFonts w:eastAsia="SimSun" w:hint="cs"/>
          <w:rtl/>
          <w:lang w:eastAsia="zh-CN"/>
        </w:rPr>
        <w:t xml:space="preserve"> </w:t>
      </w:r>
      <w:r w:rsidR="00EA4CD4" w:rsidRPr="00EA4CD4">
        <w:rPr>
          <w:rFonts w:eastAsia="SimSun"/>
          <w:rtl/>
          <w:lang w:eastAsia="zh-CN"/>
        </w:rPr>
        <w:t xml:space="preserve">وتقرير الاجتماع التحضيري للمؤتمر، والمراعاة الواجبة لمتطلبات الخدمات </w:t>
      </w:r>
      <w:r w:rsidR="00EA4CD4">
        <w:rPr>
          <w:rFonts w:eastAsia="SimSun" w:hint="cs"/>
          <w:rtl/>
          <w:lang w:eastAsia="zh-CN"/>
        </w:rPr>
        <w:t>القائمة</w:t>
      </w:r>
      <w:r w:rsidR="00EA4CD4" w:rsidRPr="00EA4CD4">
        <w:rPr>
          <w:rFonts w:eastAsia="SimSun"/>
          <w:rtl/>
          <w:lang w:eastAsia="zh-CN"/>
        </w:rPr>
        <w:t xml:space="preserve"> والمستقبلية في نطاقات التردد قيد النظر</w:t>
      </w:r>
      <w:r w:rsidR="00EA4CD4">
        <w:rPr>
          <w:rFonts w:eastAsia="SimSun"/>
          <w:lang w:eastAsia="zh-CN"/>
        </w:rPr>
        <w:t>:</w:t>
      </w:r>
    </w:p>
    <w:p w14:paraId="499DD34A" w14:textId="0A1CDF78" w:rsidR="001D597A" w:rsidRPr="00B63AB1" w:rsidRDefault="00240FDE" w:rsidP="00D11FD1">
      <w:pPr>
        <w:rPr>
          <w:rFonts w:eastAsia="SimSun"/>
          <w:spacing w:val="-2"/>
          <w:rtl/>
          <w:lang w:eastAsia="zh-CN" w:bidi="ar-SY"/>
        </w:rPr>
      </w:pPr>
      <w:r w:rsidRPr="00723691">
        <w:rPr>
          <w:rFonts w:eastAsia="SimSun"/>
          <w:lang w:eastAsia="zh-CN" w:bidi="ar-SY"/>
        </w:rPr>
        <w:t>11.1</w:t>
      </w:r>
      <w:r w:rsidRPr="00723691">
        <w:rPr>
          <w:rFonts w:eastAsia="SimSun"/>
          <w:lang w:eastAsia="zh-CN" w:bidi="ar-SY"/>
        </w:rPr>
        <w:tab/>
      </w:r>
      <w:r w:rsidRPr="00B63AB1">
        <w:rPr>
          <w:rFonts w:eastAsia="SimSun" w:hint="cs"/>
          <w:spacing w:val="-2"/>
          <w:rtl/>
          <w:lang w:eastAsia="zh-CN"/>
        </w:rPr>
        <w:t>اتخاذ الإجراءات اللازمة، حسب الاقتضاء، لتيسير نطاقات ترددات منسقة عالمياً أو إقليمياً لدعم أنظمة الاتصالات الراديوية</w:t>
      </w:r>
      <w:r w:rsidR="00D11FD1" w:rsidRPr="00B63AB1">
        <w:rPr>
          <w:rFonts w:eastAsia="SimSun" w:hint="cs"/>
          <w:spacing w:val="-2"/>
          <w:rtl/>
          <w:lang w:eastAsia="zh-CN" w:bidi="ar-SY"/>
        </w:rPr>
        <w:t xml:space="preserve"> </w:t>
      </w:r>
      <w:r w:rsidRPr="00B63AB1">
        <w:rPr>
          <w:rFonts w:eastAsia="SimSun" w:hint="cs"/>
          <w:spacing w:val="-2"/>
          <w:rtl/>
          <w:lang w:eastAsia="zh-CN"/>
        </w:rPr>
        <w:t xml:space="preserve">الخاصة بالسكك الحديدية بين القطار </w:t>
      </w:r>
      <w:r w:rsidR="00D11FD1" w:rsidRPr="00B63AB1">
        <w:rPr>
          <w:rFonts w:eastAsia="SimSun" w:hint="cs"/>
          <w:spacing w:val="-2"/>
          <w:rtl/>
          <w:lang w:eastAsia="zh-CN"/>
        </w:rPr>
        <w:t>وجانبي</w:t>
      </w:r>
      <w:r w:rsidRPr="00B63AB1">
        <w:rPr>
          <w:rFonts w:eastAsia="SimSun" w:hint="cs"/>
          <w:spacing w:val="-2"/>
          <w:rtl/>
          <w:lang w:eastAsia="zh-CN"/>
        </w:rPr>
        <w:t xml:space="preserve"> مساره ضمن التوزيعات الحالية للخدمة المتنقلة، وفقاً للقرار</w:t>
      </w:r>
      <w:r w:rsidRPr="00B63AB1">
        <w:rPr>
          <w:rFonts w:eastAsia="SimSun" w:hint="eastAsia"/>
          <w:spacing w:val="-2"/>
          <w:rtl/>
          <w:lang w:eastAsia="zh-CN" w:bidi="ar-SY"/>
        </w:rPr>
        <w:t> </w:t>
      </w:r>
      <w:r w:rsidRPr="00B63AB1">
        <w:rPr>
          <w:rFonts w:eastAsia="SimSun"/>
          <w:b/>
          <w:bCs/>
          <w:spacing w:val="-2"/>
          <w:lang w:eastAsia="zh-CN" w:bidi="ar-SY"/>
        </w:rPr>
        <w:t>236 (WRC</w:t>
      </w:r>
      <w:r w:rsidRPr="00B63AB1">
        <w:rPr>
          <w:rFonts w:eastAsia="SimSun"/>
          <w:b/>
          <w:bCs/>
          <w:spacing w:val="-2"/>
          <w:lang w:eastAsia="zh-CN" w:bidi="ar-SY"/>
        </w:rPr>
        <w:noBreakHyphen/>
      </w:r>
      <w:proofErr w:type="gramStart"/>
      <w:r w:rsidRPr="00B63AB1">
        <w:rPr>
          <w:rFonts w:eastAsia="SimSun"/>
          <w:b/>
          <w:bCs/>
          <w:spacing w:val="-2"/>
          <w:lang w:eastAsia="zh-CN" w:bidi="ar-SY"/>
        </w:rPr>
        <w:t>15)</w:t>
      </w:r>
      <w:r w:rsidRPr="00B63AB1">
        <w:rPr>
          <w:rFonts w:eastAsia="SimSun" w:hint="cs"/>
          <w:spacing w:val="-2"/>
          <w:rtl/>
          <w:lang w:eastAsia="zh-CN"/>
        </w:rPr>
        <w:t>؛</w:t>
      </w:r>
      <w:proofErr w:type="gramEnd"/>
    </w:p>
    <w:p w14:paraId="4F270921" w14:textId="77777777" w:rsidR="00D55250" w:rsidRDefault="00D55250" w:rsidP="00D55250">
      <w:pPr>
        <w:pStyle w:val="Headingb"/>
        <w:jc w:val="left"/>
        <w:rPr>
          <w:rtl/>
        </w:rPr>
      </w:pPr>
      <w:r>
        <w:rPr>
          <w:rFonts w:hint="cs"/>
          <w:rtl/>
        </w:rPr>
        <w:t>مقدمة</w:t>
      </w:r>
    </w:p>
    <w:p w14:paraId="05CD13A1" w14:textId="3119BEBD" w:rsidR="00EA4CD4" w:rsidRPr="00EA4CD4" w:rsidRDefault="00EA4CD4" w:rsidP="0087159D">
      <w:pPr>
        <w:rPr>
          <w:lang w:val="en-GB"/>
        </w:rPr>
      </w:pPr>
      <w:r w:rsidRPr="00EA4CD4">
        <w:rPr>
          <w:rFonts w:hint="cs"/>
          <w:rtl/>
          <w:lang w:bidi="ar"/>
        </w:rPr>
        <w:t xml:space="preserve">استعرضت الدراسات </w:t>
      </w:r>
      <w:r>
        <w:rPr>
          <w:rFonts w:hint="cs"/>
          <w:rtl/>
        </w:rPr>
        <w:t xml:space="preserve">التي أُجريت </w:t>
      </w:r>
      <w:r w:rsidRPr="00EA4CD4">
        <w:rPr>
          <w:rFonts w:hint="cs"/>
          <w:rtl/>
          <w:lang w:bidi="ar"/>
        </w:rPr>
        <w:t xml:space="preserve">في </w:t>
      </w:r>
      <w:r w:rsidRPr="00EA4CD4">
        <w:rPr>
          <w:rtl/>
          <w:lang w:val="en-GB"/>
        </w:rPr>
        <w:t>بلدان المؤتمر الأوروبي لإدارات البريد والاتصالا</w:t>
      </w:r>
      <w:r>
        <w:rPr>
          <w:rFonts w:hint="cs"/>
          <w:rtl/>
          <w:lang w:val="en-GB"/>
        </w:rPr>
        <w:t xml:space="preserve">ت </w:t>
      </w:r>
      <w:r w:rsidRPr="00EA4CD4">
        <w:t>(CEPT)</w:t>
      </w:r>
      <w:r w:rsidR="00D11FD1">
        <w:rPr>
          <w:rFonts w:hint="cs"/>
          <w:rtl/>
        </w:rPr>
        <w:t xml:space="preserve"> </w:t>
      </w:r>
      <w:r w:rsidR="0087159D">
        <w:rPr>
          <w:rFonts w:hint="cs"/>
          <w:rtl/>
          <w:lang w:bidi="ar"/>
        </w:rPr>
        <w:t>أطرها</w:t>
      </w:r>
      <w:r w:rsidRPr="00EA4CD4">
        <w:rPr>
          <w:rFonts w:hint="cs"/>
          <w:rtl/>
          <w:lang w:bidi="ar"/>
        </w:rPr>
        <w:t xml:space="preserve"> التنظيمي</w:t>
      </w:r>
      <w:r w:rsidR="0087159D">
        <w:rPr>
          <w:rFonts w:hint="cs"/>
          <w:rtl/>
          <w:lang w:bidi="ar"/>
        </w:rPr>
        <w:t>ة</w:t>
      </w:r>
      <w:r w:rsidRPr="00EA4CD4">
        <w:rPr>
          <w:rFonts w:hint="cs"/>
          <w:rtl/>
          <w:lang w:bidi="ar"/>
        </w:rPr>
        <w:t xml:space="preserve"> </w:t>
      </w:r>
      <w:r w:rsidR="009D7494">
        <w:rPr>
          <w:rFonts w:hint="cs"/>
          <w:rtl/>
        </w:rPr>
        <w:t>القائم</w:t>
      </w:r>
      <w:r w:rsidR="0087159D">
        <w:rPr>
          <w:rFonts w:hint="cs"/>
          <w:rtl/>
        </w:rPr>
        <w:t>ة</w:t>
      </w:r>
      <w:r w:rsidRPr="00EA4CD4">
        <w:rPr>
          <w:rFonts w:hint="cs"/>
          <w:rtl/>
          <w:lang w:bidi="ar"/>
        </w:rPr>
        <w:t xml:space="preserve"> بشأن أنظمة الاتصالات الراديوية </w:t>
      </w:r>
      <w:r w:rsidR="009D7494" w:rsidRPr="009D7494">
        <w:rPr>
          <w:rtl/>
        </w:rPr>
        <w:t>الخاصة بالسكك الحديدية بين القطار وجانبي مسار</w:t>
      </w:r>
      <w:r w:rsidR="009D7494">
        <w:rPr>
          <w:rFonts w:hint="cs"/>
          <w:rtl/>
        </w:rPr>
        <w:t xml:space="preserve">ه </w:t>
      </w:r>
      <w:r w:rsidR="009D7494" w:rsidRPr="009D7494">
        <w:rPr>
          <w:lang w:bidi="ar"/>
        </w:rPr>
        <w:t>(RSTT)</w:t>
      </w:r>
      <w:r w:rsidR="009D7494">
        <w:rPr>
          <w:rFonts w:hint="cs"/>
          <w:rtl/>
          <w:lang w:bidi="ar"/>
        </w:rPr>
        <w:t>، و</w:t>
      </w:r>
      <w:r w:rsidRPr="00EA4CD4">
        <w:rPr>
          <w:rFonts w:hint="cs"/>
          <w:rtl/>
          <w:lang w:bidi="ar"/>
        </w:rPr>
        <w:t xml:space="preserve">خلصت إلى أن جميع الترددات المستخدمة لراديو </w:t>
      </w:r>
      <w:r w:rsidR="0087159D">
        <w:rPr>
          <w:rFonts w:hint="cs"/>
          <w:rtl/>
          <w:lang w:bidi="ar"/>
        </w:rPr>
        <w:t>القطارات في الأنظمة</w:t>
      </w:r>
      <w:r w:rsidRPr="00EA4CD4">
        <w:rPr>
          <w:rFonts w:hint="cs"/>
          <w:rtl/>
          <w:lang w:bidi="ar"/>
        </w:rPr>
        <w:t xml:space="preserve"> </w:t>
      </w:r>
      <w:r w:rsidRPr="00EA4CD4">
        <w:rPr>
          <w:rFonts w:hint="cs"/>
          <w:lang w:val="en-GB"/>
        </w:rPr>
        <w:t>RSTT</w:t>
      </w:r>
      <w:r w:rsidRPr="00EA4CD4">
        <w:rPr>
          <w:rFonts w:hint="cs"/>
          <w:rtl/>
          <w:lang w:bidi="ar"/>
        </w:rPr>
        <w:t xml:space="preserve"> داخل </w:t>
      </w:r>
      <w:r w:rsidR="009D7494" w:rsidRPr="00EA4CD4">
        <w:rPr>
          <w:rtl/>
          <w:lang w:val="en-GB"/>
        </w:rPr>
        <w:t>بلدان المؤتمر الأوروبي لإدارات البريد والاتصالا</w:t>
      </w:r>
      <w:r w:rsidR="009D7494">
        <w:rPr>
          <w:rFonts w:hint="cs"/>
          <w:rtl/>
          <w:lang w:val="en-GB"/>
        </w:rPr>
        <w:t xml:space="preserve">ت </w:t>
      </w:r>
      <w:r w:rsidRPr="00EA4CD4">
        <w:rPr>
          <w:rFonts w:hint="cs"/>
          <w:rtl/>
          <w:lang w:bidi="ar"/>
        </w:rPr>
        <w:t xml:space="preserve">موزعة بالفعل على الخدمة المتنقلة في لوائح الراديو. </w:t>
      </w:r>
      <w:r w:rsidR="0087159D">
        <w:rPr>
          <w:rFonts w:hint="cs"/>
          <w:rtl/>
          <w:lang w:bidi="ar"/>
        </w:rPr>
        <w:t>وعليه،</w:t>
      </w:r>
      <w:r w:rsidRPr="00EA4CD4">
        <w:rPr>
          <w:rFonts w:hint="cs"/>
          <w:rtl/>
          <w:lang w:bidi="ar"/>
        </w:rPr>
        <w:t xml:space="preserve"> تعتبر الأطر </w:t>
      </w:r>
      <w:r w:rsidR="0087159D">
        <w:rPr>
          <w:rFonts w:hint="cs"/>
          <w:rtl/>
          <w:lang w:bidi="ar"/>
        </w:rPr>
        <w:t>القائمة</w:t>
      </w:r>
      <w:r w:rsidRPr="00EA4CD4">
        <w:rPr>
          <w:rFonts w:hint="cs"/>
          <w:rtl/>
          <w:lang w:bidi="ar"/>
        </w:rPr>
        <w:t xml:space="preserve"> كافية لتوفير مراقبة </w:t>
      </w:r>
      <w:r w:rsidR="0087159D" w:rsidRPr="0087159D">
        <w:rPr>
          <w:rtl/>
        </w:rPr>
        <w:t>محسّنة لحركة السكك الحديدية وسلامة الركاب وتعزيز أمن عمليات القطارات</w:t>
      </w:r>
      <w:r w:rsidRPr="00EA4CD4">
        <w:rPr>
          <w:rFonts w:hint="cs"/>
          <w:rtl/>
          <w:lang w:bidi="ar"/>
        </w:rPr>
        <w:t>.</w:t>
      </w:r>
    </w:p>
    <w:p w14:paraId="5BA09A7E" w14:textId="66584E35" w:rsidR="00240FDE" w:rsidRPr="00481B3F" w:rsidRDefault="0087159D" w:rsidP="00240FDE">
      <w:pPr>
        <w:rPr>
          <w:spacing w:val="8"/>
          <w:rtl/>
          <w:lang w:bidi="ar-EG"/>
        </w:rPr>
      </w:pPr>
      <w:r w:rsidRPr="00481B3F">
        <w:rPr>
          <w:rFonts w:hint="cs"/>
          <w:spacing w:val="8"/>
          <w:rtl/>
          <w:lang w:bidi="ar-EG"/>
        </w:rPr>
        <w:t xml:space="preserve">وترى </w:t>
      </w:r>
      <w:r w:rsidRPr="00481B3F">
        <w:rPr>
          <w:spacing w:val="8"/>
          <w:rtl/>
          <w:lang w:val="en-GB"/>
        </w:rPr>
        <w:t>بلدان المؤتمر الأوروبي لإدارات البريد والاتصالا</w:t>
      </w:r>
      <w:r w:rsidRPr="00481B3F">
        <w:rPr>
          <w:rFonts w:hint="cs"/>
          <w:spacing w:val="8"/>
          <w:rtl/>
          <w:lang w:val="en-GB"/>
        </w:rPr>
        <w:t>ت</w:t>
      </w:r>
      <w:r w:rsidR="00296533" w:rsidRPr="00481B3F">
        <w:rPr>
          <w:rFonts w:hint="cs"/>
          <w:spacing w:val="8"/>
          <w:rtl/>
          <w:lang w:val="en-GB"/>
        </w:rPr>
        <w:t xml:space="preserve"> </w:t>
      </w:r>
      <w:r w:rsidR="00296533" w:rsidRPr="00D11FD1">
        <w:rPr>
          <w:rFonts w:hint="cs"/>
          <w:rtl/>
        </w:rPr>
        <w:t>أنه</w:t>
      </w:r>
      <w:r w:rsidR="00D11FD1">
        <w:rPr>
          <w:rFonts w:hint="cs"/>
          <w:rtl/>
        </w:rPr>
        <w:t xml:space="preserve"> </w:t>
      </w:r>
      <w:r w:rsidR="00240FDE" w:rsidRPr="00D11FD1">
        <w:rPr>
          <w:rFonts w:hint="cs"/>
          <w:rtl/>
        </w:rPr>
        <w:t xml:space="preserve">يمكن </w:t>
      </w:r>
      <w:r w:rsidR="00D11FD1">
        <w:rPr>
          <w:rFonts w:hint="cs"/>
          <w:rtl/>
        </w:rPr>
        <w:t>تحقيق</w:t>
      </w:r>
      <w:r w:rsidR="00240FDE" w:rsidRPr="00481B3F">
        <w:rPr>
          <w:rFonts w:hint="cs"/>
          <w:spacing w:val="8"/>
          <w:rtl/>
          <w:lang w:bidi="ar-EG"/>
        </w:rPr>
        <w:t xml:space="preserve"> التنسيق ل</w:t>
      </w:r>
      <w:r w:rsidR="00296533" w:rsidRPr="00481B3F">
        <w:rPr>
          <w:rFonts w:hint="cs"/>
          <w:spacing w:val="8"/>
          <w:rtl/>
          <w:lang w:bidi="ar-EG"/>
        </w:rPr>
        <w:t>نطاقات ال</w:t>
      </w:r>
      <w:r w:rsidR="00240FDE" w:rsidRPr="00481B3F">
        <w:rPr>
          <w:rFonts w:hint="cs"/>
          <w:spacing w:val="8"/>
          <w:rtl/>
          <w:lang w:bidi="ar-EG"/>
        </w:rPr>
        <w:t xml:space="preserve">تردد من أجل الأنظمة </w:t>
      </w:r>
      <w:r w:rsidR="00240FDE" w:rsidRPr="00481B3F">
        <w:rPr>
          <w:spacing w:val="8"/>
          <w:lang w:bidi="ar-EG"/>
        </w:rPr>
        <w:t>RSTT</w:t>
      </w:r>
      <w:r w:rsidR="00240FDE" w:rsidRPr="00481B3F">
        <w:rPr>
          <w:rFonts w:hint="cs"/>
          <w:spacing w:val="8"/>
          <w:rtl/>
          <w:lang w:bidi="ar-EG"/>
        </w:rPr>
        <w:t xml:space="preserve"> من خلال عمل لجان دراسات قطاع الاتصالات الراديوية عبر توصيات و/أو تقارير قطاع الاتصالات الراديوية المطبقة (مثل التوصية </w:t>
      </w:r>
      <w:r w:rsidR="00240FDE" w:rsidRPr="00481B3F">
        <w:rPr>
          <w:spacing w:val="8"/>
          <w:lang w:val="en-GB" w:bidi="ar-EG"/>
        </w:rPr>
        <w:t xml:space="preserve">ITU-R </w:t>
      </w:r>
      <w:proofErr w:type="gramStart"/>
      <w:r w:rsidR="00240FDE" w:rsidRPr="00481B3F">
        <w:rPr>
          <w:spacing w:val="8"/>
          <w:lang w:val="en-GB" w:bidi="ar-EG"/>
        </w:rPr>
        <w:t>M.[</w:t>
      </w:r>
      <w:proofErr w:type="gramEnd"/>
      <w:r w:rsidR="00240FDE" w:rsidRPr="00481B3F">
        <w:rPr>
          <w:spacing w:val="8"/>
          <w:lang w:val="en-GB" w:bidi="ar-EG"/>
        </w:rPr>
        <w:t>RSTT_FRQ]</w:t>
      </w:r>
      <w:r w:rsidR="00240FDE" w:rsidRPr="00481B3F">
        <w:rPr>
          <w:rFonts w:hint="cs"/>
          <w:spacing w:val="8"/>
          <w:rtl/>
          <w:lang w:bidi="ar-EG"/>
        </w:rPr>
        <w:t>).</w:t>
      </w:r>
    </w:p>
    <w:p w14:paraId="3FCA499A" w14:textId="14D63DD9" w:rsidR="00ED5FE8" w:rsidRPr="00ED5FE8" w:rsidRDefault="00ED5FE8" w:rsidP="00ED5FE8">
      <w:pPr>
        <w:rPr>
          <w:lang w:val="en-GB" w:bidi="ar-EG"/>
        </w:rPr>
      </w:pPr>
      <w:r w:rsidRPr="00ED5FE8">
        <w:rPr>
          <w:rFonts w:hint="cs"/>
          <w:rtl/>
          <w:lang w:bidi="ar"/>
        </w:rPr>
        <w:t xml:space="preserve">وعلاوة على ذلك، يمكن الاستنتاج أنه ليس من الضروري طلب </w:t>
      </w:r>
      <w:r w:rsidR="003B7263">
        <w:rPr>
          <w:rFonts w:hint="cs"/>
          <w:rtl/>
          <w:lang w:bidi="ar"/>
        </w:rPr>
        <w:t>اتخاذ</w:t>
      </w:r>
      <w:r w:rsidR="00FF1A6A">
        <w:rPr>
          <w:rFonts w:hint="cs"/>
          <w:rtl/>
          <w:lang w:bidi="ar"/>
        </w:rPr>
        <w:t xml:space="preserve"> </w:t>
      </w:r>
      <w:r w:rsidR="003B7263">
        <w:rPr>
          <w:rFonts w:hint="cs"/>
          <w:rtl/>
          <w:lang w:bidi="ar"/>
        </w:rPr>
        <w:t>م</w:t>
      </w:r>
      <w:r w:rsidR="003B7263" w:rsidRPr="00ED5FE8">
        <w:rPr>
          <w:rFonts w:hint="cs"/>
          <w:rtl/>
          <w:lang w:bidi="ar"/>
        </w:rPr>
        <w:t xml:space="preserve">ؤتمر عالمي للاتصالات الراديوية </w:t>
      </w:r>
      <w:r w:rsidR="003B7263">
        <w:rPr>
          <w:rFonts w:hint="cs"/>
          <w:rtl/>
          <w:lang w:bidi="ar"/>
        </w:rPr>
        <w:t>لإ</w:t>
      </w:r>
      <w:r w:rsidRPr="00ED5FE8">
        <w:rPr>
          <w:rFonts w:hint="cs"/>
          <w:rtl/>
          <w:lang w:bidi="ar"/>
        </w:rPr>
        <w:t xml:space="preserve">جراء محدد </w:t>
      </w:r>
      <w:r w:rsidR="00FF1A6A">
        <w:rPr>
          <w:rFonts w:hint="cs"/>
          <w:rtl/>
          <w:lang w:bidi="ar"/>
        </w:rPr>
        <w:t>لتنسيق</w:t>
      </w:r>
      <w:r w:rsidRPr="00ED5FE8">
        <w:rPr>
          <w:rFonts w:hint="cs"/>
          <w:rtl/>
          <w:lang w:bidi="ar"/>
        </w:rPr>
        <w:t xml:space="preserve"> الطيف من أجل </w:t>
      </w:r>
      <w:r w:rsidR="00A55A34">
        <w:rPr>
          <w:rFonts w:hint="cs"/>
          <w:rtl/>
          <w:lang w:bidi="ar"/>
        </w:rPr>
        <w:t>الأنظمة</w:t>
      </w:r>
      <w:r w:rsidRPr="00ED5FE8">
        <w:rPr>
          <w:rFonts w:hint="cs"/>
          <w:rtl/>
          <w:lang w:bidi="ar"/>
        </w:rPr>
        <w:t xml:space="preserve"> </w:t>
      </w:r>
      <w:r w:rsidRPr="00ED5FE8">
        <w:rPr>
          <w:rFonts w:hint="cs"/>
          <w:lang w:val="en-GB" w:bidi="ar-EG"/>
        </w:rPr>
        <w:t>RSTT</w:t>
      </w:r>
      <w:r w:rsidRPr="00ED5FE8">
        <w:rPr>
          <w:rFonts w:hint="cs"/>
          <w:rtl/>
          <w:lang w:bidi="ar"/>
        </w:rPr>
        <w:t xml:space="preserve">، وبالتالي لا </w:t>
      </w:r>
      <w:r w:rsidR="00FF1A6A">
        <w:rPr>
          <w:rFonts w:hint="cs"/>
          <w:rtl/>
        </w:rPr>
        <w:t>حاجة إلى</w:t>
      </w:r>
      <w:r w:rsidRPr="00ED5FE8">
        <w:rPr>
          <w:rFonts w:hint="cs"/>
          <w:rtl/>
          <w:lang w:bidi="ar"/>
        </w:rPr>
        <w:t xml:space="preserve"> إجراء أي تغيي</w:t>
      </w:r>
      <w:r w:rsidR="00FF1A6A">
        <w:rPr>
          <w:rFonts w:hint="cs"/>
          <w:rtl/>
          <w:lang w:bidi="ar"/>
        </w:rPr>
        <w:t>ر</w:t>
      </w:r>
      <w:r w:rsidRPr="00ED5FE8">
        <w:rPr>
          <w:rFonts w:hint="cs"/>
          <w:rtl/>
          <w:lang w:bidi="ar"/>
        </w:rPr>
        <w:t xml:space="preserve"> على لوائح الراديو.</w:t>
      </w:r>
    </w:p>
    <w:p w14:paraId="38457E3F" w14:textId="0E5B678F" w:rsidR="00240FDE" w:rsidRDefault="00240FDE" w:rsidP="00240FDE">
      <w:pPr>
        <w:pStyle w:val="Headingb"/>
      </w:pPr>
      <w:r>
        <w:rPr>
          <w:rFonts w:hint="cs"/>
          <w:rtl/>
        </w:rPr>
        <w:lastRenderedPageBreak/>
        <w:t>المقترحات</w:t>
      </w:r>
    </w:p>
    <w:p w14:paraId="3E874920" w14:textId="63F49CF1" w:rsidR="00632DB3" w:rsidRDefault="00240FDE" w:rsidP="00D11FD1">
      <w:pPr>
        <w:pStyle w:val="ArtNo"/>
        <w:rPr>
          <w:rtl/>
        </w:rPr>
      </w:pPr>
      <w:bookmarkStart w:id="1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670D284A" w14:textId="77777777" w:rsidR="00632DB3" w:rsidRDefault="00240FDE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7ECF8CA6" w14:textId="77777777" w:rsidR="00177B92" w:rsidRDefault="00240FDE">
      <w:pPr>
        <w:pStyle w:val="Proposal"/>
      </w:pPr>
      <w:r>
        <w:rPr>
          <w:u w:val="single"/>
        </w:rPr>
        <w:t>NOC</w:t>
      </w:r>
      <w:r>
        <w:tab/>
        <w:t>EUR/16A11/1</w:t>
      </w:r>
    </w:p>
    <w:p w14:paraId="7B53C07A" w14:textId="10B5AC4E" w:rsidR="00632DB3" w:rsidRDefault="00240FDE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>
        <w:rPr>
          <w:b w:val="0"/>
          <w:bCs w:val="0"/>
          <w:sz w:val="22"/>
          <w:szCs w:val="30"/>
          <w:rtl/>
        </w:rPr>
        <w:br/>
      </w:r>
    </w:p>
    <w:p w14:paraId="3FBD5267" w14:textId="77777777" w:rsidR="00FF1A6A" w:rsidRPr="007219F5" w:rsidRDefault="00240FDE" w:rsidP="007219F5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 w:rsidRPr="007219F5">
        <w:rPr>
          <w:rtl/>
        </w:rPr>
        <w:t>الأسباب</w:t>
      </w:r>
      <w:r>
        <w:rPr>
          <w:rtl/>
        </w:rPr>
        <w:t>:</w:t>
      </w:r>
      <w:bookmarkStart w:id="4" w:name="_GoBack"/>
      <w:bookmarkEnd w:id="4"/>
      <w:r w:rsidRPr="007219F5">
        <w:rPr>
          <w:rFonts w:ascii="Times New Roman" w:hAnsi="Times New Roman"/>
          <w:b w:val="0"/>
          <w:bCs w:val="0"/>
        </w:rPr>
        <w:tab/>
      </w:r>
      <w:r w:rsidR="00FF1A6A" w:rsidRPr="007219F5">
        <w:rPr>
          <w:rFonts w:ascii="Times New Roman" w:hAnsi="Times New Roman" w:hint="cs"/>
          <w:b w:val="0"/>
          <w:bCs w:val="0"/>
          <w:rtl/>
          <w:lang w:bidi="ar-EG"/>
        </w:rPr>
        <w:t xml:space="preserve">يمكن تحقيق التنسيق لنطاقات التردد من أجل الأنظمة </w:t>
      </w:r>
      <w:r w:rsidR="00FF1A6A" w:rsidRPr="007219F5">
        <w:rPr>
          <w:rFonts w:ascii="Times New Roman" w:hAnsi="Times New Roman"/>
          <w:b w:val="0"/>
          <w:bCs w:val="0"/>
          <w:lang w:bidi="ar-EG"/>
        </w:rPr>
        <w:t>RSTT</w:t>
      </w:r>
      <w:r w:rsidR="00FF1A6A" w:rsidRPr="007219F5">
        <w:rPr>
          <w:rFonts w:ascii="Times New Roman" w:hAnsi="Times New Roman" w:hint="cs"/>
          <w:b w:val="0"/>
          <w:bCs w:val="0"/>
          <w:rtl/>
          <w:lang w:bidi="ar-EG"/>
        </w:rPr>
        <w:t xml:space="preserve"> من خلال عمل لجان دراسات قطاع الاتصالات الراديوية عبر توصيات و/أو تقارير قطاع الاتصالات الراديوية المطبقة (مثل التوصية </w:t>
      </w:r>
      <w:r w:rsidR="00FF1A6A" w:rsidRPr="007219F5">
        <w:rPr>
          <w:rFonts w:ascii="Times New Roman" w:hAnsi="Times New Roman"/>
          <w:b w:val="0"/>
          <w:bCs w:val="0"/>
          <w:lang w:val="en-GB" w:bidi="ar-EG"/>
        </w:rPr>
        <w:t xml:space="preserve">ITU-R </w:t>
      </w:r>
      <w:proofErr w:type="gramStart"/>
      <w:r w:rsidR="00FF1A6A" w:rsidRPr="007219F5">
        <w:rPr>
          <w:rFonts w:ascii="Times New Roman" w:hAnsi="Times New Roman"/>
          <w:b w:val="0"/>
          <w:bCs w:val="0"/>
          <w:lang w:val="en-GB" w:bidi="ar-EG"/>
        </w:rPr>
        <w:t>M.[</w:t>
      </w:r>
      <w:proofErr w:type="gramEnd"/>
      <w:r w:rsidR="00FF1A6A" w:rsidRPr="007219F5">
        <w:rPr>
          <w:rFonts w:ascii="Times New Roman" w:hAnsi="Times New Roman"/>
          <w:b w:val="0"/>
          <w:bCs w:val="0"/>
          <w:lang w:val="en-GB" w:bidi="ar-EG"/>
        </w:rPr>
        <w:t>RSTT_FRQ]</w:t>
      </w:r>
      <w:r w:rsidR="00FF1A6A" w:rsidRPr="007219F5">
        <w:rPr>
          <w:rFonts w:ascii="Times New Roman" w:hAnsi="Times New Roman" w:hint="cs"/>
          <w:b w:val="0"/>
          <w:bCs w:val="0"/>
          <w:rtl/>
          <w:lang w:bidi="ar-EG"/>
        </w:rPr>
        <w:t>).</w:t>
      </w:r>
    </w:p>
    <w:p w14:paraId="0051753A" w14:textId="77777777" w:rsidR="00177B92" w:rsidRDefault="00240FDE">
      <w:pPr>
        <w:pStyle w:val="Proposal"/>
      </w:pPr>
      <w:r>
        <w:t>SUP</w:t>
      </w:r>
      <w:r>
        <w:tab/>
        <w:t>EUR/16A11/2</w:t>
      </w:r>
      <w:r>
        <w:rPr>
          <w:vanish/>
          <w:color w:val="7F7F7F" w:themeColor="text1" w:themeTint="80"/>
          <w:vertAlign w:val="superscript"/>
        </w:rPr>
        <w:t>#49718</w:t>
      </w:r>
    </w:p>
    <w:p w14:paraId="500AF4C1" w14:textId="77777777" w:rsidR="007742EC" w:rsidRPr="007A3098" w:rsidRDefault="00240FDE" w:rsidP="007742EC">
      <w:pPr>
        <w:pStyle w:val="ResNo"/>
        <w:rPr>
          <w:rtl/>
        </w:rPr>
      </w:pPr>
      <w:r w:rsidRPr="007A3098">
        <w:rPr>
          <w:rtl/>
        </w:rPr>
        <w:t xml:space="preserve">القـرار </w:t>
      </w:r>
      <w:r w:rsidRPr="007A3098">
        <w:rPr>
          <w:rStyle w:val="href"/>
        </w:rPr>
        <w:t>236</w:t>
      </w:r>
      <w:r w:rsidRPr="007A3098">
        <w:t xml:space="preserve"> (WRC-15)</w:t>
      </w:r>
    </w:p>
    <w:p w14:paraId="4F5C8347" w14:textId="77777777" w:rsidR="007742EC" w:rsidRPr="007A3098" w:rsidRDefault="00240FDE" w:rsidP="007742EC">
      <w:pPr>
        <w:pStyle w:val="Restitle"/>
        <w:rPr>
          <w:rtl/>
        </w:rPr>
      </w:pPr>
      <w:r w:rsidRPr="007A3098">
        <w:rPr>
          <w:rtl/>
        </w:rPr>
        <w:t xml:space="preserve">أنظمة الاتصالات الراديوية الخاصة بالسكك الحديدية </w:t>
      </w:r>
      <w:r w:rsidRPr="007A3098">
        <w:rPr>
          <w:rtl/>
        </w:rPr>
        <w:br/>
        <w:t>بين القطار وجانبي السكة الحديدية</w:t>
      </w:r>
    </w:p>
    <w:p w14:paraId="2B2529FD" w14:textId="1DFB5802" w:rsidR="00177B92" w:rsidRDefault="00240FDE">
      <w:pPr>
        <w:pStyle w:val="Reasons"/>
        <w:rPr>
          <w:rFonts w:ascii="Times New Roman" w:hAnsi="Times New Roman"/>
          <w:b w:val="0"/>
          <w:bCs w:val="0"/>
          <w:rtl/>
          <w:lang w:val="en-GB" w:bidi="ar-EG"/>
        </w:rPr>
      </w:pPr>
      <w:r>
        <w:rPr>
          <w:rtl/>
        </w:rPr>
        <w:t>الأسباب:</w:t>
      </w:r>
      <w:r>
        <w:tab/>
      </w:r>
      <w:r w:rsidR="00FF1A6A" w:rsidRPr="00FF1A6A">
        <w:rPr>
          <w:rFonts w:hint="cs"/>
          <w:b w:val="0"/>
          <w:bCs w:val="0"/>
          <w:rtl/>
        </w:rPr>
        <w:t xml:space="preserve">لا حاجة إلى هذا القرار بعد </w:t>
      </w:r>
      <w:r w:rsidR="00FF1A6A" w:rsidRPr="00FF1A6A">
        <w:rPr>
          <w:rFonts w:eastAsia="SimSun"/>
          <w:b w:val="0"/>
          <w:bCs w:val="0"/>
          <w:spacing w:val="-4"/>
          <w:rtl/>
          <w:lang w:eastAsia="zh-CN"/>
        </w:rPr>
        <w:t>المؤتم</w:t>
      </w:r>
      <w:r w:rsidR="00FF1A6A" w:rsidRPr="00FF1A6A">
        <w:rPr>
          <w:rFonts w:eastAsia="SimSun" w:hint="cs"/>
          <w:b w:val="0"/>
          <w:bCs w:val="0"/>
          <w:spacing w:val="-4"/>
          <w:rtl/>
          <w:lang w:eastAsia="zh-CN"/>
        </w:rPr>
        <w:t>ر العالمي للاتصالات الراديوية لعام</w:t>
      </w:r>
      <w:r w:rsidR="007974CE">
        <w:rPr>
          <w:rFonts w:eastAsia="SimSun" w:hint="cs"/>
          <w:b w:val="0"/>
          <w:bCs w:val="0"/>
          <w:spacing w:val="-4"/>
          <w:rtl/>
          <w:lang w:eastAsia="zh-CN"/>
        </w:rPr>
        <w:t xml:space="preserve"> </w:t>
      </w:r>
      <w:r w:rsidR="00FF1A6A" w:rsidRPr="00FF1A6A">
        <w:rPr>
          <w:rFonts w:ascii="Times New Roman" w:hAnsi="Times New Roman"/>
          <w:b w:val="0"/>
          <w:bCs w:val="0"/>
          <w:lang w:val="en-GB" w:bidi="ar-EG"/>
        </w:rPr>
        <w:t>201</w:t>
      </w:r>
      <w:r w:rsidR="00FF1A6A">
        <w:rPr>
          <w:rFonts w:ascii="Times New Roman" w:hAnsi="Times New Roman"/>
          <w:b w:val="0"/>
          <w:bCs w:val="0"/>
          <w:lang w:val="en-GB" w:bidi="ar-EG"/>
        </w:rPr>
        <w:t>9</w:t>
      </w:r>
      <w:r w:rsidR="00FF1A6A" w:rsidRPr="00FF1A6A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</w:t>
      </w:r>
      <w:r w:rsidR="00FF1A6A" w:rsidRPr="00FF1A6A">
        <w:rPr>
          <w:rFonts w:ascii="Times New Roman" w:hAnsi="Times New Roman"/>
          <w:b w:val="0"/>
          <w:bCs w:val="0"/>
          <w:lang w:val="en-GB" w:bidi="ar-EG"/>
        </w:rPr>
        <w:t>(WRC-1</w:t>
      </w:r>
      <w:r w:rsidR="00FF1A6A">
        <w:rPr>
          <w:rFonts w:ascii="Times New Roman" w:hAnsi="Times New Roman"/>
          <w:b w:val="0"/>
          <w:bCs w:val="0"/>
          <w:lang w:val="en-GB" w:bidi="ar-EG"/>
        </w:rPr>
        <w:t>9</w:t>
      </w:r>
      <w:r w:rsidR="00FF1A6A" w:rsidRPr="00FF1A6A">
        <w:rPr>
          <w:rFonts w:ascii="Times New Roman" w:hAnsi="Times New Roman"/>
          <w:b w:val="0"/>
          <w:bCs w:val="0"/>
          <w:lang w:val="en-GB" w:bidi="ar-EG"/>
        </w:rPr>
        <w:t>)</w:t>
      </w:r>
      <w:r w:rsidR="00FF1A6A" w:rsidRPr="00FF1A6A">
        <w:rPr>
          <w:rFonts w:ascii="Times New Roman" w:hAnsi="Times New Roman" w:hint="cs"/>
          <w:b w:val="0"/>
          <w:bCs w:val="0"/>
          <w:rtl/>
          <w:lang w:val="en-GB" w:bidi="ar-EG"/>
        </w:rPr>
        <w:t>.</w:t>
      </w:r>
    </w:p>
    <w:p w14:paraId="4E6C0D55" w14:textId="77777777" w:rsidR="007974CE" w:rsidRPr="007974CE" w:rsidRDefault="007974CE" w:rsidP="007974CE">
      <w:pPr>
        <w:rPr>
          <w:lang w:val="en-GB" w:bidi="ar-EG"/>
        </w:rPr>
      </w:pPr>
    </w:p>
    <w:p w14:paraId="5415DEEB" w14:textId="77777777" w:rsidR="00D55250" w:rsidRPr="007B5892" w:rsidRDefault="00D55250" w:rsidP="00B63AB1">
      <w:pPr>
        <w:jc w:val="center"/>
        <w:rPr>
          <w:lang w:bidi="ar-EG"/>
        </w:rPr>
      </w:pPr>
      <w:bookmarkStart w:id="5" w:name="_Hlk21689380"/>
      <w:r>
        <w:rPr>
          <w:rFonts w:hint="cs"/>
          <w:rtl/>
          <w:lang w:bidi="ar-EG"/>
        </w:rPr>
        <w:t>___________</w:t>
      </w:r>
      <w:bookmarkEnd w:id="5"/>
    </w:p>
    <w:sectPr w:rsidR="00D55250" w:rsidRPr="007B5892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89E08" w14:textId="77777777" w:rsidR="00EA5D25" w:rsidRDefault="00EA5D25" w:rsidP="002919E1">
      <w:r>
        <w:separator/>
      </w:r>
    </w:p>
    <w:p w14:paraId="72637C2F" w14:textId="77777777" w:rsidR="00EA5D25" w:rsidRDefault="00EA5D25" w:rsidP="002919E1"/>
    <w:p w14:paraId="6DA00AD6" w14:textId="77777777" w:rsidR="00EA5D25" w:rsidRDefault="00EA5D25" w:rsidP="002919E1"/>
    <w:p w14:paraId="2FCCA602" w14:textId="77777777" w:rsidR="00EA5D25" w:rsidRDefault="00EA5D25"/>
  </w:endnote>
  <w:endnote w:type="continuationSeparator" w:id="0">
    <w:p w14:paraId="5ACF7016" w14:textId="77777777" w:rsidR="00EA5D25" w:rsidRDefault="00EA5D25" w:rsidP="002919E1">
      <w:r>
        <w:continuationSeparator/>
      </w:r>
    </w:p>
    <w:p w14:paraId="630BF380" w14:textId="77777777" w:rsidR="00EA5D25" w:rsidRDefault="00EA5D25" w:rsidP="002919E1"/>
    <w:p w14:paraId="5C896AD6" w14:textId="77777777" w:rsidR="00EA5D25" w:rsidRDefault="00EA5D25" w:rsidP="002919E1"/>
    <w:p w14:paraId="1ED47ED1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CDCA3" w14:textId="5637F790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A1E82">
      <w:rPr>
        <w:noProof/>
      </w:rPr>
      <w:t>P:\ARA\ITU-R\CONF-R\CMR19\000\016ADD11A.docx</w:t>
    </w:r>
    <w:r>
      <w:fldChar w:fldCharType="end"/>
    </w:r>
    <w:proofErr w:type="gramStart"/>
    <w:r w:rsidRPr="00A809E8">
      <w:t xml:space="preserve">   (</w:t>
    </w:r>
    <w:proofErr w:type="gramEnd"/>
    <w:r w:rsidR="00D55250">
      <w:t>462011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1F7DB" w14:textId="60094545" w:rsidR="00281F5F" w:rsidRPr="00D55250" w:rsidRDefault="00D55250" w:rsidP="00D55250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A1E82">
      <w:rPr>
        <w:noProof/>
      </w:rPr>
      <w:t>P:\ARA\ITU-R\CONF-R\CMR19\000\016ADD11A.docx</w:t>
    </w:r>
    <w:r>
      <w:fldChar w:fldCharType="end"/>
    </w:r>
    <w:proofErr w:type="gramStart"/>
    <w:r w:rsidRPr="00A809E8">
      <w:t xml:space="preserve">   (</w:t>
    </w:r>
    <w:proofErr w:type="gramEnd"/>
    <w:r>
      <w:t>462011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07C8D" w14:textId="77777777" w:rsidR="00EA5D25" w:rsidRDefault="00EA5D25" w:rsidP="002919E1">
      <w:r>
        <w:t>___________________</w:t>
      </w:r>
    </w:p>
  </w:footnote>
  <w:footnote w:type="continuationSeparator" w:id="0">
    <w:p w14:paraId="4BCB8351" w14:textId="77777777" w:rsidR="00EA5D25" w:rsidRDefault="00EA5D25" w:rsidP="002919E1">
      <w:r>
        <w:continuationSeparator/>
      </w:r>
    </w:p>
    <w:p w14:paraId="59799816" w14:textId="77777777" w:rsidR="00EA5D25" w:rsidRDefault="00EA5D25" w:rsidP="002919E1"/>
    <w:p w14:paraId="28CC5FC8" w14:textId="77777777" w:rsidR="00EA5D25" w:rsidRDefault="00EA5D25" w:rsidP="002919E1"/>
    <w:p w14:paraId="438342B0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3BAB8" w14:textId="77777777" w:rsidR="00281F5F" w:rsidRDefault="00281F5F" w:rsidP="002919E1"/>
  <w:p w14:paraId="2A4ED626" w14:textId="77777777" w:rsidR="00281F5F" w:rsidRDefault="00281F5F" w:rsidP="002919E1"/>
  <w:p w14:paraId="2D7A3736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86F53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C25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D60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C4F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96E4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34E51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77B92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40FDE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96533"/>
    <w:rsid w:val="002A1E82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B726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81B3F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1CF1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19F5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974CE"/>
    <w:rsid w:val="007A0802"/>
    <w:rsid w:val="007B10BA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159D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D7494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5A34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20B5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3AB1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11FD1"/>
    <w:rsid w:val="00D25120"/>
    <w:rsid w:val="00D419CB"/>
    <w:rsid w:val="00D44350"/>
    <w:rsid w:val="00D44E3F"/>
    <w:rsid w:val="00D51BB8"/>
    <w:rsid w:val="00D525F5"/>
    <w:rsid w:val="00D535D0"/>
    <w:rsid w:val="00D55250"/>
    <w:rsid w:val="00D577D8"/>
    <w:rsid w:val="00D62C78"/>
    <w:rsid w:val="00D81703"/>
    <w:rsid w:val="00D82929"/>
    <w:rsid w:val="00D84214"/>
    <w:rsid w:val="00D943E5"/>
    <w:rsid w:val="00DA1AE0"/>
    <w:rsid w:val="00DB26E2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4CD4"/>
    <w:rsid w:val="00EA5D25"/>
    <w:rsid w:val="00EA77D7"/>
    <w:rsid w:val="00EC09B9"/>
    <w:rsid w:val="00ED048C"/>
    <w:rsid w:val="00ED5FE8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1A6A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BB3CD73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0FDE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6703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959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02104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2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22182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80022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45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14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05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54757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19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50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46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1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35488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6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6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1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62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00966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91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134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38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63290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0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50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63902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7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9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670175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7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9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709964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73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00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21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3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02443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42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53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937447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49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51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62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953702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2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15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8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645777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2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274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94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5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9277544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4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7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74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83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181706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13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50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77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7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30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23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47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40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76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382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918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15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55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339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898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910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867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391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22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78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269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53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40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080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50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80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1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956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51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3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905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667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78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9502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463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15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4811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05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19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83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65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2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072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1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8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99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47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1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04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849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7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163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00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72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03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74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64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648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8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57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07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983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90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922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7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78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80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73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964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1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61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1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75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40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70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119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551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491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922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368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936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6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552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610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000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30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637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09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92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33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61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167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48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04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460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722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399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691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776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392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33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992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3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734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02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27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14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78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872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35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264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966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960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3143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752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233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13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79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228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9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19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48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171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87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95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28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7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774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119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127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024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74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84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3679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5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01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44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23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7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3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0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18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37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861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85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74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23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45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49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911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571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581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13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14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73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710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0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451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703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91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591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739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0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8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8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592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78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06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192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822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8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174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5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13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8713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05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8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644678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15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761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84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591922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83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7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692864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0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84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11535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7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65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18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313932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58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7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20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492399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2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433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28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36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39016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80514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FE1E5"/>
                                            <w:left w:val="single" w:sz="6" w:space="0" w:color="DFE1E5"/>
                                            <w:bottom w:val="single" w:sz="6" w:space="0" w:color="DFE1E5"/>
                                            <w:right w:val="single" w:sz="6" w:space="0" w:color="DFE1E5"/>
                                          </w:divBdr>
                                          <w:divsChild>
                                            <w:div w:id="2714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8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46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55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43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78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86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0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80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77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5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6645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140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627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31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98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25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892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8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87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014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21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8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1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69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95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350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66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87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1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93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467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49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23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47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51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290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91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175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291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19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673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293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92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6227740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5705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07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3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8202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55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6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1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8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D143-8C45-46FE-AEE5-18A60B0F5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79866-0C9E-4C1B-8F63-06DD356E4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91DD8-D447-4147-91A0-AD3C7059C2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6635B5-6E24-45F7-83AF-E92774DC6A25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AB7BDF6-44E4-4E1D-BC3F-D098CD3E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330</Words>
  <Characters>1900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R16-WRC19-C-0016!A11!MSW-A</vt:lpstr>
    </vt:vector>
  </TitlesOfParts>
  <Manager>General Secretariat - Pool</Manager>
  <Company>International Telecommunication Union (ITU)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R16-WRC19-C-0016!A11!MSW-A</dc:title>
  <dc:creator>Documents Proposals Manager (DPM)</dc:creator>
  <cp:keywords>DPM_v2019.10.8.1_prod</cp:keywords>
  <cp:lastModifiedBy>Riz, Imad</cp:lastModifiedBy>
  <cp:revision>9</cp:revision>
  <cp:lastPrinted>2019-10-20T10:39:00Z</cp:lastPrinted>
  <dcterms:created xsi:type="dcterms:W3CDTF">2019-10-15T12:56:00Z</dcterms:created>
  <dcterms:modified xsi:type="dcterms:W3CDTF">2019-10-20T10:40:00Z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