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14:paraId="6DBEEDFA" w14:textId="77777777" w:rsidTr="00B102C6">
        <w:trPr>
          <w:cantSplit/>
        </w:trPr>
        <w:tc>
          <w:tcPr>
            <w:tcW w:w="6663" w:type="dxa"/>
          </w:tcPr>
          <w:p w14:paraId="3D6EFB76" w14:textId="77777777" w:rsidR="00622560" w:rsidRPr="00566240" w:rsidRDefault="00B711CC" w:rsidP="001A4E73">
            <w:pPr>
              <w:spacing w:before="400" w:after="48" w:line="240" w:lineRule="atLeast"/>
              <w:rPr>
                <w:rFonts w:ascii="Verdana" w:hAnsi="Verdana"/>
                <w:b/>
                <w:bCs/>
                <w:position w:val="6"/>
                <w:lang w:eastAsia="zh-CN"/>
              </w:rPr>
            </w:pPr>
            <w:bookmarkStart w:id="0" w:name="dtemplate"/>
            <w:bookmarkStart w:id="1" w:name="dorlang" w:colFirst="1" w:colLast="1"/>
            <w:bookmarkStart w:id="2" w:name="_GoBack"/>
            <w:bookmarkEnd w:id="0"/>
            <w:bookmarkEnd w:id="2"/>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68" w:type="dxa"/>
          </w:tcPr>
          <w:p w14:paraId="65B1B6CE" w14:textId="77777777" w:rsidR="00622560" w:rsidRPr="00622560" w:rsidRDefault="000C0212" w:rsidP="00B711CC">
            <w:pPr>
              <w:spacing w:before="0" w:line="240" w:lineRule="atLeast"/>
              <w:jc w:val="right"/>
              <w:rPr>
                <w:rFonts w:ascii="Verdana" w:hAnsi="Verdana"/>
                <w:sz w:val="20"/>
              </w:rPr>
            </w:pPr>
            <w:bookmarkStart w:id="3" w:name="ditulogo"/>
            <w:bookmarkEnd w:id="3"/>
            <w:r w:rsidRPr="00622560">
              <w:rPr>
                <w:rFonts w:ascii="Verdana" w:hAnsi="Verdana"/>
                <w:b/>
                <w:bCs/>
                <w:noProof/>
                <w:sz w:val="20"/>
                <w:lang w:val="en-US" w:eastAsia="zh-CN"/>
              </w:rPr>
              <w:drawing>
                <wp:inline distT="0" distB="0" distL="0" distR="0" wp14:anchorId="69CE6B01" wp14:editId="2EEBF30F">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20EDE3EA" w14:textId="77777777" w:rsidTr="00B102C6">
        <w:trPr>
          <w:cantSplit/>
        </w:trPr>
        <w:tc>
          <w:tcPr>
            <w:tcW w:w="6663" w:type="dxa"/>
            <w:tcBorders>
              <w:bottom w:val="single" w:sz="12" w:space="0" w:color="auto"/>
            </w:tcBorders>
          </w:tcPr>
          <w:p w14:paraId="50BC744C" w14:textId="77777777" w:rsidR="00622560" w:rsidRPr="00617BE4" w:rsidRDefault="00622560">
            <w:pPr>
              <w:spacing w:after="48" w:line="240" w:lineRule="atLeast"/>
              <w:rPr>
                <w:b/>
                <w:smallCaps/>
                <w:szCs w:val="24"/>
              </w:rPr>
            </w:pPr>
            <w:bookmarkStart w:id="4" w:name="dhead"/>
          </w:p>
        </w:tc>
        <w:tc>
          <w:tcPr>
            <w:tcW w:w="3368" w:type="dxa"/>
            <w:tcBorders>
              <w:bottom w:val="single" w:sz="12" w:space="0" w:color="auto"/>
            </w:tcBorders>
          </w:tcPr>
          <w:p w14:paraId="68C677C6" w14:textId="77777777" w:rsidR="00622560" w:rsidRPr="00622560" w:rsidRDefault="00622560" w:rsidP="00622560">
            <w:pPr>
              <w:spacing w:before="0" w:line="240" w:lineRule="atLeast"/>
              <w:rPr>
                <w:rFonts w:ascii="Verdana" w:hAnsi="Verdana"/>
                <w:sz w:val="20"/>
                <w:szCs w:val="24"/>
              </w:rPr>
            </w:pPr>
          </w:p>
        </w:tc>
      </w:tr>
      <w:tr w:rsidR="00622560" w:rsidRPr="00C324A8" w14:paraId="6299D68B" w14:textId="77777777" w:rsidTr="00B102C6">
        <w:trPr>
          <w:cantSplit/>
        </w:trPr>
        <w:tc>
          <w:tcPr>
            <w:tcW w:w="6663" w:type="dxa"/>
            <w:tcBorders>
              <w:top w:val="single" w:sz="12" w:space="0" w:color="auto"/>
            </w:tcBorders>
          </w:tcPr>
          <w:p w14:paraId="614D3A95" w14:textId="77777777"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14:paraId="6ACD5745" w14:textId="77777777" w:rsidR="00622560" w:rsidRPr="00CB4E5A" w:rsidRDefault="00622560" w:rsidP="001B6360">
            <w:pPr>
              <w:spacing w:line="240" w:lineRule="atLeast"/>
              <w:rPr>
                <w:rFonts w:ascii="Verdana" w:hAnsi="Verdana"/>
                <w:b/>
                <w:bCs/>
                <w:sz w:val="20"/>
              </w:rPr>
            </w:pPr>
          </w:p>
        </w:tc>
      </w:tr>
      <w:tr w:rsidR="00622560" w:rsidRPr="00C324A8" w14:paraId="1D4E5DD1" w14:textId="77777777" w:rsidTr="00B102C6">
        <w:trPr>
          <w:cantSplit/>
          <w:trHeight w:val="23"/>
        </w:trPr>
        <w:tc>
          <w:tcPr>
            <w:tcW w:w="6663" w:type="dxa"/>
          </w:tcPr>
          <w:p w14:paraId="42C882AA"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368" w:type="dxa"/>
          </w:tcPr>
          <w:p w14:paraId="21498A61"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w:t>
            </w:r>
            <w:proofErr w:type="gramStart"/>
            <w:r>
              <w:rPr>
                <w:rFonts w:ascii="Verdana" w:hAnsi="Verdana"/>
                <w:b/>
                <w:sz w:val="20"/>
              </w:rPr>
              <w:t>10)(</w:t>
            </w:r>
            <w:proofErr w:type="gramEnd"/>
            <w:r>
              <w:rPr>
                <w:rFonts w:ascii="Verdana" w:hAnsi="Verdana"/>
                <w:b/>
                <w:sz w:val="20"/>
              </w:rPr>
              <w:t>Add.1)</w:t>
            </w:r>
            <w:r w:rsidR="00622560" w:rsidRPr="00622560">
              <w:rPr>
                <w:rFonts w:ascii="Verdana" w:hAnsi="Verdana"/>
                <w:b/>
                <w:sz w:val="20"/>
              </w:rPr>
              <w:t>-</w:t>
            </w:r>
            <w:r w:rsidRPr="000273B7">
              <w:rPr>
                <w:rFonts w:ascii="Verdana" w:hAnsi="Verdana"/>
                <w:b/>
                <w:sz w:val="20"/>
              </w:rPr>
              <w:t>C</w:t>
            </w:r>
          </w:p>
        </w:tc>
      </w:tr>
      <w:bookmarkEnd w:id="1"/>
      <w:bookmarkEnd w:id="4"/>
      <w:tr w:rsidR="008221A4" w:rsidRPr="00C324A8" w14:paraId="1FF54ABE" w14:textId="77777777" w:rsidTr="00B102C6">
        <w:trPr>
          <w:cantSplit/>
          <w:trHeight w:val="23"/>
        </w:trPr>
        <w:tc>
          <w:tcPr>
            <w:tcW w:w="6663" w:type="dxa"/>
          </w:tcPr>
          <w:p w14:paraId="6271E5B4" w14:textId="77777777" w:rsidR="008221A4" w:rsidRPr="00C324A8" w:rsidRDefault="008221A4" w:rsidP="00A466E6">
            <w:pPr>
              <w:spacing w:before="0"/>
              <w:rPr>
                <w:rFonts w:ascii="Verdana" w:hAnsi="Verdana"/>
                <w:b/>
                <w:smallCaps/>
                <w:sz w:val="20"/>
              </w:rPr>
            </w:pPr>
          </w:p>
        </w:tc>
        <w:tc>
          <w:tcPr>
            <w:tcW w:w="3368" w:type="dxa"/>
          </w:tcPr>
          <w:p w14:paraId="46860EDF"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8</w:t>
            </w:r>
            <w:r w:rsidRPr="000273B7">
              <w:rPr>
                <w:rFonts w:ascii="Verdana" w:hAnsi="Verdana"/>
                <w:b/>
                <w:bCs/>
                <w:sz w:val="20"/>
              </w:rPr>
              <w:t>日</w:t>
            </w:r>
          </w:p>
        </w:tc>
      </w:tr>
      <w:tr w:rsidR="008221A4" w:rsidRPr="00C324A8" w14:paraId="7988F643" w14:textId="77777777" w:rsidTr="00B102C6">
        <w:trPr>
          <w:cantSplit/>
          <w:trHeight w:val="23"/>
        </w:trPr>
        <w:tc>
          <w:tcPr>
            <w:tcW w:w="6663" w:type="dxa"/>
          </w:tcPr>
          <w:p w14:paraId="20412AAD" w14:textId="77777777" w:rsidR="008221A4" w:rsidRPr="00CB4E5A" w:rsidRDefault="008221A4" w:rsidP="00A466E6">
            <w:pPr>
              <w:spacing w:before="0"/>
              <w:rPr>
                <w:rFonts w:ascii="Verdana" w:hAnsi="Verdana"/>
                <w:b/>
                <w:bCs/>
                <w:sz w:val="20"/>
              </w:rPr>
            </w:pPr>
          </w:p>
        </w:tc>
        <w:tc>
          <w:tcPr>
            <w:tcW w:w="3368" w:type="dxa"/>
          </w:tcPr>
          <w:p w14:paraId="7F0EE58B"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6E85D7E2" w14:textId="77777777" w:rsidTr="00FE20CB">
        <w:trPr>
          <w:cantSplit/>
          <w:trHeight w:val="23"/>
        </w:trPr>
        <w:tc>
          <w:tcPr>
            <w:tcW w:w="10031" w:type="dxa"/>
            <w:gridSpan w:val="2"/>
          </w:tcPr>
          <w:p w14:paraId="165C506B" w14:textId="77777777" w:rsidR="008221A4" w:rsidRDefault="008221A4" w:rsidP="008221A4">
            <w:pPr>
              <w:spacing w:before="0" w:line="240" w:lineRule="atLeast"/>
              <w:rPr>
                <w:rFonts w:ascii="Verdana" w:hAnsi="Verdana"/>
                <w:b/>
                <w:bCs/>
                <w:sz w:val="20"/>
              </w:rPr>
            </w:pPr>
          </w:p>
        </w:tc>
      </w:tr>
      <w:tr w:rsidR="008221A4" w14:paraId="6E8266EA" w14:textId="77777777">
        <w:trPr>
          <w:cantSplit/>
        </w:trPr>
        <w:tc>
          <w:tcPr>
            <w:tcW w:w="10031" w:type="dxa"/>
            <w:gridSpan w:val="2"/>
          </w:tcPr>
          <w:p w14:paraId="1FB7F017" w14:textId="77777777" w:rsidR="008221A4" w:rsidRDefault="008221A4" w:rsidP="008221A4">
            <w:pPr>
              <w:pStyle w:val="Source"/>
            </w:pPr>
            <w:bookmarkStart w:id="5" w:name="dsource" w:colFirst="0" w:colLast="0"/>
            <w:proofErr w:type="spellStart"/>
            <w:r w:rsidRPr="000273B7">
              <w:t>欧洲共同提案</w:t>
            </w:r>
            <w:proofErr w:type="spellEnd"/>
          </w:p>
        </w:tc>
      </w:tr>
      <w:tr w:rsidR="00403C35" w14:paraId="52ED3A2F" w14:textId="77777777">
        <w:trPr>
          <w:cantSplit/>
        </w:trPr>
        <w:tc>
          <w:tcPr>
            <w:tcW w:w="10031" w:type="dxa"/>
            <w:gridSpan w:val="2"/>
          </w:tcPr>
          <w:p w14:paraId="2CD3C304" w14:textId="4FD04CDF" w:rsidR="00403C35" w:rsidRDefault="00403C35" w:rsidP="008221A4">
            <w:pPr>
              <w:pStyle w:val="Title1"/>
            </w:pPr>
            <w:bookmarkStart w:id="6" w:name="dtitle1" w:colFirst="0" w:colLast="0"/>
            <w:bookmarkEnd w:id="5"/>
            <w:r>
              <w:rPr>
                <w:rFonts w:hint="eastAsia"/>
                <w:lang w:eastAsia="zh-CN"/>
              </w:rPr>
              <w:t>有关</w:t>
            </w:r>
            <w:proofErr w:type="spellStart"/>
            <w:r w:rsidRPr="000273B7">
              <w:t>大会工作</w:t>
            </w:r>
            <w:proofErr w:type="spellEnd"/>
            <w:r>
              <w:rPr>
                <w:rFonts w:hint="eastAsia"/>
                <w:lang w:eastAsia="zh-CN"/>
              </w:rPr>
              <w:t>的</w:t>
            </w:r>
            <w:proofErr w:type="spellStart"/>
            <w:r w:rsidRPr="000273B7">
              <w:t>提案</w:t>
            </w:r>
            <w:proofErr w:type="spellEnd"/>
          </w:p>
        </w:tc>
      </w:tr>
      <w:tr w:rsidR="00403C35" w14:paraId="69CF5244" w14:textId="77777777">
        <w:trPr>
          <w:cantSplit/>
        </w:trPr>
        <w:tc>
          <w:tcPr>
            <w:tcW w:w="10031" w:type="dxa"/>
            <w:gridSpan w:val="2"/>
          </w:tcPr>
          <w:p w14:paraId="71DDECB8" w14:textId="77777777" w:rsidR="00403C35" w:rsidRDefault="00403C35" w:rsidP="008221A4">
            <w:pPr>
              <w:pStyle w:val="Title2"/>
            </w:pPr>
            <w:bookmarkStart w:id="7" w:name="dtitle2" w:colFirst="0" w:colLast="0"/>
            <w:bookmarkEnd w:id="6"/>
          </w:p>
        </w:tc>
      </w:tr>
      <w:tr w:rsidR="00403C35" w14:paraId="32C30256" w14:textId="77777777">
        <w:trPr>
          <w:cantSplit/>
        </w:trPr>
        <w:tc>
          <w:tcPr>
            <w:tcW w:w="10031" w:type="dxa"/>
            <w:gridSpan w:val="2"/>
          </w:tcPr>
          <w:p w14:paraId="5193EB9F" w14:textId="77777777" w:rsidR="00403C35" w:rsidRDefault="00403C35" w:rsidP="008221A4">
            <w:pPr>
              <w:pStyle w:val="Agendaitem"/>
            </w:pPr>
            <w:bookmarkStart w:id="8" w:name="dtitle3" w:colFirst="0" w:colLast="0"/>
            <w:bookmarkEnd w:id="7"/>
            <w:r w:rsidRPr="000273B7">
              <w:t>议项</w:t>
            </w:r>
            <w:r w:rsidRPr="000273B7">
              <w:t>1.10</w:t>
            </w:r>
          </w:p>
        </w:tc>
      </w:tr>
    </w:tbl>
    <w:bookmarkEnd w:id="8"/>
    <w:p w14:paraId="03A6E50E" w14:textId="77777777" w:rsidR="008B60D0" w:rsidRPr="00331A64" w:rsidRDefault="00260F09" w:rsidP="00A42A24">
      <w:pPr>
        <w:rPr>
          <w:lang w:eastAsia="zh-CN"/>
        </w:rPr>
      </w:pPr>
      <w:r w:rsidRPr="008E50BE">
        <w:rPr>
          <w:rFonts w:cstheme="majorBidi"/>
          <w:szCs w:val="24"/>
          <w:lang w:eastAsia="zh-CN"/>
        </w:rPr>
        <w:t>1.10</w:t>
      </w:r>
      <w:r w:rsidRPr="008E50BE">
        <w:rPr>
          <w:rFonts w:cstheme="majorBidi"/>
          <w:szCs w:val="24"/>
          <w:lang w:eastAsia="zh-CN"/>
        </w:rPr>
        <w:tab/>
      </w:r>
      <w:r w:rsidRPr="00BC6118">
        <w:rPr>
          <w:rFonts w:cstheme="majorBidi"/>
          <w:szCs w:val="24"/>
          <w:lang w:eastAsia="zh-CN"/>
        </w:rPr>
        <w:t>根据</w:t>
      </w:r>
      <w:r w:rsidRPr="00BC6118">
        <w:rPr>
          <w:rFonts w:hint="eastAsia"/>
          <w:spacing w:val="2"/>
          <w:szCs w:val="24"/>
          <w:lang w:val="en-US" w:eastAsia="zh-CN"/>
        </w:rPr>
        <w:t>第</w:t>
      </w:r>
      <w:r w:rsidRPr="00BC6118">
        <w:rPr>
          <w:rFonts w:eastAsia="Times New Roman"/>
          <w:b/>
          <w:bCs/>
          <w:spacing w:val="2"/>
          <w:szCs w:val="24"/>
          <w:lang w:val="en-US" w:eastAsia="zh-CN"/>
        </w:rPr>
        <w:t>426</w:t>
      </w:r>
      <w:r w:rsidRPr="004B2241">
        <w:rPr>
          <w:rFonts w:hint="eastAsia"/>
          <w:spacing w:val="2"/>
          <w:szCs w:val="24"/>
          <w:lang w:val="en-US" w:eastAsia="zh-CN"/>
        </w:rPr>
        <w:t>号决议</w:t>
      </w:r>
      <w:r w:rsidRPr="00BC6118">
        <w:rPr>
          <w:rFonts w:ascii="SimSun" w:hAnsi="SimSun" w:cs="SimSun" w:hint="eastAsia"/>
          <w:b/>
          <w:bCs/>
          <w:spacing w:val="2"/>
          <w:szCs w:val="24"/>
          <w:lang w:val="en-US" w:eastAsia="zh-CN"/>
        </w:rPr>
        <w:t>（</w:t>
      </w:r>
      <w:r w:rsidRPr="00BC6118">
        <w:rPr>
          <w:rFonts w:eastAsia="Times New Roman"/>
          <w:b/>
          <w:bCs/>
          <w:spacing w:val="2"/>
          <w:szCs w:val="24"/>
          <w:lang w:val="en-US" w:eastAsia="zh-CN"/>
        </w:rPr>
        <w:t>WRC-</w:t>
      </w:r>
      <w:r w:rsidRPr="00BC6118">
        <w:rPr>
          <w:rFonts w:eastAsia="Times New Roman"/>
          <w:b/>
          <w:bCs/>
          <w:szCs w:val="24"/>
          <w:lang w:val="en-US" w:eastAsia="zh-CN"/>
        </w:rPr>
        <w:t>15</w:t>
      </w:r>
      <w:r w:rsidRPr="00BC6118">
        <w:rPr>
          <w:rFonts w:ascii="SimSun" w:hAnsi="SimSun" w:cs="SimSun" w:hint="eastAsia"/>
          <w:b/>
          <w:bCs/>
          <w:szCs w:val="24"/>
          <w:lang w:val="en-US" w:eastAsia="zh-CN"/>
        </w:rPr>
        <w:t>）</w:t>
      </w:r>
      <w:r w:rsidRPr="00BC6118">
        <w:rPr>
          <w:rFonts w:cstheme="majorBidi"/>
          <w:szCs w:val="24"/>
          <w:lang w:eastAsia="zh-CN"/>
        </w:rPr>
        <w:t>，</w:t>
      </w:r>
      <w:r w:rsidRPr="008E50BE">
        <w:rPr>
          <w:rFonts w:cstheme="majorBidi"/>
          <w:szCs w:val="24"/>
          <w:lang w:eastAsia="zh-CN"/>
        </w:rPr>
        <w:t>考虑关于引入和使用</w:t>
      </w:r>
      <w:bookmarkStart w:id="9" w:name="_Hlk21683406"/>
      <w:r w:rsidRPr="008E50BE">
        <w:rPr>
          <w:rFonts w:cstheme="majorBidi"/>
          <w:szCs w:val="24"/>
          <w:lang w:eastAsia="zh-CN"/>
        </w:rPr>
        <w:t>全球航空遇险和安全系统（</w:t>
      </w:r>
      <w:r w:rsidRPr="008E50BE">
        <w:rPr>
          <w:rFonts w:cstheme="majorBidi"/>
          <w:szCs w:val="24"/>
          <w:lang w:eastAsia="zh-CN"/>
        </w:rPr>
        <w:t>GADSS</w:t>
      </w:r>
      <w:r w:rsidRPr="008E50BE">
        <w:rPr>
          <w:rFonts w:cstheme="majorBidi"/>
          <w:szCs w:val="24"/>
          <w:lang w:eastAsia="zh-CN"/>
        </w:rPr>
        <w:t>）</w:t>
      </w:r>
      <w:bookmarkEnd w:id="9"/>
      <w:r w:rsidRPr="008E50BE">
        <w:rPr>
          <w:rFonts w:cstheme="majorBidi"/>
          <w:szCs w:val="24"/>
          <w:lang w:eastAsia="zh-CN"/>
        </w:rPr>
        <w:t>的频谱需求和规则条款；</w:t>
      </w:r>
    </w:p>
    <w:p w14:paraId="42414C80" w14:textId="510AFAF4" w:rsidR="00B102C6" w:rsidRPr="00E1371D" w:rsidRDefault="002D68FB" w:rsidP="002E525D">
      <w:pPr>
        <w:pStyle w:val="Headingb"/>
        <w:rPr>
          <w:lang w:eastAsia="zh-CN"/>
        </w:rPr>
      </w:pPr>
      <w:r>
        <w:rPr>
          <w:rFonts w:hint="eastAsia"/>
          <w:lang w:eastAsia="zh-CN"/>
        </w:rPr>
        <w:t>引言</w:t>
      </w:r>
    </w:p>
    <w:p w14:paraId="5E20B220" w14:textId="43CEBFBF" w:rsidR="00B102C6" w:rsidRDefault="002D68FB" w:rsidP="002E525D">
      <w:pPr>
        <w:ind w:firstLineChars="200" w:firstLine="480"/>
        <w:rPr>
          <w:lang w:eastAsia="zh-CN"/>
        </w:rPr>
      </w:pPr>
      <w:r>
        <w:rPr>
          <w:rFonts w:hint="eastAsia"/>
          <w:lang w:val="en-CA" w:eastAsia="zh-CN"/>
        </w:rPr>
        <w:t>国际民航组织（</w:t>
      </w:r>
      <w:r>
        <w:rPr>
          <w:rFonts w:hint="eastAsia"/>
          <w:lang w:val="en-CA" w:eastAsia="zh-CN"/>
        </w:rPr>
        <w:t>ICAO</w:t>
      </w:r>
      <w:r>
        <w:rPr>
          <w:rFonts w:hint="eastAsia"/>
          <w:lang w:val="en-CA" w:eastAsia="zh-CN"/>
        </w:rPr>
        <w:t>）</w:t>
      </w:r>
      <w:r w:rsidR="00403C35">
        <w:rPr>
          <w:rFonts w:hint="eastAsia"/>
          <w:lang w:val="en-CA" w:eastAsia="zh-CN"/>
        </w:rPr>
        <w:t>为</w:t>
      </w:r>
      <w:r>
        <w:rPr>
          <w:rFonts w:hint="eastAsia"/>
          <w:lang w:val="zh-CN" w:eastAsia="zh-CN"/>
        </w:rPr>
        <w:t>支持</w:t>
      </w:r>
      <w:r w:rsidRPr="00C772ED">
        <w:rPr>
          <w:lang w:val="zh-CN" w:eastAsia="zh-CN"/>
        </w:rPr>
        <w:t>全球航空遇险和安全系统</w:t>
      </w:r>
      <w:r>
        <w:rPr>
          <w:rFonts w:asciiTheme="minorEastAsia" w:eastAsiaTheme="minorEastAsia" w:hAnsiTheme="minorEastAsia" w:hint="eastAsia"/>
          <w:color w:val="000000"/>
          <w:lang w:eastAsia="zh-CN"/>
        </w:rPr>
        <w:t>（</w:t>
      </w:r>
      <w:r w:rsidRPr="000E1FBA">
        <w:rPr>
          <w:lang w:val="en-US" w:eastAsia="zh-CN"/>
        </w:rPr>
        <w:t>GADSS</w:t>
      </w:r>
      <w:r>
        <w:rPr>
          <w:rFonts w:asciiTheme="minorEastAsia" w:eastAsiaTheme="minorEastAsia" w:hAnsiTheme="minorEastAsia" w:hint="eastAsia"/>
          <w:color w:val="000000"/>
          <w:lang w:eastAsia="zh-CN"/>
        </w:rPr>
        <w:t>）</w:t>
      </w:r>
      <w:r w:rsidR="00403C35">
        <w:rPr>
          <w:rFonts w:hint="eastAsia"/>
          <w:lang w:val="zh-CN" w:eastAsia="zh-CN"/>
        </w:rPr>
        <w:t>的</w:t>
      </w:r>
      <w:r w:rsidRPr="00C772ED">
        <w:rPr>
          <w:lang w:val="zh-CN" w:eastAsia="zh-CN"/>
        </w:rPr>
        <w:t>发展</w:t>
      </w:r>
      <w:r w:rsidR="00403C35" w:rsidRPr="00C772ED">
        <w:rPr>
          <w:lang w:val="zh-CN" w:eastAsia="zh-CN"/>
        </w:rPr>
        <w:t>制定</w:t>
      </w:r>
      <w:r w:rsidR="00403C35">
        <w:rPr>
          <w:rFonts w:hint="eastAsia"/>
          <w:lang w:eastAsia="zh-CN"/>
        </w:rPr>
        <w:t>了</w:t>
      </w:r>
      <w:r w:rsidR="002E525D">
        <w:rPr>
          <w:rFonts w:hint="eastAsia"/>
          <w:lang w:eastAsia="zh-CN"/>
        </w:rPr>
        <w:t>《运行概念》（</w:t>
      </w:r>
      <w:proofErr w:type="spellStart"/>
      <w:r w:rsidR="002E525D">
        <w:rPr>
          <w:lang w:eastAsia="zh-CN"/>
        </w:rPr>
        <w:t>ConOps</w:t>
      </w:r>
      <w:proofErr w:type="spellEnd"/>
      <w:r w:rsidR="002E525D">
        <w:rPr>
          <w:rFonts w:hint="eastAsia"/>
          <w:lang w:eastAsia="zh-CN"/>
        </w:rPr>
        <w:t>）</w:t>
      </w:r>
      <w:r>
        <w:rPr>
          <w:rFonts w:hint="eastAsia"/>
          <w:lang w:val="en-US" w:eastAsia="zh-CN"/>
        </w:rPr>
        <w:t>。</w:t>
      </w:r>
    </w:p>
    <w:p w14:paraId="275E577C" w14:textId="66EFE058" w:rsidR="00B102C6" w:rsidRDefault="00403C35" w:rsidP="002E525D">
      <w:pPr>
        <w:ind w:firstLineChars="200" w:firstLine="480"/>
        <w:rPr>
          <w:lang w:eastAsia="zh-CN"/>
        </w:rPr>
      </w:pPr>
      <w:r>
        <w:rPr>
          <w:rFonts w:hint="eastAsia"/>
          <w:lang w:eastAsia="zh-CN"/>
        </w:rPr>
        <w:t>这项增补的欧洲共同提案包含一项旨在完成已由欧洲邮电大会（</w:t>
      </w:r>
      <w:r>
        <w:rPr>
          <w:rFonts w:hint="eastAsia"/>
          <w:lang w:eastAsia="zh-CN"/>
        </w:rPr>
        <w:t>CEPT</w:t>
      </w:r>
      <w:r>
        <w:rPr>
          <w:rFonts w:hint="eastAsia"/>
          <w:lang w:eastAsia="zh-CN"/>
        </w:rPr>
        <w:t>）通过的规则规定的提案。</w:t>
      </w:r>
    </w:p>
    <w:p w14:paraId="1022034B"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4D346E64" w14:textId="5B67805D" w:rsidR="00DE7C6F" w:rsidRDefault="00DE7C6F" w:rsidP="00DE7C6F">
      <w:pPr>
        <w:pStyle w:val="Headingb"/>
        <w:rPr>
          <w:lang w:eastAsia="zh-CN"/>
        </w:rPr>
      </w:pPr>
      <w:bookmarkStart w:id="10" w:name="_Toc451865352"/>
      <w:r>
        <w:rPr>
          <w:rFonts w:hint="eastAsia"/>
          <w:lang w:eastAsia="zh-CN"/>
        </w:rPr>
        <w:lastRenderedPageBreak/>
        <w:t>提案</w:t>
      </w:r>
    </w:p>
    <w:p w14:paraId="29DE0B61" w14:textId="78D2E1FC" w:rsidR="00B102C6" w:rsidRPr="00F60B48" w:rsidRDefault="00403C35" w:rsidP="00B102C6">
      <w:pPr>
        <w:pStyle w:val="ArtNo"/>
        <w:rPr>
          <w:lang w:eastAsia="zh-CN"/>
        </w:rPr>
      </w:pPr>
      <w:r>
        <w:rPr>
          <w:rFonts w:hint="eastAsia"/>
          <w:lang w:eastAsia="zh-CN"/>
        </w:rPr>
        <w:t>第</w:t>
      </w:r>
      <w:r w:rsidR="00B102C6" w:rsidRPr="00F60B48">
        <w:rPr>
          <w:rStyle w:val="href"/>
          <w:lang w:eastAsia="zh-CN"/>
        </w:rPr>
        <w:t>30</w:t>
      </w:r>
      <w:bookmarkEnd w:id="10"/>
      <w:r>
        <w:rPr>
          <w:rStyle w:val="href"/>
          <w:rFonts w:hint="eastAsia"/>
          <w:lang w:eastAsia="zh-CN"/>
        </w:rPr>
        <w:t>条</w:t>
      </w:r>
    </w:p>
    <w:p w14:paraId="4667515E" w14:textId="18B16247" w:rsidR="00B102C6" w:rsidRPr="00F60B48" w:rsidRDefault="00403C35" w:rsidP="00B102C6">
      <w:pPr>
        <w:pStyle w:val="Arttitle"/>
        <w:rPr>
          <w:lang w:eastAsia="zh-CN"/>
        </w:rPr>
      </w:pPr>
      <w:r>
        <w:rPr>
          <w:rFonts w:hint="eastAsia"/>
          <w:lang w:eastAsia="zh-CN"/>
        </w:rPr>
        <w:t>一般性规定</w:t>
      </w:r>
    </w:p>
    <w:p w14:paraId="3318CB65" w14:textId="4332258F" w:rsidR="00B102C6" w:rsidRPr="00B102C6" w:rsidRDefault="00403C35" w:rsidP="00B102C6">
      <w:pPr>
        <w:pStyle w:val="Section1"/>
        <w:keepNext/>
        <w:tabs>
          <w:tab w:val="left" w:pos="1134"/>
          <w:tab w:val="left" w:pos="1871"/>
          <w:tab w:val="left" w:pos="2268"/>
        </w:tabs>
        <w:rPr>
          <w:lang w:val="en-US" w:eastAsia="zh-CN"/>
        </w:rPr>
      </w:pPr>
      <w:r>
        <w:rPr>
          <w:rFonts w:hint="eastAsia"/>
          <w:lang w:val="en-US" w:eastAsia="zh-CN"/>
        </w:rPr>
        <w:t>第</w:t>
      </w:r>
      <w:r w:rsidR="00B102C6" w:rsidRPr="00F60B48">
        <w:rPr>
          <w:lang w:val="en-US" w:eastAsia="zh-CN"/>
        </w:rPr>
        <w:t>I</w:t>
      </w:r>
      <w:r>
        <w:rPr>
          <w:rFonts w:hint="eastAsia"/>
          <w:lang w:val="en-US" w:eastAsia="zh-CN"/>
        </w:rPr>
        <w:t>节</w:t>
      </w:r>
      <w:r w:rsidR="00B102C6" w:rsidRPr="00F60B48">
        <w:rPr>
          <w:lang w:val="en-US" w:eastAsia="zh-CN"/>
        </w:rPr>
        <w:t xml:space="preserve"> − </w:t>
      </w:r>
      <w:r>
        <w:rPr>
          <w:rFonts w:hint="eastAsia"/>
          <w:lang w:val="en-US" w:eastAsia="zh-CN"/>
        </w:rPr>
        <w:t>引言</w:t>
      </w:r>
    </w:p>
    <w:p w14:paraId="03E5021B" w14:textId="0EA6E12A" w:rsidR="00276D7D" w:rsidRDefault="00260F09">
      <w:pPr>
        <w:pStyle w:val="Proposal"/>
      </w:pPr>
      <w:r>
        <w:t>ADD</w:t>
      </w:r>
      <w:r>
        <w:tab/>
        <w:t>EUR/16A10A1/1</w:t>
      </w:r>
    </w:p>
    <w:p w14:paraId="038E7F95" w14:textId="2A0E3D63" w:rsidR="00276D7D" w:rsidRDefault="00260F09" w:rsidP="00DE7C6F">
      <w:pPr>
        <w:pStyle w:val="Note"/>
        <w:rPr>
          <w:lang w:eastAsia="zh-CN"/>
        </w:rPr>
      </w:pPr>
      <w:r>
        <w:rPr>
          <w:rStyle w:val="Artdef"/>
          <w:lang w:eastAsia="zh-CN"/>
        </w:rPr>
        <w:t>30.1A</w:t>
      </w:r>
      <w:r>
        <w:rPr>
          <w:lang w:eastAsia="zh-CN"/>
        </w:rPr>
        <w:tab/>
      </w:r>
      <w:r w:rsidR="00B102C6">
        <w:rPr>
          <w:lang w:eastAsia="zh-CN"/>
        </w:rPr>
        <w:t>§1A</w:t>
      </w:r>
      <w:r w:rsidR="00B102C6">
        <w:rPr>
          <w:lang w:eastAsia="zh-CN"/>
        </w:rPr>
        <w:tab/>
      </w:r>
      <w:r w:rsidR="00403C35" w:rsidRPr="008E50BE">
        <w:rPr>
          <w:lang w:eastAsia="zh-CN"/>
        </w:rPr>
        <w:t>全球航空遇险和安全系统（</w:t>
      </w:r>
      <w:r w:rsidR="00403C35" w:rsidRPr="008E50BE">
        <w:rPr>
          <w:lang w:eastAsia="zh-CN"/>
        </w:rPr>
        <w:t>GADSS</w:t>
      </w:r>
      <w:r w:rsidR="00403C35" w:rsidRPr="008E50BE">
        <w:rPr>
          <w:lang w:eastAsia="zh-CN"/>
        </w:rPr>
        <w:t>）</w:t>
      </w:r>
      <w:r w:rsidR="00403C35">
        <w:rPr>
          <w:rFonts w:hint="eastAsia"/>
          <w:lang w:eastAsia="zh-CN"/>
        </w:rPr>
        <w:t>概念在《无线电规则》中没有确立优先地位，亦未对在相同无线电通信业务</w:t>
      </w:r>
      <w:r w:rsidR="000E4F62">
        <w:rPr>
          <w:rFonts w:hint="eastAsia"/>
          <w:lang w:eastAsia="zh-CN"/>
        </w:rPr>
        <w:t>或其他业务中操作的其他系统施加任何附加限制。有助于</w:t>
      </w:r>
      <w:r w:rsidR="000E4F62">
        <w:rPr>
          <w:rFonts w:hint="eastAsia"/>
          <w:lang w:eastAsia="zh-CN"/>
        </w:rPr>
        <w:t>GADSS</w:t>
      </w:r>
      <w:r w:rsidR="000E4F62">
        <w:rPr>
          <w:rFonts w:hint="eastAsia"/>
          <w:lang w:eastAsia="zh-CN"/>
        </w:rPr>
        <w:t>的系统尤其不得在这些规则或</w:t>
      </w:r>
      <w:r w:rsidR="000E4F62">
        <w:rPr>
          <w:rFonts w:hint="eastAsia"/>
          <w:lang w:eastAsia="zh-CN"/>
        </w:rPr>
        <w:t>ITU-R</w:t>
      </w:r>
      <w:r w:rsidR="000E4F62">
        <w:rPr>
          <w:rFonts w:hint="eastAsia"/>
          <w:lang w:eastAsia="zh-CN"/>
        </w:rPr>
        <w:t>建议书所含共用标准或按这些规则制定的特别协议以外要求更多的保护。</w:t>
      </w:r>
      <w:r w:rsidR="000E4F62">
        <w:rPr>
          <w:lang w:eastAsia="zh-CN"/>
        </w:rPr>
        <w:t xml:space="preserve"> </w:t>
      </w:r>
      <w:r w:rsidR="00B102C6">
        <w:rPr>
          <w:sz w:val="16"/>
          <w:szCs w:val="16"/>
          <w:lang w:eastAsia="zh-CN"/>
        </w:rPr>
        <w:t>     (WRC</w:t>
      </w:r>
      <w:r w:rsidR="00B102C6">
        <w:rPr>
          <w:sz w:val="16"/>
          <w:szCs w:val="16"/>
          <w:lang w:eastAsia="zh-CN"/>
        </w:rPr>
        <w:noBreakHyphen/>
        <w:t>19)</w:t>
      </w:r>
    </w:p>
    <w:p w14:paraId="33B5C536" w14:textId="2AAAD77A" w:rsidR="00B102C6" w:rsidRDefault="00260F09" w:rsidP="00B102C6">
      <w:pPr>
        <w:pStyle w:val="Reasons"/>
        <w:rPr>
          <w:lang w:eastAsia="zh-CN"/>
        </w:rPr>
      </w:pPr>
      <w:r>
        <w:rPr>
          <w:b/>
          <w:lang w:eastAsia="zh-CN"/>
        </w:rPr>
        <w:t>理由：</w:t>
      </w:r>
      <w:r>
        <w:rPr>
          <w:lang w:eastAsia="zh-CN"/>
        </w:rPr>
        <w:tab/>
      </w:r>
      <w:r w:rsidR="000E4F62" w:rsidRPr="008E50BE">
        <w:rPr>
          <w:rFonts w:cstheme="majorBidi"/>
          <w:szCs w:val="24"/>
          <w:lang w:eastAsia="zh-CN"/>
        </w:rPr>
        <w:t>全球航空遇险和安全系统（</w:t>
      </w:r>
      <w:r w:rsidR="000E4F62" w:rsidRPr="008E50BE">
        <w:rPr>
          <w:rFonts w:cstheme="majorBidi"/>
          <w:szCs w:val="24"/>
          <w:lang w:eastAsia="zh-CN"/>
        </w:rPr>
        <w:t>GADSS</w:t>
      </w:r>
      <w:r w:rsidR="000E4F62" w:rsidRPr="008E50BE">
        <w:rPr>
          <w:rFonts w:cstheme="majorBidi"/>
          <w:szCs w:val="24"/>
          <w:lang w:eastAsia="zh-CN"/>
        </w:rPr>
        <w:t>）</w:t>
      </w:r>
      <w:r w:rsidR="000E4F62">
        <w:rPr>
          <w:rFonts w:cstheme="majorBidi" w:hint="eastAsia"/>
          <w:szCs w:val="24"/>
          <w:lang w:eastAsia="zh-CN"/>
        </w:rPr>
        <w:t>是一个运行概念并提出了高层要求，而不是有助于遵守这些要求的装置</w:t>
      </w:r>
      <w:r w:rsidR="000E4F62">
        <w:rPr>
          <w:rFonts w:cstheme="majorBidi" w:hint="eastAsia"/>
          <w:szCs w:val="24"/>
          <w:lang w:eastAsia="zh-CN"/>
        </w:rPr>
        <w:t>/</w:t>
      </w:r>
      <w:r w:rsidR="000E4F62">
        <w:rPr>
          <w:rFonts w:cstheme="majorBidi" w:hint="eastAsia"/>
          <w:szCs w:val="24"/>
          <w:lang w:eastAsia="zh-CN"/>
        </w:rPr>
        <w:t>设备。</w:t>
      </w:r>
      <w:r w:rsidR="000E4F62" w:rsidRPr="00FF362B">
        <w:rPr>
          <w:lang w:eastAsia="zh-CN"/>
        </w:rPr>
        <w:t>GADSS</w:t>
      </w:r>
      <w:r w:rsidR="000E4F62">
        <w:rPr>
          <w:rFonts w:hint="eastAsia"/>
          <w:lang w:eastAsia="zh-CN"/>
        </w:rPr>
        <w:t>不包含任何</w:t>
      </w:r>
      <w:r w:rsidR="000E4F62">
        <w:rPr>
          <w:rFonts w:hint="eastAsia"/>
          <w:lang w:eastAsia="zh-CN"/>
        </w:rPr>
        <w:t>ITU-R</w:t>
      </w:r>
      <w:r w:rsidR="000E4F62">
        <w:rPr>
          <w:rFonts w:hint="eastAsia"/>
          <w:lang w:eastAsia="zh-CN"/>
        </w:rPr>
        <w:t>开展有关与相同业务或其他业务</w:t>
      </w:r>
      <w:r w:rsidR="006450A9">
        <w:rPr>
          <w:rFonts w:hint="eastAsia"/>
          <w:lang w:eastAsia="zh-CN"/>
        </w:rPr>
        <w:t>的兼容和共用研究所需要的技术特性</w:t>
      </w:r>
      <w:r w:rsidR="000E4F62">
        <w:rPr>
          <w:rFonts w:cstheme="majorBidi" w:hint="eastAsia"/>
          <w:szCs w:val="24"/>
          <w:lang w:eastAsia="zh-CN"/>
        </w:rPr>
        <w:t>。</w:t>
      </w:r>
      <w:r w:rsidR="006450A9">
        <w:rPr>
          <w:rFonts w:cstheme="majorBidi" w:hint="eastAsia"/>
          <w:szCs w:val="24"/>
          <w:lang w:eastAsia="zh-CN"/>
        </w:rPr>
        <w:t>补充条款旨在避免出现与</w:t>
      </w:r>
      <w:r w:rsidR="006450A9" w:rsidRPr="00FF362B">
        <w:rPr>
          <w:lang w:eastAsia="zh-CN"/>
        </w:rPr>
        <w:t>GADSS</w:t>
      </w:r>
      <w:r w:rsidR="006450A9">
        <w:rPr>
          <w:rFonts w:hint="eastAsia"/>
          <w:lang w:eastAsia="zh-CN"/>
        </w:rPr>
        <w:t>相关的特别安全状况。这些状况可能会对相同或邻近频段内划分的其他业务产生影响。</w:t>
      </w:r>
    </w:p>
    <w:p w14:paraId="5F5B68D4" w14:textId="77777777" w:rsidR="00B102C6" w:rsidRDefault="00B102C6" w:rsidP="00B102C6">
      <w:pPr>
        <w:jc w:val="center"/>
      </w:pPr>
      <w:r>
        <w:t>______________</w:t>
      </w:r>
    </w:p>
    <w:sectPr w:rsidR="00B102C6">
      <w:headerReference w:type="even" r:id="rId11"/>
      <w:headerReference w:type="default" r:id="rId12"/>
      <w:footerReference w:type="even" r:id="rId13"/>
      <w:footerReference w:type="default" r:id="rId14"/>
      <w:headerReference w:type="first" r:id="rId15"/>
      <w:footerReference w:type="first" r:id="rId1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70A5A" w14:textId="77777777" w:rsidR="00B6115E" w:rsidRDefault="00B6115E">
      <w:r>
        <w:separator/>
      </w:r>
    </w:p>
  </w:endnote>
  <w:endnote w:type="continuationSeparator" w:id="0">
    <w:p w14:paraId="1E64894C"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7788E" w14:textId="77777777" w:rsidR="00D35149" w:rsidRDefault="00D35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6E75A" w14:textId="7F76ACE8"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2A3BA0">
      <w:rPr>
        <w:lang w:val="en-US"/>
      </w:rPr>
      <w:t>P:\CHI\ITU-R\CONF-R\CMR19\000\016ADD10ADD01C.docx</w:t>
    </w:r>
    <w:r>
      <w:fldChar w:fldCharType="end"/>
    </w:r>
    <w:r w:rsidR="00C446B6">
      <w:rPr>
        <w:rFonts w:hint="eastAsia"/>
        <w:lang w:eastAsia="zh-CN"/>
      </w:rPr>
      <w:t>(</w:t>
    </w:r>
    <w:r w:rsidR="00B102C6">
      <w:rPr>
        <w:rFonts w:hint="eastAsia"/>
        <w:lang w:eastAsia="zh-CN"/>
      </w:rPr>
      <w:t>4</w:t>
    </w:r>
    <w:r w:rsidR="00B102C6">
      <w:rPr>
        <w:lang w:eastAsia="zh-CN"/>
      </w:rPr>
      <w:t>62012</w:t>
    </w:r>
    <w:r w:rsidR="00C446B6">
      <w:rPr>
        <w:rFonts w:hint="eastAsia"/>
        <w:lang w:eastAsia="zh-CN"/>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C37EC" w14:textId="1505E60A"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2A3BA0">
      <w:rPr>
        <w:lang w:val="en-US"/>
      </w:rPr>
      <w:t>P:\CHI\ITU-R\CONF-R\CMR19\000\016ADD10ADD01C.docx</w:t>
    </w:r>
    <w:r>
      <w:fldChar w:fldCharType="end"/>
    </w:r>
    <w:r w:rsidR="00C446B6">
      <w:rPr>
        <w:rFonts w:hint="eastAsia"/>
        <w:lang w:eastAsia="zh-CN"/>
      </w:rPr>
      <w:t>(</w:t>
    </w:r>
    <w:r w:rsidR="00C446B6">
      <w:rPr>
        <w:lang w:eastAsia="zh-CN"/>
      </w:rPr>
      <w:t>462012)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85D4B" w14:textId="77777777" w:rsidR="00B6115E" w:rsidRDefault="00B6115E">
      <w:r>
        <w:t>____________________</w:t>
      </w:r>
    </w:p>
  </w:footnote>
  <w:footnote w:type="continuationSeparator" w:id="0">
    <w:p w14:paraId="59043D59" w14:textId="77777777" w:rsidR="00B6115E" w:rsidRDefault="00B61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A2973" w14:textId="77777777" w:rsidR="00D35149" w:rsidRDefault="00D35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3DB0D"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474755CB"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w:t>
    </w:r>
    <w:proofErr w:type="gramStart"/>
    <w:r w:rsidR="00C929E0">
      <w:t>10)(</w:t>
    </w:r>
    <w:proofErr w:type="gramEnd"/>
    <w:r w:rsidR="00C929E0">
      <w:t>Add.1)-</w:t>
    </w:r>
    <w:r w:rsidR="00C929E0" w:rsidRPr="00C929E0">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3592B" w14:textId="77777777" w:rsidR="00D35149" w:rsidRDefault="00D351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C0212"/>
    <w:rsid w:val="000C09BA"/>
    <w:rsid w:val="000C1F1E"/>
    <w:rsid w:val="000C6AA7"/>
    <w:rsid w:val="000E26F6"/>
    <w:rsid w:val="000E4F62"/>
    <w:rsid w:val="00106535"/>
    <w:rsid w:val="00123C07"/>
    <w:rsid w:val="00166859"/>
    <w:rsid w:val="001765EC"/>
    <w:rsid w:val="001853E8"/>
    <w:rsid w:val="001A4E73"/>
    <w:rsid w:val="001B6360"/>
    <w:rsid w:val="001F4EA6"/>
    <w:rsid w:val="00214959"/>
    <w:rsid w:val="0022272C"/>
    <w:rsid w:val="002260A6"/>
    <w:rsid w:val="0023592E"/>
    <w:rsid w:val="00260F09"/>
    <w:rsid w:val="002742B3"/>
    <w:rsid w:val="00276D7D"/>
    <w:rsid w:val="002A3BA0"/>
    <w:rsid w:val="002A4C9C"/>
    <w:rsid w:val="002B509B"/>
    <w:rsid w:val="002D68FB"/>
    <w:rsid w:val="002E2A59"/>
    <w:rsid w:val="002E4507"/>
    <w:rsid w:val="002E525D"/>
    <w:rsid w:val="00305254"/>
    <w:rsid w:val="003169D2"/>
    <w:rsid w:val="00330EEF"/>
    <w:rsid w:val="003B4BEF"/>
    <w:rsid w:val="003B6399"/>
    <w:rsid w:val="003C6B45"/>
    <w:rsid w:val="003E48E2"/>
    <w:rsid w:val="003E5931"/>
    <w:rsid w:val="00403C35"/>
    <w:rsid w:val="0041282E"/>
    <w:rsid w:val="00437869"/>
    <w:rsid w:val="00465A34"/>
    <w:rsid w:val="004B2241"/>
    <w:rsid w:val="004B4C76"/>
    <w:rsid w:val="004C4554"/>
    <w:rsid w:val="004D2DEC"/>
    <w:rsid w:val="004F2BE6"/>
    <w:rsid w:val="00527E8A"/>
    <w:rsid w:val="00542E85"/>
    <w:rsid w:val="00562479"/>
    <w:rsid w:val="00576849"/>
    <w:rsid w:val="005A0ACB"/>
    <w:rsid w:val="005E08D2"/>
    <w:rsid w:val="005E7FD8"/>
    <w:rsid w:val="00622560"/>
    <w:rsid w:val="00644391"/>
    <w:rsid w:val="006450A9"/>
    <w:rsid w:val="00647712"/>
    <w:rsid w:val="00662E12"/>
    <w:rsid w:val="00691142"/>
    <w:rsid w:val="006B67CE"/>
    <w:rsid w:val="006C38ED"/>
    <w:rsid w:val="006E6182"/>
    <w:rsid w:val="006E6997"/>
    <w:rsid w:val="006F3C60"/>
    <w:rsid w:val="00736415"/>
    <w:rsid w:val="00770D2A"/>
    <w:rsid w:val="007864F6"/>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9525B"/>
    <w:rsid w:val="009C72B7"/>
    <w:rsid w:val="00A0052C"/>
    <w:rsid w:val="00A31B14"/>
    <w:rsid w:val="00A323DC"/>
    <w:rsid w:val="00A466E6"/>
    <w:rsid w:val="00A815BE"/>
    <w:rsid w:val="00A93295"/>
    <w:rsid w:val="00AA5DA1"/>
    <w:rsid w:val="00AC2C94"/>
    <w:rsid w:val="00AE369F"/>
    <w:rsid w:val="00B026CB"/>
    <w:rsid w:val="00B102C6"/>
    <w:rsid w:val="00B50377"/>
    <w:rsid w:val="00B6115E"/>
    <w:rsid w:val="00B711CC"/>
    <w:rsid w:val="00B851D4"/>
    <w:rsid w:val="00B868FC"/>
    <w:rsid w:val="00B95072"/>
    <w:rsid w:val="00BB26CD"/>
    <w:rsid w:val="00C07239"/>
    <w:rsid w:val="00C364B1"/>
    <w:rsid w:val="00C446B6"/>
    <w:rsid w:val="00C47D87"/>
    <w:rsid w:val="00C627F9"/>
    <w:rsid w:val="00C6584D"/>
    <w:rsid w:val="00C929E0"/>
    <w:rsid w:val="00CB4E5A"/>
    <w:rsid w:val="00CC73D7"/>
    <w:rsid w:val="00CF0AD7"/>
    <w:rsid w:val="00CF0BE1"/>
    <w:rsid w:val="00CF7C2B"/>
    <w:rsid w:val="00D35149"/>
    <w:rsid w:val="00D52A14"/>
    <w:rsid w:val="00D5451C"/>
    <w:rsid w:val="00D6206A"/>
    <w:rsid w:val="00D74599"/>
    <w:rsid w:val="00DA0469"/>
    <w:rsid w:val="00DD13B7"/>
    <w:rsid w:val="00DE7C6F"/>
    <w:rsid w:val="00DF3B0C"/>
    <w:rsid w:val="00E01A3C"/>
    <w:rsid w:val="00E14984"/>
    <w:rsid w:val="00E22A25"/>
    <w:rsid w:val="00E560F1"/>
    <w:rsid w:val="00E5611C"/>
    <w:rsid w:val="00E92319"/>
    <w:rsid w:val="00F51A9C"/>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C92EC"/>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link w:val="ArttitleCar"/>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B102C6"/>
  </w:style>
  <w:style w:type="character" w:customStyle="1" w:styleId="ArttitleCar">
    <w:name w:val="Art_title Car"/>
    <w:basedOn w:val="DefaultParagraphFont"/>
    <w:link w:val="Arttitle"/>
    <w:rsid w:val="00B102C6"/>
    <w:rPr>
      <w:rFonts w:ascii="Times New Roman" w:hAnsi="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221570d-ccd2-46b1-b424-a55f2b9c14c0">DPM</DPM_x0020_Author>
    <DPM_x0020_File_x0020_name xmlns="d221570d-ccd2-46b1-b424-a55f2b9c14c0">R16-WRC19-C-0016!A10-A1!MSW-C</DPM_x0020_File_x0020_name>
    <DPM_x0020_Version xmlns="d221570d-ccd2-46b1-b424-a55f2b9c14c0">DPM_2019.10.01.01</DPM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221570d-ccd2-46b1-b424-a55f2b9c14c0" targetNamespace="http://schemas.microsoft.com/office/2006/metadata/properties" ma:root="true" ma:fieldsID="d41af5c836d734370eb92e7ee5f83852" ns2:_="" ns3:_="">
    <xsd:import namespace="996b2e75-67fd-4955-a3b0-5ab9934cb50b"/>
    <xsd:import namespace="d221570d-ccd2-46b1-b424-a55f2b9c14c0"/>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221570d-ccd2-46b1-b424-a55f2b9c14c0"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996b2e75-67fd-4955-a3b0-5ab9934cb50b"/>
    <ds:schemaRef ds:uri="http://purl.org/dc/elements/1.1/"/>
    <ds:schemaRef ds:uri="http://schemas.microsoft.com/office/infopath/2007/PartnerControls"/>
    <ds:schemaRef ds:uri="http://schemas.openxmlformats.org/package/2006/metadata/core-properties"/>
    <ds:schemaRef ds:uri="d221570d-ccd2-46b1-b424-a55f2b9c14c0"/>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221570d-ccd2-46b1-b424-a55f2b9c1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479</Words>
  <Characters>614</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R16-WRC19-C-0016!A10-A1!MSW-C</vt:lpstr>
    </vt:vector>
  </TitlesOfParts>
  <Manager>General Secretariat - Pool</Manager>
  <Company>International Telecommunication Union (ITU)</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R16-WRC19-C-0016!A10-A1!MSW-C</dc:title>
  <dc:subject>World Radiocommunication Conference - 2019</dc:subject>
  <dc:creator>Documents Proposals Manager (DPM)</dc:creator>
  <cp:keywords>DPM_v2019.10.8.1_prod</cp:keywords>
  <dc:description/>
  <cp:lastModifiedBy>Yuan, Tianxiang</cp:lastModifiedBy>
  <cp:revision>7</cp:revision>
  <cp:lastPrinted>2019-10-20T09:25:00Z</cp:lastPrinted>
  <dcterms:created xsi:type="dcterms:W3CDTF">2019-10-11T09:41:00Z</dcterms:created>
  <dcterms:modified xsi:type="dcterms:W3CDTF">2019-10-20T09:25:00Z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