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E073C6" w14:paraId="4DFB2C80" w14:textId="77777777" w:rsidTr="0050008E">
        <w:trPr>
          <w:cantSplit/>
        </w:trPr>
        <w:tc>
          <w:tcPr>
            <w:tcW w:w="6911" w:type="dxa"/>
          </w:tcPr>
          <w:p w14:paraId="6E286871" w14:textId="77777777" w:rsidR="0090121B" w:rsidRPr="00E073C6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073C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E073C6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E073C6">
              <w:rPr>
                <w:rFonts w:ascii="Verdana" w:hAnsi="Verdana" w:cs="Times"/>
                <w:b/>
                <w:position w:val="6"/>
                <w:sz w:val="20"/>
              </w:rPr>
              <w:t>-1</w:t>
            </w:r>
            <w:r w:rsidR="00C44E9E" w:rsidRPr="00E073C6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E073C6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E073C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</w:t>
            </w:r>
            <w:proofErr w:type="spellStart"/>
            <w:r w:rsidR="006124AD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Sheikh</w:t>
            </w:r>
            <w:proofErr w:type="spellEnd"/>
            <w:r w:rsidR="006124AD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(Egipto)</w:t>
            </w:r>
            <w:r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E073C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1F3BA379" w14:textId="77777777" w:rsidR="0090121B" w:rsidRPr="00E073C6" w:rsidRDefault="00DA71A3" w:rsidP="00CE7431">
            <w:pPr>
              <w:spacing w:before="0" w:line="240" w:lineRule="atLeast"/>
              <w:jc w:val="right"/>
            </w:pPr>
            <w:r w:rsidRPr="00E073C6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7681ABDA" wp14:editId="67AAB604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073C6" w14:paraId="74DE488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7E718A5" w14:textId="77777777" w:rsidR="0090121B" w:rsidRPr="00E073C6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7A94C3B" w14:textId="77777777" w:rsidR="0090121B" w:rsidRPr="00E073C6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E073C6" w14:paraId="73D09110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E923041" w14:textId="77777777" w:rsidR="0090121B" w:rsidRPr="00E073C6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951D7CD" w14:textId="77777777" w:rsidR="0090121B" w:rsidRPr="00E073C6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073C6" w14:paraId="5E37E197" w14:textId="77777777" w:rsidTr="0090121B">
        <w:trPr>
          <w:cantSplit/>
        </w:trPr>
        <w:tc>
          <w:tcPr>
            <w:tcW w:w="6911" w:type="dxa"/>
          </w:tcPr>
          <w:p w14:paraId="2359F87E" w14:textId="77777777" w:rsidR="0090121B" w:rsidRPr="00E073C6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E073C6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4D9EBFFB" w14:textId="77777777" w:rsidR="0090121B" w:rsidRPr="00E073C6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073C6">
              <w:rPr>
                <w:rFonts w:ascii="Verdana" w:hAnsi="Verdana"/>
                <w:b/>
                <w:sz w:val="18"/>
                <w:szCs w:val="18"/>
              </w:rPr>
              <w:t>Addéndum</w:t>
            </w:r>
            <w:proofErr w:type="spellEnd"/>
            <w:r w:rsidRPr="00E073C6">
              <w:rPr>
                <w:rFonts w:ascii="Verdana" w:hAnsi="Verdana"/>
                <w:b/>
                <w:sz w:val="18"/>
                <w:szCs w:val="18"/>
              </w:rPr>
              <w:t xml:space="preserve"> 2 al</w:t>
            </w:r>
            <w:r w:rsidRPr="00E073C6">
              <w:rPr>
                <w:rFonts w:ascii="Verdana" w:hAnsi="Verdana"/>
                <w:b/>
                <w:sz w:val="18"/>
                <w:szCs w:val="18"/>
              </w:rPr>
              <w:br/>
              <w:t>Documento 12(</w:t>
            </w:r>
            <w:proofErr w:type="spellStart"/>
            <w:r w:rsidRPr="00E073C6">
              <w:rPr>
                <w:rFonts w:ascii="Verdana" w:hAnsi="Verdana"/>
                <w:b/>
                <w:sz w:val="18"/>
                <w:szCs w:val="18"/>
              </w:rPr>
              <w:t>Add.9</w:t>
            </w:r>
            <w:proofErr w:type="spellEnd"/>
            <w:r w:rsidRPr="00E073C6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90121B" w:rsidRPr="00E073C6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E073C6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E073C6" w14:paraId="17A6D233" w14:textId="77777777" w:rsidTr="0090121B">
        <w:trPr>
          <w:cantSplit/>
        </w:trPr>
        <w:tc>
          <w:tcPr>
            <w:tcW w:w="6911" w:type="dxa"/>
          </w:tcPr>
          <w:p w14:paraId="20D63CCB" w14:textId="77777777" w:rsidR="000A5B9A" w:rsidRPr="00E073C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5E6F08A" w14:textId="77777777" w:rsidR="000A5B9A" w:rsidRPr="00E073C6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073C6">
              <w:rPr>
                <w:rFonts w:ascii="Verdana" w:hAnsi="Verdana"/>
                <w:b/>
                <w:sz w:val="18"/>
                <w:szCs w:val="18"/>
              </w:rPr>
              <w:t>2 de octubre de 2019</w:t>
            </w:r>
          </w:p>
        </w:tc>
      </w:tr>
      <w:tr w:rsidR="000A5B9A" w:rsidRPr="00E073C6" w14:paraId="5CBA0281" w14:textId="77777777" w:rsidTr="0090121B">
        <w:trPr>
          <w:cantSplit/>
        </w:trPr>
        <w:tc>
          <w:tcPr>
            <w:tcW w:w="6911" w:type="dxa"/>
          </w:tcPr>
          <w:p w14:paraId="75DAAFDD" w14:textId="77777777" w:rsidR="000A5B9A" w:rsidRPr="00E073C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1999A1C" w14:textId="77777777" w:rsidR="000A5B9A" w:rsidRPr="00E073C6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073C6">
              <w:rPr>
                <w:rFonts w:ascii="Verdana" w:hAnsi="Verdana"/>
                <w:b/>
                <w:sz w:val="18"/>
                <w:szCs w:val="18"/>
              </w:rPr>
              <w:t>Original: ruso</w:t>
            </w:r>
          </w:p>
        </w:tc>
      </w:tr>
      <w:tr w:rsidR="000A5B9A" w:rsidRPr="00E073C6" w14:paraId="602305AB" w14:textId="77777777" w:rsidTr="006744FC">
        <w:trPr>
          <w:cantSplit/>
        </w:trPr>
        <w:tc>
          <w:tcPr>
            <w:tcW w:w="10031" w:type="dxa"/>
            <w:gridSpan w:val="2"/>
          </w:tcPr>
          <w:p w14:paraId="66FF0300" w14:textId="77777777" w:rsidR="000A5B9A" w:rsidRPr="00E073C6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E073C6" w14:paraId="40F25E49" w14:textId="77777777" w:rsidTr="0050008E">
        <w:trPr>
          <w:cantSplit/>
        </w:trPr>
        <w:tc>
          <w:tcPr>
            <w:tcW w:w="10031" w:type="dxa"/>
            <w:gridSpan w:val="2"/>
          </w:tcPr>
          <w:p w14:paraId="3A9D55D3" w14:textId="77777777" w:rsidR="000A5B9A" w:rsidRPr="00E073C6" w:rsidRDefault="000A5B9A" w:rsidP="000A5B9A">
            <w:pPr>
              <w:pStyle w:val="Source"/>
            </w:pPr>
            <w:bookmarkStart w:id="1" w:name="dsource" w:colFirst="0" w:colLast="0"/>
            <w:r w:rsidRPr="00E073C6">
              <w:t>Propuestas Comunes de la Comunidad Regional de Comunicaciones</w:t>
            </w:r>
          </w:p>
        </w:tc>
      </w:tr>
      <w:tr w:rsidR="000A5B9A" w:rsidRPr="00E073C6" w14:paraId="0CCB4FCF" w14:textId="77777777" w:rsidTr="0050008E">
        <w:trPr>
          <w:cantSplit/>
        </w:trPr>
        <w:tc>
          <w:tcPr>
            <w:tcW w:w="10031" w:type="dxa"/>
            <w:gridSpan w:val="2"/>
          </w:tcPr>
          <w:p w14:paraId="2D18002B" w14:textId="77777777" w:rsidR="000A5B9A" w:rsidRPr="00E073C6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E073C6">
              <w:t>Propuestas para los trabajos de la Conferencia</w:t>
            </w:r>
          </w:p>
        </w:tc>
      </w:tr>
      <w:tr w:rsidR="000A5B9A" w:rsidRPr="00E073C6" w14:paraId="0F26E82F" w14:textId="77777777" w:rsidTr="0050008E">
        <w:trPr>
          <w:cantSplit/>
        </w:trPr>
        <w:tc>
          <w:tcPr>
            <w:tcW w:w="10031" w:type="dxa"/>
            <w:gridSpan w:val="2"/>
          </w:tcPr>
          <w:p w14:paraId="6EC17809" w14:textId="77777777" w:rsidR="000A5B9A" w:rsidRPr="00E073C6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E073C6" w14:paraId="17DD0F4F" w14:textId="77777777" w:rsidTr="0050008E">
        <w:trPr>
          <w:cantSplit/>
        </w:trPr>
        <w:tc>
          <w:tcPr>
            <w:tcW w:w="10031" w:type="dxa"/>
            <w:gridSpan w:val="2"/>
          </w:tcPr>
          <w:p w14:paraId="62A610BD" w14:textId="77777777" w:rsidR="000A5B9A" w:rsidRPr="00E073C6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E073C6">
              <w:t>Punto 1.9.2 del orden del día</w:t>
            </w:r>
          </w:p>
        </w:tc>
      </w:tr>
    </w:tbl>
    <w:bookmarkEnd w:id="4"/>
    <w:p w14:paraId="16A10BB7" w14:textId="77777777" w:rsidR="001C0E40" w:rsidRPr="00E073C6" w:rsidRDefault="003818DE" w:rsidP="003A37B0">
      <w:r w:rsidRPr="00E073C6">
        <w:rPr>
          <w:lang w:eastAsia="zh-CN"/>
        </w:rPr>
        <w:t>1.9</w:t>
      </w:r>
      <w:r w:rsidRPr="00E073C6">
        <w:rPr>
          <w:lang w:eastAsia="zh-CN"/>
        </w:rPr>
        <w:tab/>
      </w:r>
      <w:r w:rsidRPr="00E073C6">
        <w:rPr>
          <w:lang w:eastAsia="nl-NL"/>
        </w:rPr>
        <w:t>considerar, basándose en los resultados de los estudios del UIT</w:t>
      </w:r>
      <w:r w:rsidRPr="00E073C6">
        <w:rPr>
          <w:lang w:eastAsia="nl-NL"/>
        </w:rPr>
        <w:noBreakHyphen/>
        <w:t>R:</w:t>
      </w:r>
    </w:p>
    <w:p w14:paraId="3B4B1FEE" w14:textId="77777777" w:rsidR="001C0E40" w:rsidRPr="00E073C6" w:rsidRDefault="003818DE" w:rsidP="003A37B0">
      <w:r w:rsidRPr="00E073C6">
        <w:t>1.9.2</w:t>
      </w:r>
      <w:r w:rsidRPr="00E073C6">
        <w:tab/>
      </w:r>
      <w:r w:rsidRPr="00E073C6">
        <w:rPr>
          <w:lang w:eastAsia="nl-NL"/>
        </w:rPr>
        <w:t>la posibilidad de modificar el Reglamento de Radiocomunicaciones, comprendidas las nuevas atribuciones de espectro al servicio móvil marítimo por satélite (Tierra-espacio y espacio-Tierra) preferentemente en las bandas de frecuencias 156,0125</w:t>
      </w:r>
      <w:r w:rsidRPr="00E073C6">
        <w:rPr>
          <w:lang w:eastAsia="nl-NL"/>
        </w:rPr>
        <w:noBreakHyphen/>
        <w:t>157,4375 MHz y 160,6125</w:t>
      </w:r>
      <w:r w:rsidRPr="00E073C6">
        <w:rPr>
          <w:lang w:eastAsia="nl-NL"/>
        </w:rPr>
        <w:noBreakHyphen/>
        <w:t>162,0375 MHz del Apéndice </w:t>
      </w:r>
      <w:r w:rsidRPr="00E073C6">
        <w:rPr>
          <w:b/>
          <w:bCs/>
          <w:lang w:eastAsia="nl-NL"/>
        </w:rPr>
        <w:t>18</w:t>
      </w:r>
      <w:r w:rsidRPr="00E073C6">
        <w:rPr>
          <w:lang w:eastAsia="nl-NL"/>
        </w:rPr>
        <w:t>, para permitir una nueva componente de satélite del sistema de intercambio de datos en ondas métricas (</w:t>
      </w:r>
      <w:proofErr w:type="spellStart"/>
      <w:r w:rsidRPr="00E073C6">
        <w:rPr>
          <w:lang w:eastAsia="nl-NL"/>
        </w:rPr>
        <w:t>VDES</w:t>
      </w:r>
      <w:proofErr w:type="spellEnd"/>
      <w:r w:rsidRPr="00E073C6">
        <w:rPr>
          <w:lang w:eastAsia="nl-NL"/>
        </w:rPr>
        <w:t xml:space="preserve">), garantizando además que esa componente no degrade las actuales componentes terrenales del </w:t>
      </w:r>
      <w:proofErr w:type="spellStart"/>
      <w:r w:rsidRPr="00E073C6">
        <w:rPr>
          <w:lang w:eastAsia="nl-NL"/>
        </w:rPr>
        <w:t>VDES</w:t>
      </w:r>
      <w:proofErr w:type="spellEnd"/>
      <w:r w:rsidRPr="00E073C6">
        <w:rPr>
          <w:lang w:eastAsia="nl-NL"/>
        </w:rPr>
        <w:t xml:space="preserve"> ni el funcionamiento del </w:t>
      </w:r>
      <w:proofErr w:type="spellStart"/>
      <w:r w:rsidRPr="00E073C6">
        <w:rPr>
          <w:lang w:eastAsia="nl-NL"/>
        </w:rPr>
        <w:t>SIA</w:t>
      </w:r>
      <w:proofErr w:type="spellEnd"/>
      <w:r w:rsidRPr="00E073C6">
        <w:rPr>
          <w:lang w:eastAsia="nl-NL"/>
        </w:rPr>
        <w:t xml:space="preserve"> y del ASM y no imponga ninguna limitación adicional a los servicios existentes en esas bandas de frecuencias y en las bandas de frecuencias adyacentes indicadas en los </w:t>
      </w:r>
      <w:r w:rsidRPr="00E073C6">
        <w:rPr>
          <w:i/>
          <w:iCs/>
          <w:lang w:eastAsia="nl-NL"/>
        </w:rPr>
        <w:t xml:space="preserve">reconociendo d) </w:t>
      </w:r>
      <w:r w:rsidRPr="00E073C6">
        <w:rPr>
          <w:lang w:eastAsia="nl-NL"/>
        </w:rPr>
        <w:t>y </w:t>
      </w:r>
      <w:r w:rsidRPr="00E073C6">
        <w:rPr>
          <w:i/>
          <w:iCs/>
          <w:lang w:eastAsia="nl-NL"/>
        </w:rPr>
        <w:t>e)</w:t>
      </w:r>
      <w:r w:rsidRPr="00E073C6">
        <w:rPr>
          <w:lang w:eastAsia="nl-NL"/>
        </w:rPr>
        <w:t xml:space="preserve"> de la Resolución </w:t>
      </w:r>
      <w:r w:rsidRPr="00E073C6">
        <w:rPr>
          <w:b/>
          <w:bCs/>
          <w:lang w:eastAsia="nl-NL"/>
        </w:rPr>
        <w:t>360 (</w:t>
      </w:r>
      <w:proofErr w:type="spellStart"/>
      <w:r w:rsidRPr="00E073C6">
        <w:rPr>
          <w:b/>
          <w:bCs/>
          <w:lang w:eastAsia="nl-NL"/>
        </w:rPr>
        <w:t>Rev.CMR</w:t>
      </w:r>
      <w:proofErr w:type="spellEnd"/>
      <w:r w:rsidRPr="00E073C6">
        <w:rPr>
          <w:b/>
          <w:bCs/>
          <w:lang w:eastAsia="nl-NL"/>
        </w:rPr>
        <w:t>-15</w:t>
      </w:r>
      <w:r w:rsidRPr="00E073C6">
        <w:rPr>
          <w:lang w:eastAsia="nl-NL"/>
        </w:rPr>
        <w:t>);</w:t>
      </w:r>
    </w:p>
    <w:p w14:paraId="1E7755D3" w14:textId="205835CD" w:rsidR="005243A2" w:rsidRPr="00E073C6" w:rsidRDefault="005243A2" w:rsidP="00660C28">
      <w:pPr>
        <w:pStyle w:val="Headingb"/>
      </w:pPr>
      <w:r w:rsidRPr="00E073C6">
        <w:t>Introduc</w:t>
      </w:r>
      <w:r w:rsidR="00CE309A" w:rsidRPr="00E073C6">
        <w:t>ción</w:t>
      </w:r>
    </w:p>
    <w:p w14:paraId="63244CD4" w14:textId="5D19E56B" w:rsidR="005243A2" w:rsidRPr="00E073C6" w:rsidRDefault="00CE309A" w:rsidP="00660C28">
      <w:r w:rsidRPr="00E073C6">
        <w:t>Las Administraciones de la CRC se oponen a que se otorguen nuevas atribuciones al servicio móvil marítimo por satélite (</w:t>
      </w:r>
      <w:proofErr w:type="spellStart"/>
      <w:r w:rsidRPr="00E073C6">
        <w:t>SMMS</w:t>
      </w:r>
      <w:proofErr w:type="spellEnd"/>
      <w:r w:rsidRPr="00E073C6">
        <w:t xml:space="preserve">) para la componente de satélite </w:t>
      </w:r>
      <w:proofErr w:type="spellStart"/>
      <w:r w:rsidR="005243A2" w:rsidRPr="00E073C6">
        <w:t>VDES</w:t>
      </w:r>
      <w:proofErr w:type="spellEnd"/>
      <w:r w:rsidR="005243A2" w:rsidRPr="00E073C6">
        <w:t xml:space="preserve"> </w:t>
      </w:r>
      <w:r w:rsidRPr="00E073C6">
        <w:t>en la gama de frecuencias</w:t>
      </w:r>
      <w:r w:rsidR="005243A2" w:rsidRPr="00E073C6">
        <w:t xml:space="preserve"> 156</w:t>
      </w:r>
      <w:r w:rsidR="00EF4817">
        <w:noBreakHyphen/>
      </w:r>
      <w:r w:rsidR="005243A2" w:rsidRPr="00E073C6">
        <w:t xml:space="preserve">162 MHz, </w:t>
      </w:r>
      <w:r w:rsidRPr="00E073C6">
        <w:t>pues los estudios realizados sobre la base de las Recomendaciones UIT-R demuestran que, en la zona de servicio general, las estaciones espaciales</w:t>
      </w:r>
      <w:r w:rsidR="005243A2" w:rsidRPr="00E073C6">
        <w:t xml:space="preserve"> </w:t>
      </w:r>
      <w:proofErr w:type="spellStart"/>
      <w:r w:rsidR="005243A2" w:rsidRPr="00E073C6">
        <w:t>VDES</w:t>
      </w:r>
      <w:proofErr w:type="spellEnd"/>
      <w:r w:rsidR="005243A2" w:rsidRPr="00E073C6">
        <w:t xml:space="preserve"> </w:t>
      </w:r>
      <w:r w:rsidRPr="00E073C6">
        <w:t xml:space="preserve">no son compatibles con las estaciones de los servicios fijo y móvil con atribuciones primarias. Además, no se han realizado estudios del UIT-R ni se han propuesto medidas reglamentarias que garanticen la compatibilidad de la componente de satélite </w:t>
      </w:r>
      <w:proofErr w:type="spellStart"/>
      <w:r w:rsidRPr="00E073C6">
        <w:t>VDES</w:t>
      </w:r>
      <w:proofErr w:type="spellEnd"/>
      <w:r w:rsidRPr="00E073C6">
        <w:t xml:space="preserve"> de una administración con las componentes terrenales </w:t>
      </w:r>
      <w:proofErr w:type="spellStart"/>
      <w:r w:rsidRPr="00E073C6">
        <w:t>VDES</w:t>
      </w:r>
      <w:proofErr w:type="spellEnd"/>
      <w:r w:rsidRPr="00E073C6">
        <w:t xml:space="preserve">, ni el funcionamiento del MEA y el </w:t>
      </w:r>
      <w:proofErr w:type="spellStart"/>
      <w:r w:rsidRPr="00E073C6">
        <w:t>SIA</w:t>
      </w:r>
      <w:proofErr w:type="spellEnd"/>
      <w:r w:rsidRPr="00E073C6">
        <w:t>, de otra administración, como exige la Resolución</w:t>
      </w:r>
      <w:r w:rsidR="005243A2" w:rsidRPr="00E073C6">
        <w:t xml:space="preserve"> </w:t>
      </w:r>
      <w:r w:rsidR="005243A2" w:rsidRPr="00E073C6">
        <w:rPr>
          <w:b/>
          <w:bCs/>
        </w:rPr>
        <w:t xml:space="preserve">360 </w:t>
      </w:r>
      <w:r w:rsidR="005243A2" w:rsidRPr="00E073C6">
        <w:t>(</w:t>
      </w:r>
      <w:proofErr w:type="spellStart"/>
      <w:r w:rsidR="005243A2" w:rsidRPr="00E073C6">
        <w:rPr>
          <w:b/>
          <w:bCs/>
        </w:rPr>
        <w:t>Rev.</w:t>
      </w:r>
      <w:r w:rsidRPr="00E073C6">
        <w:rPr>
          <w:b/>
          <w:bCs/>
        </w:rPr>
        <w:t>CMR</w:t>
      </w:r>
      <w:proofErr w:type="spellEnd"/>
      <w:r w:rsidR="005243A2" w:rsidRPr="00E073C6">
        <w:rPr>
          <w:b/>
          <w:bCs/>
        </w:rPr>
        <w:t>-15</w:t>
      </w:r>
      <w:r w:rsidR="005243A2" w:rsidRPr="00E073C6">
        <w:t>).</w:t>
      </w:r>
    </w:p>
    <w:p w14:paraId="02A43E4E" w14:textId="47A4D82E" w:rsidR="005243A2" w:rsidRPr="00E073C6" w:rsidRDefault="00CE309A" w:rsidP="00660C28">
      <w:r w:rsidRPr="00E073C6">
        <w:t xml:space="preserve">Por consiguiente, las Administraciones de la CRC consideran que para responder al punto 1.9.2 del orden del día de la </w:t>
      </w:r>
      <w:proofErr w:type="spellStart"/>
      <w:r w:rsidRPr="00E073C6">
        <w:t>CMR</w:t>
      </w:r>
      <w:proofErr w:type="spellEnd"/>
      <w:r w:rsidRPr="00E073C6">
        <w:t>-19 se ha de utilizar el Método A del Informe de la RPC (ningún cambio del Reglamento de Radiocomunicaciones)</w:t>
      </w:r>
      <w:r w:rsidR="005243A2" w:rsidRPr="00E073C6">
        <w:t>.</w:t>
      </w:r>
    </w:p>
    <w:p w14:paraId="71F6EF47" w14:textId="3E230627" w:rsidR="005243A2" w:rsidRPr="00E073C6" w:rsidRDefault="005243A2" w:rsidP="00660C28">
      <w:pPr>
        <w:pStyle w:val="Headingb"/>
      </w:pPr>
      <w:r w:rsidRPr="00E073C6">
        <w:t>Prop</w:t>
      </w:r>
      <w:r w:rsidR="00CE309A" w:rsidRPr="00E073C6">
        <w:t>uesta</w:t>
      </w:r>
    </w:p>
    <w:p w14:paraId="4C14CCFE" w14:textId="125A6793" w:rsidR="00363A65" w:rsidRPr="00E073C6" w:rsidRDefault="005243A2" w:rsidP="00660C28">
      <w:r w:rsidRPr="00E073C6">
        <w:t>Para res</w:t>
      </w:r>
      <w:r w:rsidR="00CE309A" w:rsidRPr="00E073C6">
        <w:t>ponder al</w:t>
      </w:r>
      <w:r w:rsidRPr="00E073C6">
        <w:t xml:space="preserve"> punto 1.</w:t>
      </w:r>
      <w:r w:rsidR="00CE309A" w:rsidRPr="00E073C6">
        <w:t>9.2</w:t>
      </w:r>
      <w:r w:rsidRPr="00E073C6">
        <w:t xml:space="preserve"> del orden del día de la </w:t>
      </w:r>
      <w:proofErr w:type="spellStart"/>
      <w:r w:rsidRPr="00E073C6">
        <w:t>CMR</w:t>
      </w:r>
      <w:proofErr w:type="spellEnd"/>
      <w:r w:rsidRPr="00E073C6">
        <w:t>-19, se propone utilizar el texto reglamentario que se adjunta en el Anexo al presente documento.</w:t>
      </w:r>
    </w:p>
    <w:p w14:paraId="55091CD1" w14:textId="77777777" w:rsidR="008750A8" w:rsidRPr="00E073C6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073C6">
        <w:br w:type="page"/>
      </w:r>
    </w:p>
    <w:p w14:paraId="59A35105" w14:textId="77777777" w:rsidR="006537F1" w:rsidRPr="00E073C6" w:rsidRDefault="003818DE" w:rsidP="00BE468A">
      <w:pPr>
        <w:pStyle w:val="ArtNo"/>
        <w:spacing w:before="0"/>
      </w:pPr>
      <w:r w:rsidRPr="00E073C6">
        <w:lastRenderedPageBreak/>
        <w:t xml:space="preserve">ARTÍCULO </w:t>
      </w:r>
      <w:r w:rsidRPr="00E073C6">
        <w:rPr>
          <w:rStyle w:val="href"/>
        </w:rPr>
        <w:t>5</w:t>
      </w:r>
    </w:p>
    <w:p w14:paraId="69681783" w14:textId="77777777" w:rsidR="006537F1" w:rsidRPr="00E073C6" w:rsidRDefault="003818DE" w:rsidP="006537F1">
      <w:pPr>
        <w:pStyle w:val="Arttitle"/>
      </w:pPr>
      <w:r w:rsidRPr="00E073C6">
        <w:t>Atribuciones de frecuencia</w:t>
      </w:r>
    </w:p>
    <w:p w14:paraId="595AEF9B" w14:textId="77777777" w:rsidR="006537F1" w:rsidRPr="00E073C6" w:rsidRDefault="003818DE" w:rsidP="006537F1">
      <w:pPr>
        <w:pStyle w:val="Section1"/>
      </w:pPr>
      <w:r w:rsidRPr="00E073C6">
        <w:t>Sección IV – Cuadro de atribución de bandas de frecuencias</w:t>
      </w:r>
      <w:r w:rsidRPr="00E073C6">
        <w:br/>
      </w:r>
      <w:r w:rsidRPr="00E073C6">
        <w:rPr>
          <w:b w:val="0"/>
          <w:bCs/>
        </w:rPr>
        <w:t>(Véase el número</w:t>
      </w:r>
      <w:r w:rsidRPr="00E073C6">
        <w:t xml:space="preserve"> </w:t>
      </w:r>
      <w:r w:rsidRPr="00E073C6">
        <w:rPr>
          <w:rStyle w:val="Artref"/>
        </w:rPr>
        <w:t>2.1</w:t>
      </w:r>
      <w:r w:rsidRPr="00E073C6">
        <w:rPr>
          <w:b w:val="0"/>
          <w:bCs/>
        </w:rPr>
        <w:t>)</w:t>
      </w:r>
      <w:r w:rsidRPr="00E073C6">
        <w:br/>
      </w:r>
    </w:p>
    <w:p w14:paraId="10A6E02F" w14:textId="77777777" w:rsidR="003A45A6" w:rsidRPr="00E073C6" w:rsidRDefault="003818DE">
      <w:pPr>
        <w:pStyle w:val="Proposal"/>
      </w:pPr>
      <w:proofErr w:type="spellStart"/>
      <w:r w:rsidRPr="00E073C6">
        <w:rPr>
          <w:u w:val="single"/>
        </w:rPr>
        <w:t>NOC</w:t>
      </w:r>
      <w:proofErr w:type="spellEnd"/>
      <w:r w:rsidRPr="00E073C6">
        <w:tab/>
      </w:r>
      <w:proofErr w:type="spellStart"/>
      <w:r w:rsidRPr="00E073C6">
        <w:t>RCC</w:t>
      </w:r>
      <w:proofErr w:type="spellEnd"/>
      <w:r w:rsidRPr="00E073C6">
        <w:t>/</w:t>
      </w:r>
      <w:proofErr w:type="spellStart"/>
      <w:r w:rsidRPr="00E073C6">
        <w:t>12A9A2</w:t>
      </w:r>
      <w:proofErr w:type="spellEnd"/>
      <w:r w:rsidRPr="00E073C6">
        <w:t>/1</w:t>
      </w:r>
      <w:r w:rsidRPr="00E073C6">
        <w:rPr>
          <w:vanish/>
          <w:color w:val="7F7F7F" w:themeColor="text1" w:themeTint="80"/>
          <w:vertAlign w:val="superscript"/>
        </w:rPr>
        <w:t>#50293</w:t>
      </w:r>
    </w:p>
    <w:p w14:paraId="6CF31A80" w14:textId="77777777" w:rsidR="00B571EC" w:rsidRPr="00E073C6" w:rsidRDefault="003818DE" w:rsidP="004F2D3F">
      <w:pPr>
        <w:pStyle w:val="Tabletitle"/>
      </w:pPr>
      <w:r w:rsidRPr="00E073C6">
        <w:t>148-161,9375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75"/>
        <w:gridCol w:w="3119"/>
        <w:gridCol w:w="3111"/>
      </w:tblGrid>
      <w:tr w:rsidR="00B571EC" w:rsidRPr="00E073C6" w14:paraId="279E4C7D" w14:textId="77777777" w:rsidTr="004F2D3F">
        <w:trPr>
          <w:cantSplit/>
        </w:trPr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9FE1" w14:textId="77777777" w:rsidR="00B571EC" w:rsidRPr="00E073C6" w:rsidRDefault="003818DE" w:rsidP="004F2D3F">
            <w:pPr>
              <w:pStyle w:val="Tablehead"/>
            </w:pPr>
            <w:r w:rsidRPr="00E073C6">
              <w:t>Atribución a los servicios</w:t>
            </w:r>
          </w:p>
        </w:tc>
      </w:tr>
      <w:tr w:rsidR="00B571EC" w:rsidRPr="00E073C6" w14:paraId="1D46EB8C" w14:textId="77777777" w:rsidTr="004F2D3F">
        <w:trPr>
          <w:cantSplit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1167" w14:textId="77777777" w:rsidR="00B571EC" w:rsidRPr="00E073C6" w:rsidRDefault="003818DE" w:rsidP="004F2D3F">
            <w:pPr>
              <w:pStyle w:val="Tablehead"/>
            </w:pPr>
            <w:r w:rsidRPr="00E073C6">
              <w:t>Región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CE3" w14:textId="77777777" w:rsidR="00B571EC" w:rsidRPr="00E073C6" w:rsidRDefault="003818DE" w:rsidP="004F2D3F">
            <w:pPr>
              <w:pStyle w:val="Tablehead"/>
            </w:pPr>
            <w:r w:rsidRPr="00E073C6">
              <w:t>Región 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ACAC" w14:textId="77777777" w:rsidR="00B571EC" w:rsidRPr="00E073C6" w:rsidRDefault="003818DE" w:rsidP="004F2D3F">
            <w:pPr>
              <w:pStyle w:val="Tablehead"/>
            </w:pPr>
            <w:r w:rsidRPr="00E073C6">
              <w:t>Región 3</w:t>
            </w:r>
          </w:p>
        </w:tc>
      </w:tr>
      <w:tr w:rsidR="00B571EC" w:rsidRPr="00E073C6" w14:paraId="46266046" w14:textId="77777777" w:rsidTr="004F2D3F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C72204" w14:textId="77777777" w:rsidR="00B571EC" w:rsidRPr="00E073C6" w:rsidRDefault="003818DE" w:rsidP="004F2D3F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1701"/>
                <w:tab w:val="left" w:pos="2835"/>
                <w:tab w:val="left" w:pos="2977"/>
                <w:tab w:val="left" w:pos="3266"/>
              </w:tabs>
              <w:spacing w:before="20" w:after="20"/>
              <w:ind w:left="1134" w:hanging="1134"/>
              <w:outlineLvl w:val="0"/>
              <w:rPr>
                <w:rStyle w:val="Tablefreq"/>
              </w:rPr>
            </w:pPr>
            <w:r w:rsidRPr="00E073C6">
              <w:rPr>
                <w:rStyle w:val="Tablefreq"/>
              </w:rPr>
              <w:t>156,8375-161,9375</w:t>
            </w:r>
          </w:p>
          <w:p w14:paraId="2670CA39" w14:textId="77777777" w:rsidR="00B571EC" w:rsidRPr="00E073C6" w:rsidRDefault="003818DE" w:rsidP="004F2D3F">
            <w:pPr>
              <w:pStyle w:val="TableTextS5"/>
            </w:pPr>
            <w:r w:rsidRPr="00E073C6">
              <w:t>FIJO</w:t>
            </w:r>
          </w:p>
          <w:p w14:paraId="500AAD38" w14:textId="77777777" w:rsidR="00B571EC" w:rsidRPr="00E073C6" w:rsidRDefault="003818DE" w:rsidP="004F2D3F">
            <w:pPr>
              <w:pStyle w:val="TableTextS5"/>
            </w:pPr>
            <w:r w:rsidRPr="00E073C6">
              <w:t>MÓVIL salvo móvil aeronáutico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4263E" w14:textId="77777777" w:rsidR="00B571EC" w:rsidRPr="00E073C6" w:rsidRDefault="003818DE" w:rsidP="004F2D3F">
            <w:pPr>
              <w:keepNext/>
              <w:keepLines/>
              <w:tabs>
                <w:tab w:val="left" w:pos="567"/>
              </w:tabs>
              <w:spacing w:before="20" w:after="20"/>
              <w:ind w:left="1134" w:hanging="1134"/>
              <w:outlineLvl w:val="0"/>
              <w:rPr>
                <w:rStyle w:val="Tablefreq"/>
              </w:rPr>
            </w:pPr>
            <w:r w:rsidRPr="00E073C6">
              <w:rPr>
                <w:rStyle w:val="Tablefreq"/>
              </w:rPr>
              <w:t>156,8375-161,9375</w:t>
            </w:r>
          </w:p>
          <w:p w14:paraId="685BFDC0" w14:textId="77777777" w:rsidR="00B571EC" w:rsidRPr="00E073C6" w:rsidRDefault="003818DE" w:rsidP="004F2D3F">
            <w:pPr>
              <w:pStyle w:val="TableTextS5"/>
            </w:pPr>
            <w:r w:rsidRPr="00E073C6">
              <w:tab/>
            </w:r>
            <w:r w:rsidRPr="00E073C6">
              <w:tab/>
              <w:t>FIJO</w:t>
            </w:r>
          </w:p>
          <w:p w14:paraId="2C2297CD" w14:textId="77777777" w:rsidR="00B571EC" w:rsidRPr="00E073C6" w:rsidRDefault="003818DE" w:rsidP="004F2D3F">
            <w:pPr>
              <w:pStyle w:val="TableTextS5"/>
              <w:rPr>
                <w:color w:val="000000"/>
              </w:rPr>
            </w:pPr>
            <w:r w:rsidRPr="00E073C6">
              <w:tab/>
            </w:r>
            <w:r w:rsidRPr="00E073C6">
              <w:tab/>
              <w:t>MÓVIL</w:t>
            </w:r>
          </w:p>
        </w:tc>
      </w:tr>
      <w:tr w:rsidR="00B571EC" w:rsidRPr="00E073C6" w14:paraId="55655AE1" w14:textId="77777777" w:rsidTr="004F2D3F">
        <w:trPr>
          <w:trHeight w:val="15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3E3D" w14:textId="77777777" w:rsidR="00B571EC" w:rsidRPr="00E073C6" w:rsidRDefault="003818DE" w:rsidP="004F2D3F">
            <w:pPr>
              <w:pStyle w:val="TableTextS5"/>
              <w:keepNext/>
              <w:keepLines/>
              <w:spacing w:before="20" w:after="20"/>
              <w:rPr>
                <w:rStyle w:val="Artref"/>
              </w:rPr>
            </w:pPr>
            <w:r w:rsidRPr="00E073C6">
              <w:rPr>
                <w:rStyle w:val="Artref"/>
              </w:rPr>
              <w:t>5.226</w:t>
            </w:r>
          </w:p>
        </w:tc>
        <w:tc>
          <w:tcPr>
            <w:tcW w:w="6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77B5" w14:textId="77777777" w:rsidR="00B571EC" w:rsidRPr="00E073C6" w:rsidRDefault="003818DE" w:rsidP="004F2D3F">
            <w:pPr>
              <w:pStyle w:val="TableTextS5"/>
              <w:keepNext/>
              <w:keepLines/>
              <w:spacing w:before="20" w:after="20"/>
              <w:rPr>
                <w:b/>
                <w:color w:val="000000"/>
              </w:rPr>
            </w:pPr>
            <w:r w:rsidRPr="00E073C6">
              <w:rPr>
                <w:rStyle w:val="Artref"/>
              </w:rPr>
              <w:tab/>
            </w:r>
            <w:r w:rsidRPr="00E073C6">
              <w:rPr>
                <w:rStyle w:val="Artref"/>
              </w:rPr>
              <w:tab/>
              <w:t>5.226</w:t>
            </w:r>
          </w:p>
        </w:tc>
      </w:tr>
    </w:tbl>
    <w:p w14:paraId="2C5C5AF5" w14:textId="77777777" w:rsidR="003A45A6" w:rsidRPr="00E073C6" w:rsidRDefault="003A45A6"/>
    <w:p w14:paraId="6B41C141" w14:textId="77777777" w:rsidR="004E0EBB" w:rsidRDefault="003818DE" w:rsidP="00F36628">
      <w:r w:rsidRPr="00E073C6">
        <w:rPr>
          <w:b/>
        </w:rPr>
        <w:t>Motivos:</w:t>
      </w:r>
      <w:r w:rsidRPr="00E073C6">
        <w:tab/>
      </w:r>
      <w:r w:rsidR="00CE309A" w:rsidRPr="00E073C6">
        <w:t xml:space="preserve">Los estudios realizados demuestran que, cuando funciona con estaciones costeras, la componente de satélite </w:t>
      </w:r>
      <w:proofErr w:type="spellStart"/>
      <w:r w:rsidR="00CE309A" w:rsidRPr="00E073C6">
        <w:t>VDE</w:t>
      </w:r>
      <w:proofErr w:type="spellEnd"/>
      <w:r w:rsidR="00CE309A" w:rsidRPr="00E073C6">
        <w:t xml:space="preserve"> con las características descritas en la Recomendación UIT</w:t>
      </w:r>
      <w:r w:rsidR="009730DB" w:rsidRPr="00E073C6">
        <w:t xml:space="preserve">-R </w:t>
      </w:r>
      <w:proofErr w:type="spellStart"/>
      <w:r w:rsidR="009730DB" w:rsidRPr="00E073C6">
        <w:t>M.2092</w:t>
      </w:r>
      <w:proofErr w:type="spellEnd"/>
      <w:r w:rsidR="00CE309A" w:rsidRPr="00E073C6">
        <w:t>,</w:t>
      </w:r>
      <w:r w:rsidR="009730DB" w:rsidRPr="00E073C6">
        <w:t xml:space="preserve"> «Características técnicas para un sistema de intercambio de datos en ondas métricas en la banda de onda métricas del servicio móvil marítimo»</w:t>
      </w:r>
      <w:r w:rsidR="00CE309A" w:rsidRPr="00E073C6">
        <w:t>, no es compatible con los sistemas de los servicios fijo y móvil terrestre con atribuciones primarias en la gama de frecuencias</w:t>
      </w:r>
      <w:r w:rsidR="009730DB" w:rsidRPr="00E073C6">
        <w:t xml:space="preserve"> 156</w:t>
      </w:r>
      <w:r w:rsidR="00CE309A" w:rsidRPr="00E073C6">
        <w:t>,</w:t>
      </w:r>
      <w:r w:rsidR="009730DB" w:rsidRPr="00E073C6">
        <w:t>8375</w:t>
      </w:r>
      <w:r w:rsidR="00CE309A" w:rsidRPr="00E073C6">
        <w:t>-</w:t>
      </w:r>
      <w:r w:rsidR="009730DB" w:rsidRPr="00E073C6">
        <w:t>161</w:t>
      </w:r>
      <w:r w:rsidR="00CE309A" w:rsidRPr="00E073C6">
        <w:t>,</w:t>
      </w:r>
      <w:r w:rsidR="009730DB" w:rsidRPr="00E073C6">
        <w:t>9375 MHz.</w:t>
      </w:r>
    </w:p>
    <w:p w14:paraId="479DDA5B" w14:textId="549FBB58" w:rsidR="004E0EBB" w:rsidRDefault="0088648E" w:rsidP="00F36628">
      <w:bookmarkStart w:id="5" w:name="_Hlk21449471"/>
      <w:r w:rsidRPr="00E073C6">
        <w:t xml:space="preserve">Además, no se han realizado estudios del UIT-R ni se han propuesto medidas reglamentarias que garanticen la compatibilidad de la componente de satélite </w:t>
      </w:r>
      <w:proofErr w:type="spellStart"/>
      <w:r w:rsidRPr="00E073C6">
        <w:t>VDES</w:t>
      </w:r>
      <w:proofErr w:type="spellEnd"/>
      <w:r w:rsidRPr="00E073C6">
        <w:t xml:space="preserve"> de una administración con las componentes terrenales </w:t>
      </w:r>
      <w:proofErr w:type="spellStart"/>
      <w:r w:rsidRPr="00E073C6">
        <w:t>VDES</w:t>
      </w:r>
      <w:proofErr w:type="spellEnd"/>
      <w:r w:rsidRPr="00E073C6">
        <w:t xml:space="preserve">, ni el funcionamiento del MEA y el </w:t>
      </w:r>
      <w:proofErr w:type="spellStart"/>
      <w:r w:rsidRPr="00E073C6">
        <w:t>SIA</w:t>
      </w:r>
      <w:proofErr w:type="spellEnd"/>
      <w:r w:rsidRPr="00E073C6">
        <w:t xml:space="preserve">, de otra administración, como exige la Resolución </w:t>
      </w:r>
      <w:r w:rsidRPr="00E073C6">
        <w:rPr>
          <w:b/>
          <w:bCs/>
        </w:rPr>
        <w:t xml:space="preserve">360 </w:t>
      </w:r>
      <w:r w:rsidRPr="00E073C6">
        <w:t>(</w:t>
      </w:r>
      <w:proofErr w:type="spellStart"/>
      <w:r w:rsidRPr="00E073C6">
        <w:rPr>
          <w:b/>
          <w:bCs/>
        </w:rPr>
        <w:t>Rev.CMR</w:t>
      </w:r>
      <w:proofErr w:type="spellEnd"/>
      <w:r w:rsidRPr="00E073C6">
        <w:rPr>
          <w:b/>
          <w:bCs/>
        </w:rPr>
        <w:t>-15</w:t>
      </w:r>
      <w:r w:rsidRPr="00E073C6">
        <w:t>)</w:t>
      </w:r>
      <w:r w:rsidR="009730DB" w:rsidRPr="00E073C6">
        <w:t>.</w:t>
      </w:r>
      <w:bookmarkEnd w:id="5"/>
    </w:p>
    <w:p w14:paraId="6E1A2E16" w14:textId="0DCEAAEE" w:rsidR="003A45A6" w:rsidRPr="00E073C6" w:rsidRDefault="0088648E" w:rsidP="00660C28">
      <w:pPr>
        <w:pStyle w:val="Reasons"/>
      </w:pPr>
      <w:r w:rsidRPr="00E073C6">
        <w:t>Por consiguie</w:t>
      </w:r>
      <w:bookmarkStart w:id="6" w:name="_GoBack"/>
      <w:bookmarkEnd w:id="6"/>
      <w:r w:rsidRPr="00E073C6">
        <w:t>nte, no hay motivos suficientes para modificar las actuales atribuciones a los servicios de radiocomunicaciones en la gama de frecuencias en cuestión</w:t>
      </w:r>
      <w:r w:rsidR="009730DB" w:rsidRPr="00E073C6">
        <w:t>.</w:t>
      </w:r>
    </w:p>
    <w:p w14:paraId="7D66EDF6" w14:textId="77777777" w:rsidR="003A45A6" w:rsidRPr="00E073C6" w:rsidRDefault="003818DE">
      <w:pPr>
        <w:pStyle w:val="Proposal"/>
      </w:pPr>
      <w:r w:rsidRPr="00E073C6">
        <w:t>SUP</w:t>
      </w:r>
      <w:r w:rsidRPr="00E073C6">
        <w:tab/>
      </w:r>
      <w:proofErr w:type="spellStart"/>
      <w:r w:rsidRPr="00E073C6">
        <w:t>RCC</w:t>
      </w:r>
      <w:proofErr w:type="spellEnd"/>
      <w:r w:rsidRPr="00E073C6">
        <w:t>/</w:t>
      </w:r>
      <w:proofErr w:type="spellStart"/>
      <w:r w:rsidRPr="00E073C6">
        <w:t>12A9A2</w:t>
      </w:r>
      <w:proofErr w:type="spellEnd"/>
      <w:r w:rsidRPr="00E073C6">
        <w:t>/2</w:t>
      </w:r>
      <w:r w:rsidRPr="00E073C6">
        <w:rPr>
          <w:vanish/>
          <w:color w:val="7F7F7F" w:themeColor="text1" w:themeTint="80"/>
          <w:vertAlign w:val="superscript"/>
        </w:rPr>
        <w:t>#50294</w:t>
      </w:r>
    </w:p>
    <w:p w14:paraId="70C3ECD3" w14:textId="77777777" w:rsidR="00B571EC" w:rsidRPr="00E073C6" w:rsidRDefault="003818DE" w:rsidP="004F2D3F">
      <w:pPr>
        <w:pStyle w:val="ResNo"/>
      </w:pPr>
      <w:r w:rsidRPr="00E073C6">
        <w:t xml:space="preserve">RESOLUCIÓN </w:t>
      </w:r>
      <w:r w:rsidRPr="00E073C6">
        <w:rPr>
          <w:rFonts w:cs="Times New Roman Bold"/>
        </w:rPr>
        <w:t xml:space="preserve">360 </w:t>
      </w:r>
      <w:r w:rsidRPr="00E073C6">
        <w:t>(</w:t>
      </w:r>
      <w:proofErr w:type="spellStart"/>
      <w:r w:rsidRPr="00E073C6">
        <w:t>Rev.CMR</w:t>
      </w:r>
      <w:proofErr w:type="spellEnd"/>
      <w:r w:rsidRPr="00E073C6">
        <w:noBreakHyphen/>
        <w:t xml:space="preserve">15) </w:t>
      </w:r>
    </w:p>
    <w:p w14:paraId="2761619A" w14:textId="77777777" w:rsidR="00B571EC" w:rsidRPr="00E073C6" w:rsidRDefault="003818DE" w:rsidP="004F2D3F">
      <w:pPr>
        <w:pStyle w:val="Restitle"/>
      </w:pPr>
      <w:r w:rsidRPr="00E073C6">
        <w:t>Consideración de disposiciones reglamentarias y atribuciones de espectro</w:t>
      </w:r>
      <w:r w:rsidRPr="00E073C6">
        <w:br/>
        <w:t>al servicio móvil marítimo por satélite para habilitar la componente de</w:t>
      </w:r>
      <w:r w:rsidRPr="00E073C6">
        <w:br/>
        <w:t>satélite del sistema de intercambio de datos en las bandas de ondas</w:t>
      </w:r>
      <w:r w:rsidRPr="00E073C6">
        <w:br/>
        <w:t>métricas y las radiocomunicaciones marítimas avanzadas</w:t>
      </w:r>
    </w:p>
    <w:p w14:paraId="1182FEBA" w14:textId="77777777" w:rsidR="00F36628" w:rsidRDefault="003818DE" w:rsidP="00411C49">
      <w:pPr>
        <w:pStyle w:val="Reasons"/>
      </w:pPr>
      <w:r w:rsidRPr="00E073C6">
        <w:rPr>
          <w:b/>
        </w:rPr>
        <w:t>Motivos:</w:t>
      </w:r>
      <w:r w:rsidRPr="00E073C6">
        <w:tab/>
      </w:r>
      <w:r w:rsidR="0088648E" w:rsidRPr="00E073C6">
        <w:t>Se propone suprimir la Resolución</w:t>
      </w:r>
      <w:r w:rsidRPr="00E073C6">
        <w:t xml:space="preserve"> </w:t>
      </w:r>
      <w:r w:rsidRPr="00E073C6">
        <w:rPr>
          <w:b/>
          <w:bCs/>
        </w:rPr>
        <w:t>360 (</w:t>
      </w:r>
      <w:proofErr w:type="spellStart"/>
      <w:r w:rsidRPr="00E073C6">
        <w:rPr>
          <w:b/>
          <w:bCs/>
        </w:rPr>
        <w:t>Rev.</w:t>
      </w:r>
      <w:r w:rsidR="0088648E" w:rsidRPr="00E073C6">
        <w:rPr>
          <w:b/>
          <w:bCs/>
        </w:rPr>
        <w:t>CMR</w:t>
      </w:r>
      <w:proofErr w:type="spellEnd"/>
      <w:r w:rsidRPr="00E073C6">
        <w:rPr>
          <w:b/>
          <w:bCs/>
        </w:rPr>
        <w:t>-15)</w:t>
      </w:r>
      <w:r w:rsidRPr="00E073C6">
        <w:t xml:space="preserve">, </w:t>
      </w:r>
      <w:r w:rsidR="0088648E" w:rsidRPr="00E073C6">
        <w:t xml:space="preserve">pues los estudios realizados demuestran que no es posible atribuir espectro para la introducción de la componente de satélite </w:t>
      </w:r>
      <w:proofErr w:type="spellStart"/>
      <w:r w:rsidR="0088648E" w:rsidRPr="00E073C6">
        <w:t>VDE</w:t>
      </w:r>
      <w:proofErr w:type="spellEnd"/>
      <w:r w:rsidRPr="00E073C6">
        <w:t>.</w:t>
      </w:r>
    </w:p>
    <w:p w14:paraId="6972EDE0" w14:textId="77777777" w:rsidR="00F36628" w:rsidRDefault="00F36628">
      <w:pPr>
        <w:jc w:val="center"/>
      </w:pPr>
      <w:r>
        <w:t>______________</w:t>
      </w:r>
    </w:p>
    <w:sectPr w:rsidR="00F3662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BC51B" w14:textId="77777777" w:rsidR="003C0613" w:rsidRDefault="003C0613">
      <w:r>
        <w:separator/>
      </w:r>
    </w:p>
  </w:endnote>
  <w:endnote w:type="continuationSeparator" w:id="0">
    <w:p w14:paraId="5E7E1AC8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CC2C9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E98A3D" w14:textId="45C0BAC5" w:rsidR="0077084A" w:rsidRPr="00E073C6" w:rsidRDefault="0077084A">
    <w:pPr>
      <w:ind w:right="360"/>
    </w:pPr>
    <w:r>
      <w:fldChar w:fldCharType="begin"/>
    </w:r>
    <w:r w:rsidRPr="00E073C6">
      <w:instrText xml:space="preserve"> FILENAME \p  \* MERGEFORMAT </w:instrText>
    </w:r>
    <w:r>
      <w:fldChar w:fldCharType="separate"/>
    </w:r>
    <w:r w:rsidR="00E073C6">
      <w:rPr>
        <w:noProof/>
      </w:rPr>
      <w:t>P:\ESP\ITU-R\CONF-R\CMR19\000\012ADD09ADD02S.docx</w:t>
    </w:r>
    <w:r>
      <w:fldChar w:fldCharType="end"/>
    </w:r>
    <w:r w:rsidRPr="00E073C6">
      <w:tab/>
    </w:r>
    <w:r>
      <w:fldChar w:fldCharType="begin"/>
    </w:r>
    <w:r>
      <w:instrText xml:space="preserve"> SAVEDATE \@ DD.MM.YY </w:instrText>
    </w:r>
    <w:r>
      <w:fldChar w:fldCharType="separate"/>
    </w:r>
    <w:r w:rsidR="00E073C6">
      <w:rPr>
        <w:noProof/>
      </w:rPr>
      <w:t>25.10.19</w:t>
    </w:r>
    <w:r>
      <w:fldChar w:fldCharType="end"/>
    </w:r>
    <w:r w:rsidRPr="00E073C6">
      <w:tab/>
    </w:r>
    <w:r>
      <w:fldChar w:fldCharType="begin"/>
    </w:r>
    <w:r>
      <w:instrText xml:space="preserve"> PRINTDATE \@ DD.MM.YY </w:instrText>
    </w:r>
    <w:r>
      <w:fldChar w:fldCharType="separate"/>
    </w:r>
    <w:r w:rsidR="00E073C6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155D" w14:textId="18082B67" w:rsidR="0077084A" w:rsidRPr="00660C28" w:rsidRDefault="00660C28" w:rsidP="00660C28">
    <w:pPr>
      <w:pStyle w:val="Footer"/>
      <w:rPr>
        <w:lang w:val="en-US"/>
      </w:rPr>
    </w:pPr>
    <w:r w:rsidRPr="00660C28">
      <w:rPr>
        <w:lang w:val="en-US"/>
      </w:rPr>
      <w:fldChar w:fldCharType="begin"/>
    </w:r>
    <w:r w:rsidRPr="00660C28">
      <w:rPr>
        <w:lang w:val="en-US"/>
      </w:rPr>
      <w:instrText xml:space="preserve"> FILENAME \p  \* MERGEFORMAT </w:instrText>
    </w:r>
    <w:r w:rsidRPr="00660C28">
      <w:rPr>
        <w:lang w:val="en-US"/>
      </w:rPr>
      <w:fldChar w:fldCharType="separate"/>
    </w:r>
    <w:r w:rsidR="00E073C6">
      <w:rPr>
        <w:lang w:val="en-US"/>
      </w:rPr>
      <w:t>P:\ESP\ITU-R\CONF-R\CMR19\000\012ADD09ADD02S.docx</w:t>
    </w:r>
    <w:r w:rsidRPr="00660C28">
      <w:rPr>
        <w:lang w:val="en-US"/>
      </w:rPr>
      <w:fldChar w:fldCharType="end"/>
    </w:r>
    <w:r w:rsidRPr="00660C28">
      <w:rPr>
        <w:lang w:val="en-US"/>
      </w:rPr>
      <w:t xml:space="preserve"> (</w:t>
    </w:r>
    <w:r>
      <w:rPr>
        <w:lang w:val="en-US"/>
      </w:rPr>
      <w:t>461761</w:t>
    </w:r>
    <w:r w:rsidRPr="00660C28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14AC" w14:textId="1F4E20D4" w:rsidR="00660C28" w:rsidRPr="005243A2" w:rsidRDefault="00660C28" w:rsidP="00660C28">
    <w:pPr>
      <w:pStyle w:val="Footer"/>
      <w:rPr>
        <w:lang w:val="en-US"/>
      </w:rPr>
    </w:pPr>
    <w:r w:rsidRPr="00660C28">
      <w:rPr>
        <w:lang w:val="en-US"/>
      </w:rPr>
      <w:fldChar w:fldCharType="begin"/>
    </w:r>
    <w:r w:rsidRPr="00660C28">
      <w:rPr>
        <w:lang w:val="en-US"/>
      </w:rPr>
      <w:instrText xml:space="preserve"> FILENAME \p  \* MERGEFORMAT </w:instrText>
    </w:r>
    <w:r w:rsidRPr="00660C28">
      <w:rPr>
        <w:lang w:val="en-US"/>
      </w:rPr>
      <w:fldChar w:fldCharType="separate"/>
    </w:r>
    <w:r w:rsidR="00E073C6">
      <w:rPr>
        <w:lang w:val="en-US"/>
      </w:rPr>
      <w:t>P:\ESP\ITU-R\CONF-R\CMR19\000\012ADD09ADD02S.docx</w:t>
    </w:r>
    <w:r w:rsidRPr="00660C28">
      <w:rPr>
        <w:lang w:val="en-US"/>
      </w:rPr>
      <w:fldChar w:fldCharType="end"/>
    </w:r>
    <w:r w:rsidRPr="00660C28">
      <w:rPr>
        <w:lang w:val="en-US"/>
      </w:rPr>
      <w:t xml:space="preserve"> (</w:t>
    </w:r>
    <w:r>
      <w:rPr>
        <w:lang w:val="en-US"/>
      </w:rPr>
      <w:t>461761</w:t>
    </w:r>
    <w:r w:rsidRPr="00660C28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72292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025A11D0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855F2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C85B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</w:t>
    </w:r>
    <w:proofErr w:type="gramStart"/>
    <w:r w:rsidR="00702F3D">
      <w:t>9)(</w:t>
    </w:r>
    <w:proofErr w:type="gramEnd"/>
    <w:r w:rsidR="00702F3D">
      <w:t>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D1094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818DE"/>
    <w:rsid w:val="003A45A6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90200"/>
    <w:rsid w:val="004934A0"/>
    <w:rsid w:val="004B124A"/>
    <w:rsid w:val="004B3095"/>
    <w:rsid w:val="004D2C7C"/>
    <w:rsid w:val="004E0EBB"/>
    <w:rsid w:val="005133B5"/>
    <w:rsid w:val="00524392"/>
    <w:rsid w:val="005243A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3D22"/>
    <w:rsid w:val="00624009"/>
    <w:rsid w:val="00660C28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8648E"/>
    <w:rsid w:val="008C383D"/>
    <w:rsid w:val="008D3316"/>
    <w:rsid w:val="008E5AF2"/>
    <w:rsid w:val="0090121B"/>
    <w:rsid w:val="009144C9"/>
    <w:rsid w:val="0094091F"/>
    <w:rsid w:val="009505EA"/>
    <w:rsid w:val="00962171"/>
    <w:rsid w:val="009730DB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751EA"/>
    <w:rsid w:val="00B8288C"/>
    <w:rsid w:val="00B86034"/>
    <w:rsid w:val="00BE2E80"/>
    <w:rsid w:val="00BE5EDD"/>
    <w:rsid w:val="00BE6A1F"/>
    <w:rsid w:val="00BF078D"/>
    <w:rsid w:val="00C126C4"/>
    <w:rsid w:val="00C44E9E"/>
    <w:rsid w:val="00C63EB5"/>
    <w:rsid w:val="00C87DA7"/>
    <w:rsid w:val="00CC01E0"/>
    <w:rsid w:val="00CD5FEE"/>
    <w:rsid w:val="00CE309A"/>
    <w:rsid w:val="00CE60D2"/>
    <w:rsid w:val="00CE7431"/>
    <w:rsid w:val="00D00CA8"/>
    <w:rsid w:val="00D0288A"/>
    <w:rsid w:val="00D224B0"/>
    <w:rsid w:val="00D72A5D"/>
    <w:rsid w:val="00DA71A3"/>
    <w:rsid w:val="00DC629B"/>
    <w:rsid w:val="00DE1C31"/>
    <w:rsid w:val="00E05BFF"/>
    <w:rsid w:val="00E073C6"/>
    <w:rsid w:val="00E262F1"/>
    <w:rsid w:val="00E3176A"/>
    <w:rsid w:val="00E36CE4"/>
    <w:rsid w:val="00E54754"/>
    <w:rsid w:val="00E56BD3"/>
    <w:rsid w:val="00E71D14"/>
    <w:rsid w:val="00EA77F0"/>
    <w:rsid w:val="00EF4817"/>
    <w:rsid w:val="00F32316"/>
    <w:rsid w:val="00F36628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0FBD6ED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nhideWhenUsed/>
    <w:rsid w:val="005243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24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R16-WRC19-C-0012!A9-A2!MSW-S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6D91D-C280-410E-96BC-9D0DE93937B8}">
  <ds:schemaRefs>
    <ds:schemaRef ds:uri="http://purl.org/dc/dcmitype/"/>
    <ds:schemaRef ds:uri="32a1a8c5-2265-4ebc-b7a0-2071e2c5c9b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F9CA951-CC1D-4901-BA26-C8A6F67D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616</Words>
  <Characters>3576</Characters>
  <Application>Microsoft Office Word</Application>
  <DocSecurity>0</DocSecurity>
  <Lines>91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R16-WRC19-C-0012!A9-A2!MSW-S</vt:lpstr>
    </vt:vector>
  </TitlesOfParts>
  <Manager>Secretaría General - Pool</Manager>
  <Company>Unión Internacional de Telecomunicaciones (UIT)</Company>
  <LinksUpToDate>false</LinksUpToDate>
  <CharactersWithSpaces>4146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R16-WRC19-C-0012!A9-A2!MSW-S</dc:title>
  <dc:subject>Conferencia Mundial de Radiocomunicaciones - 2019</dc:subject>
  <dc:creator>Documents Proposals Manager (DPM)</dc:creator>
  <cp:keywords>DPM_v2019.10.15.2_prod</cp:keywords>
  <dc:description/>
  <cp:lastModifiedBy>Spanish1</cp:lastModifiedBy>
  <cp:revision>14</cp:revision>
  <cp:lastPrinted>2019-10-25T02:01:00Z</cp:lastPrinted>
  <dcterms:created xsi:type="dcterms:W3CDTF">2019-10-25T01:54:00Z</dcterms:created>
  <dcterms:modified xsi:type="dcterms:W3CDTF">2019-10-25T02:30:00Z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