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57188" w14:paraId="0BBA02C4" w14:textId="77777777" w:rsidTr="0050008E">
        <w:trPr>
          <w:cantSplit/>
        </w:trPr>
        <w:tc>
          <w:tcPr>
            <w:tcW w:w="6911" w:type="dxa"/>
          </w:tcPr>
          <w:p w14:paraId="3A2FAA2C" w14:textId="77777777" w:rsidR="00BB1D82" w:rsidRPr="00557188" w:rsidRDefault="00851625" w:rsidP="00235005">
            <w:pPr>
              <w:spacing w:before="400" w:after="48"/>
              <w:rPr>
                <w:rFonts w:ascii="Verdana" w:hAnsi="Verdana"/>
                <w:b/>
                <w:bCs/>
                <w:sz w:val="20"/>
                <w:lang w:val="fr-CH"/>
              </w:rPr>
            </w:pPr>
            <w:r w:rsidRPr="00557188">
              <w:rPr>
                <w:rFonts w:ascii="Verdana" w:hAnsi="Verdana"/>
                <w:b/>
                <w:bCs/>
                <w:sz w:val="20"/>
                <w:lang w:val="fr-CH"/>
              </w:rPr>
              <w:t>Conférence mondiale des radiocommunications (CMR-1</w:t>
            </w:r>
            <w:r w:rsidR="00FD7AA3" w:rsidRPr="00557188">
              <w:rPr>
                <w:rFonts w:ascii="Verdana" w:hAnsi="Verdana"/>
                <w:b/>
                <w:bCs/>
                <w:sz w:val="20"/>
                <w:lang w:val="fr-CH"/>
              </w:rPr>
              <w:t>9</w:t>
            </w:r>
            <w:r w:rsidRPr="00557188">
              <w:rPr>
                <w:rFonts w:ascii="Verdana" w:hAnsi="Verdana"/>
                <w:b/>
                <w:bCs/>
                <w:sz w:val="20"/>
                <w:lang w:val="fr-CH"/>
              </w:rPr>
              <w:t>)</w:t>
            </w:r>
            <w:r w:rsidRPr="00557188">
              <w:rPr>
                <w:rFonts w:ascii="Verdana" w:hAnsi="Verdana"/>
                <w:b/>
                <w:bCs/>
                <w:sz w:val="20"/>
                <w:lang w:val="fr-CH"/>
              </w:rPr>
              <w:br/>
            </w:r>
            <w:r w:rsidR="00063A1F" w:rsidRPr="00557188">
              <w:rPr>
                <w:rFonts w:ascii="Verdana" w:hAnsi="Verdana"/>
                <w:b/>
                <w:bCs/>
                <w:sz w:val="18"/>
                <w:szCs w:val="18"/>
                <w:lang w:val="fr-CH"/>
              </w:rPr>
              <w:t xml:space="preserve">Charm el-Cheikh, </w:t>
            </w:r>
            <w:r w:rsidR="00081366" w:rsidRPr="00557188">
              <w:rPr>
                <w:rFonts w:ascii="Verdana" w:hAnsi="Verdana"/>
                <w:b/>
                <w:bCs/>
                <w:sz w:val="18"/>
                <w:szCs w:val="18"/>
                <w:lang w:val="fr-CH"/>
              </w:rPr>
              <w:t>É</w:t>
            </w:r>
            <w:r w:rsidR="00063A1F" w:rsidRPr="00557188">
              <w:rPr>
                <w:rFonts w:ascii="Verdana" w:hAnsi="Verdana"/>
                <w:b/>
                <w:bCs/>
                <w:sz w:val="18"/>
                <w:szCs w:val="18"/>
                <w:lang w:val="fr-CH"/>
              </w:rPr>
              <w:t>gypte</w:t>
            </w:r>
            <w:r w:rsidRPr="00557188">
              <w:rPr>
                <w:rFonts w:ascii="Verdana" w:hAnsi="Verdana"/>
                <w:b/>
                <w:bCs/>
                <w:sz w:val="18"/>
                <w:szCs w:val="18"/>
                <w:lang w:val="fr-CH"/>
              </w:rPr>
              <w:t>,</w:t>
            </w:r>
            <w:r w:rsidR="00E537FF" w:rsidRPr="00557188">
              <w:rPr>
                <w:rFonts w:ascii="Verdana" w:hAnsi="Verdana"/>
                <w:b/>
                <w:bCs/>
                <w:sz w:val="18"/>
                <w:szCs w:val="18"/>
                <w:lang w:val="fr-CH"/>
              </w:rPr>
              <w:t xml:space="preserve"> </w:t>
            </w:r>
            <w:r w:rsidRPr="00557188">
              <w:rPr>
                <w:rFonts w:ascii="Verdana" w:hAnsi="Verdana"/>
                <w:b/>
                <w:bCs/>
                <w:sz w:val="18"/>
                <w:szCs w:val="18"/>
                <w:lang w:val="fr-CH"/>
              </w:rPr>
              <w:t>2</w:t>
            </w:r>
            <w:r w:rsidR="00FD7AA3" w:rsidRPr="00557188">
              <w:rPr>
                <w:rFonts w:ascii="Verdana" w:hAnsi="Verdana"/>
                <w:b/>
                <w:bCs/>
                <w:sz w:val="18"/>
                <w:szCs w:val="18"/>
                <w:lang w:val="fr-CH"/>
              </w:rPr>
              <w:t xml:space="preserve">8 octobre </w:t>
            </w:r>
            <w:r w:rsidR="00F10064" w:rsidRPr="00557188">
              <w:rPr>
                <w:rFonts w:ascii="Verdana" w:hAnsi="Verdana"/>
                <w:b/>
                <w:bCs/>
                <w:sz w:val="18"/>
                <w:szCs w:val="18"/>
                <w:lang w:val="fr-CH"/>
              </w:rPr>
              <w:t>–</w:t>
            </w:r>
            <w:r w:rsidR="00FD7AA3" w:rsidRPr="00557188">
              <w:rPr>
                <w:rFonts w:ascii="Verdana" w:hAnsi="Verdana"/>
                <w:b/>
                <w:bCs/>
                <w:sz w:val="18"/>
                <w:szCs w:val="18"/>
                <w:lang w:val="fr-CH"/>
              </w:rPr>
              <w:t xml:space="preserve"> </w:t>
            </w:r>
            <w:r w:rsidRPr="00557188">
              <w:rPr>
                <w:rFonts w:ascii="Verdana" w:hAnsi="Verdana"/>
                <w:b/>
                <w:bCs/>
                <w:sz w:val="18"/>
                <w:szCs w:val="18"/>
                <w:lang w:val="fr-CH"/>
              </w:rPr>
              <w:t>2</w:t>
            </w:r>
            <w:r w:rsidR="00FD7AA3" w:rsidRPr="00557188">
              <w:rPr>
                <w:rFonts w:ascii="Verdana" w:hAnsi="Verdana"/>
                <w:b/>
                <w:bCs/>
                <w:sz w:val="18"/>
                <w:szCs w:val="18"/>
                <w:lang w:val="fr-CH"/>
              </w:rPr>
              <w:t>2</w:t>
            </w:r>
            <w:r w:rsidRPr="00557188">
              <w:rPr>
                <w:rFonts w:ascii="Verdana" w:hAnsi="Verdana"/>
                <w:b/>
                <w:bCs/>
                <w:sz w:val="18"/>
                <w:szCs w:val="18"/>
                <w:lang w:val="fr-CH"/>
              </w:rPr>
              <w:t xml:space="preserve"> novembre 201</w:t>
            </w:r>
            <w:r w:rsidR="00FD7AA3" w:rsidRPr="00557188">
              <w:rPr>
                <w:rFonts w:ascii="Verdana" w:hAnsi="Verdana"/>
                <w:b/>
                <w:bCs/>
                <w:sz w:val="18"/>
                <w:szCs w:val="18"/>
                <w:lang w:val="fr-CH"/>
              </w:rPr>
              <w:t>9</w:t>
            </w:r>
          </w:p>
        </w:tc>
        <w:tc>
          <w:tcPr>
            <w:tcW w:w="3120" w:type="dxa"/>
          </w:tcPr>
          <w:p w14:paraId="51A03FBC" w14:textId="77777777" w:rsidR="00BB1D82" w:rsidRPr="00557188" w:rsidRDefault="000A55AE" w:rsidP="00235005">
            <w:pPr>
              <w:spacing w:before="0"/>
              <w:jc w:val="right"/>
              <w:rPr>
                <w:lang w:val="fr-CH"/>
              </w:rPr>
            </w:pPr>
            <w:bookmarkStart w:id="0" w:name="ditulogo"/>
            <w:bookmarkEnd w:id="0"/>
            <w:r w:rsidRPr="00557188">
              <w:rPr>
                <w:rFonts w:ascii="Verdana" w:hAnsi="Verdana"/>
                <w:b/>
                <w:bCs/>
                <w:noProof/>
                <w:lang w:val="fr-CH" w:eastAsia="zh-CN"/>
              </w:rPr>
              <w:drawing>
                <wp:inline distT="0" distB="0" distL="0" distR="0" wp14:anchorId="0CBA3BAD" wp14:editId="5F900488">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557188" w14:paraId="02BE46B5" w14:textId="77777777" w:rsidTr="0050008E">
        <w:trPr>
          <w:cantSplit/>
        </w:trPr>
        <w:tc>
          <w:tcPr>
            <w:tcW w:w="6911" w:type="dxa"/>
            <w:tcBorders>
              <w:bottom w:val="single" w:sz="12" w:space="0" w:color="auto"/>
            </w:tcBorders>
          </w:tcPr>
          <w:p w14:paraId="7A08C927" w14:textId="77777777" w:rsidR="00BB1D82" w:rsidRPr="00557188" w:rsidRDefault="00BB1D82" w:rsidP="00235005">
            <w:pPr>
              <w:spacing w:before="0" w:after="48"/>
              <w:rPr>
                <w:b/>
                <w:smallCaps/>
                <w:szCs w:val="24"/>
                <w:lang w:val="fr-CH"/>
              </w:rPr>
            </w:pPr>
            <w:bookmarkStart w:id="1" w:name="dhead"/>
          </w:p>
        </w:tc>
        <w:tc>
          <w:tcPr>
            <w:tcW w:w="3120" w:type="dxa"/>
            <w:tcBorders>
              <w:bottom w:val="single" w:sz="12" w:space="0" w:color="auto"/>
            </w:tcBorders>
          </w:tcPr>
          <w:p w14:paraId="3E19E6F6" w14:textId="77777777" w:rsidR="00BB1D82" w:rsidRPr="00557188" w:rsidRDefault="00BB1D82" w:rsidP="00235005">
            <w:pPr>
              <w:spacing w:before="0"/>
              <w:rPr>
                <w:rFonts w:ascii="Verdana" w:hAnsi="Verdana"/>
                <w:szCs w:val="24"/>
                <w:lang w:val="fr-CH"/>
              </w:rPr>
            </w:pPr>
          </w:p>
        </w:tc>
      </w:tr>
      <w:tr w:rsidR="00BB1D82" w:rsidRPr="00557188" w14:paraId="529B58B1" w14:textId="77777777" w:rsidTr="00BB1D82">
        <w:trPr>
          <w:cantSplit/>
        </w:trPr>
        <w:tc>
          <w:tcPr>
            <w:tcW w:w="6911" w:type="dxa"/>
            <w:tcBorders>
              <w:top w:val="single" w:sz="12" w:space="0" w:color="auto"/>
            </w:tcBorders>
          </w:tcPr>
          <w:p w14:paraId="58AB5157" w14:textId="77777777" w:rsidR="00BB1D82" w:rsidRPr="00557188" w:rsidRDefault="00BB1D82" w:rsidP="00235005">
            <w:pPr>
              <w:spacing w:before="0" w:after="48"/>
              <w:rPr>
                <w:rFonts w:ascii="Verdana" w:hAnsi="Verdana"/>
                <w:b/>
                <w:smallCaps/>
                <w:sz w:val="20"/>
                <w:lang w:val="fr-CH"/>
              </w:rPr>
            </w:pPr>
          </w:p>
        </w:tc>
        <w:tc>
          <w:tcPr>
            <w:tcW w:w="3120" w:type="dxa"/>
            <w:tcBorders>
              <w:top w:val="single" w:sz="12" w:space="0" w:color="auto"/>
            </w:tcBorders>
          </w:tcPr>
          <w:p w14:paraId="3F5C4A4E" w14:textId="77777777" w:rsidR="00BB1D82" w:rsidRPr="00557188" w:rsidRDefault="00BB1D82" w:rsidP="00235005">
            <w:pPr>
              <w:spacing w:before="0"/>
              <w:rPr>
                <w:rFonts w:ascii="Verdana" w:hAnsi="Verdana"/>
                <w:sz w:val="20"/>
                <w:lang w:val="fr-CH"/>
              </w:rPr>
            </w:pPr>
          </w:p>
        </w:tc>
      </w:tr>
      <w:tr w:rsidR="00BB1D82" w:rsidRPr="00557188" w14:paraId="4B4F0BC2" w14:textId="77777777" w:rsidTr="00BB1D82">
        <w:trPr>
          <w:cantSplit/>
        </w:trPr>
        <w:tc>
          <w:tcPr>
            <w:tcW w:w="6911" w:type="dxa"/>
          </w:tcPr>
          <w:p w14:paraId="2CA66DA5" w14:textId="77777777" w:rsidR="00BB1D82" w:rsidRPr="00557188" w:rsidRDefault="006D4724" w:rsidP="00235005">
            <w:pPr>
              <w:spacing w:before="0"/>
              <w:rPr>
                <w:rFonts w:ascii="Verdana" w:hAnsi="Verdana"/>
                <w:b/>
                <w:sz w:val="20"/>
                <w:lang w:val="fr-CH"/>
              </w:rPr>
            </w:pPr>
            <w:r w:rsidRPr="00557188">
              <w:rPr>
                <w:rFonts w:ascii="Verdana" w:hAnsi="Verdana"/>
                <w:b/>
                <w:sz w:val="20"/>
                <w:lang w:val="fr-CH"/>
              </w:rPr>
              <w:t>SÉANCE PLÉNIÈRE</w:t>
            </w:r>
          </w:p>
        </w:tc>
        <w:tc>
          <w:tcPr>
            <w:tcW w:w="3120" w:type="dxa"/>
          </w:tcPr>
          <w:p w14:paraId="07C929A3" w14:textId="77777777" w:rsidR="00BB1D82" w:rsidRPr="00557188" w:rsidRDefault="006D4724" w:rsidP="00235005">
            <w:pPr>
              <w:spacing w:before="0"/>
              <w:rPr>
                <w:rFonts w:ascii="Verdana" w:hAnsi="Verdana"/>
                <w:sz w:val="20"/>
                <w:lang w:val="fr-CH"/>
              </w:rPr>
            </w:pPr>
            <w:r w:rsidRPr="00557188">
              <w:rPr>
                <w:rFonts w:ascii="Verdana" w:hAnsi="Verdana"/>
                <w:b/>
                <w:sz w:val="20"/>
                <w:lang w:val="fr-CH"/>
              </w:rPr>
              <w:t>Addendum 2 au</w:t>
            </w:r>
            <w:r w:rsidRPr="00557188">
              <w:rPr>
                <w:rFonts w:ascii="Verdana" w:hAnsi="Verdana"/>
                <w:b/>
                <w:sz w:val="20"/>
                <w:lang w:val="fr-CH"/>
              </w:rPr>
              <w:br/>
              <w:t>Document 12(Add.9)</w:t>
            </w:r>
            <w:r w:rsidR="00BB1D82" w:rsidRPr="00557188">
              <w:rPr>
                <w:rFonts w:ascii="Verdana" w:hAnsi="Verdana"/>
                <w:b/>
                <w:sz w:val="20"/>
                <w:lang w:val="fr-CH"/>
              </w:rPr>
              <w:t>-</w:t>
            </w:r>
            <w:r w:rsidRPr="00557188">
              <w:rPr>
                <w:rFonts w:ascii="Verdana" w:hAnsi="Verdana"/>
                <w:b/>
                <w:sz w:val="20"/>
                <w:lang w:val="fr-CH"/>
              </w:rPr>
              <w:t>F</w:t>
            </w:r>
          </w:p>
        </w:tc>
      </w:tr>
      <w:bookmarkEnd w:id="1"/>
      <w:tr w:rsidR="00690C7B" w:rsidRPr="00557188" w14:paraId="1333007C" w14:textId="77777777" w:rsidTr="00BB1D82">
        <w:trPr>
          <w:cantSplit/>
        </w:trPr>
        <w:tc>
          <w:tcPr>
            <w:tcW w:w="6911" w:type="dxa"/>
          </w:tcPr>
          <w:p w14:paraId="3282FE80" w14:textId="77777777" w:rsidR="00690C7B" w:rsidRPr="00557188" w:rsidRDefault="00690C7B" w:rsidP="00235005">
            <w:pPr>
              <w:spacing w:before="0"/>
              <w:rPr>
                <w:rFonts w:ascii="Verdana" w:hAnsi="Verdana"/>
                <w:b/>
                <w:sz w:val="20"/>
                <w:lang w:val="fr-CH"/>
              </w:rPr>
            </w:pPr>
          </w:p>
        </w:tc>
        <w:tc>
          <w:tcPr>
            <w:tcW w:w="3120" w:type="dxa"/>
          </w:tcPr>
          <w:p w14:paraId="666A32FD" w14:textId="77777777" w:rsidR="00690C7B" w:rsidRPr="00557188" w:rsidRDefault="00690C7B" w:rsidP="00235005">
            <w:pPr>
              <w:spacing w:before="0"/>
              <w:rPr>
                <w:rFonts w:ascii="Verdana" w:hAnsi="Verdana"/>
                <w:b/>
                <w:sz w:val="20"/>
                <w:lang w:val="fr-CH"/>
              </w:rPr>
            </w:pPr>
            <w:r w:rsidRPr="00557188">
              <w:rPr>
                <w:rFonts w:ascii="Verdana" w:hAnsi="Verdana"/>
                <w:b/>
                <w:sz w:val="20"/>
                <w:lang w:val="fr-CH"/>
              </w:rPr>
              <w:t>2 octobre 2019</w:t>
            </w:r>
          </w:p>
        </w:tc>
      </w:tr>
      <w:tr w:rsidR="00690C7B" w:rsidRPr="00557188" w14:paraId="2DB0330B" w14:textId="77777777" w:rsidTr="00BB1D82">
        <w:trPr>
          <w:cantSplit/>
        </w:trPr>
        <w:tc>
          <w:tcPr>
            <w:tcW w:w="6911" w:type="dxa"/>
          </w:tcPr>
          <w:p w14:paraId="26A65018" w14:textId="77777777" w:rsidR="00690C7B" w:rsidRPr="00557188" w:rsidRDefault="00690C7B" w:rsidP="00235005">
            <w:pPr>
              <w:spacing w:before="0" w:after="48"/>
              <w:rPr>
                <w:rFonts w:ascii="Verdana" w:hAnsi="Verdana"/>
                <w:b/>
                <w:smallCaps/>
                <w:sz w:val="20"/>
                <w:lang w:val="fr-CH"/>
              </w:rPr>
            </w:pPr>
          </w:p>
        </w:tc>
        <w:tc>
          <w:tcPr>
            <w:tcW w:w="3120" w:type="dxa"/>
          </w:tcPr>
          <w:p w14:paraId="555B614A" w14:textId="77777777" w:rsidR="00690C7B" w:rsidRPr="00557188" w:rsidRDefault="00690C7B" w:rsidP="00235005">
            <w:pPr>
              <w:spacing w:before="0"/>
              <w:rPr>
                <w:rFonts w:ascii="Verdana" w:hAnsi="Verdana"/>
                <w:b/>
                <w:sz w:val="20"/>
                <w:lang w:val="fr-CH"/>
              </w:rPr>
            </w:pPr>
            <w:r w:rsidRPr="00557188">
              <w:rPr>
                <w:rFonts w:ascii="Verdana" w:hAnsi="Verdana"/>
                <w:b/>
                <w:sz w:val="20"/>
                <w:lang w:val="fr-CH"/>
              </w:rPr>
              <w:t>Original: russe</w:t>
            </w:r>
          </w:p>
        </w:tc>
      </w:tr>
      <w:tr w:rsidR="00690C7B" w:rsidRPr="00557188" w14:paraId="1678665E" w14:textId="77777777" w:rsidTr="00C11970">
        <w:trPr>
          <w:cantSplit/>
        </w:trPr>
        <w:tc>
          <w:tcPr>
            <w:tcW w:w="10031" w:type="dxa"/>
            <w:gridSpan w:val="2"/>
          </w:tcPr>
          <w:p w14:paraId="5BA2FAB2" w14:textId="77777777" w:rsidR="00690C7B" w:rsidRPr="00557188" w:rsidRDefault="00690C7B" w:rsidP="00235005">
            <w:pPr>
              <w:spacing w:before="0"/>
              <w:rPr>
                <w:rFonts w:ascii="Verdana" w:hAnsi="Verdana"/>
                <w:b/>
                <w:sz w:val="20"/>
                <w:lang w:val="fr-CH"/>
              </w:rPr>
            </w:pPr>
          </w:p>
        </w:tc>
      </w:tr>
      <w:tr w:rsidR="00690C7B" w:rsidRPr="00557188" w14:paraId="11CACCEF" w14:textId="77777777" w:rsidTr="0050008E">
        <w:trPr>
          <w:cantSplit/>
        </w:trPr>
        <w:tc>
          <w:tcPr>
            <w:tcW w:w="10031" w:type="dxa"/>
            <w:gridSpan w:val="2"/>
          </w:tcPr>
          <w:p w14:paraId="23FBE69D" w14:textId="77777777" w:rsidR="00690C7B" w:rsidRPr="00557188" w:rsidRDefault="00690C7B" w:rsidP="00235005">
            <w:pPr>
              <w:pStyle w:val="Source"/>
              <w:rPr>
                <w:lang w:val="fr-CH"/>
              </w:rPr>
            </w:pPr>
            <w:bookmarkStart w:id="2" w:name="dsource" w:colFirst="0" w:colLast="0"/>
            <w:r w:rsidRPr="00557188">
              <w:rPr>
                <w:lang w:val="fr-CH"/>
              </w:rPr>
              <w:t>Propositions communes de la Communauté régionale des communications</w:t>
            </w:r>
          </w:p>
        </w:tc>
      </w:tr>
      <w:tr w:rsidR="00690C7B" w:rsidRPr="00557188" w14:paraId="170C1A48" w14:textId="77777777" w:rsidTr="0050008E">
        <w:trPr>
          <w:cantSplit/>
        </w:trPr>
        <w:tc>
          <w:tcPr>
            <w:tcW w:w="10031" w:type="dxa"/>
            <w:gridSpan w:val="2"/>
          </w:tcPr>
          <w:p w14:paraId="2C24B3A2" w14:textId="77777777" w:rsidR="00690C7B" w:rsidRPr="00557188" w:rsidRDefault="00690C7B" w:rsidP="00235005">
            <w:pPr>
              <w:pStyle w:val="Title1"/>
              <w:rPr>
                <w:lang w:val="fr-CH"/>
              </w:rPr>
            </w:pPr>
            <w:bookmarkStart w:id="3" w:name="dtitle1" w:colFirst="0" w:colLast="0"/>
            <w:bookmarkEnd w:id="2"/>
            <w:r w:rsidRPr="00557188">
              <w:rPr>
                <w:lang w:val="fr-CH"/>
              </w:rPr>
              <w:t>Propositions pour les travaux de la conférence</w:t>
            </w:r>
          </w:p>
        </w:tc>
      </w:tr>
      <w:tr w:rsidR="00690C7B" w:rsidRPr="00557188" w14:paraId="5E80596B" w14:textId="77777777" w:rsidTr="0050008E">
        <w:trPr>
          <w:cantSplit/>
        </w:trPr>
        <w:tc>
          <w:tcPr>
            <w:tcW w:w="10031" w:type="dxa"/>
            <w:gridSpan w:val="2"/>
          </w:tcPr>
          <w:p w14:paraId="4658FA1F" w14:textId="77777777" w:rsidR="00690C7B" w:rsidRPr="00557188" w:rsidRDefault="00690C7B" w:rsidP="00235005">
            <w:pPr>
              <w:pStyle w:val="Title2"/>
              <w:rPr>
                <w:lang w:val="fr-CH"/>
              </w:rPr>
            </w:pPr>
            <w:bookmarkStart w:id="4" w:name="dtitle2" w:colFirst="0" w:colLast="0"/>
            <w:bookmarkEnd w:id="3"/>
          </w:p>
        </w:tc>
      </w:tr>
      <w:tr w:rsidR="00690C7B" w:rsidRPr="00557188" w14:paraId="19625627" w14:textId="77777777" w:rsidTr="0050008E">
        <w:trPr>
          <w:cantSplit/>
        </w:trPr>
        <w:tc>
          <w:tcPr>
            <w:tcW w:w="10031" w:type="dxa"/>
            <w:gridSpan w:val="2"/>
          </w:tcPr>
          <w:p w14:paraId="7CF335C2" w14:textId="77777777" w:rsidR="00690C7B" w:rsidRPr="00557188" w:rsidRDefault="00690C7B" w:rsidP="00235005">
            <w:pPr>
              <w:pStyle w:val="Agendaitem"/>
            </w:pPr>
            <w:bookmarkStart w:id="5" w:name="dtitle3" w:colFirst="0" w:colLast="0"/>
            <w:bookmarkEnd w:id="4"/>
            <w:r w:rsidRPr="00557188">
              <w:t>Point 1.9.2 de l'ordre du jour</w:t>
            </w:r>
          </w:p>
        </w:tc>
      </w:tr>
    </w:tbl>
    <w:bookmarkEnd w:id="5"/>
    <w:p w14:paraId="6C8FE79D" w14:textId="77777777" w:rsidR="001C0E40" w:rsidRPr="00557188" w:rsidRDefault="00627A55" w:rsidP="00666C23">
      <w:pPr>
        <w:spacing w:before="80"/>
        <w:rPr>
          <w:lang w:val="fr-CH"/>
        </w:rPr>
      </w:pPr>
      <w:r w:rsidRPr="00557188">
        <w:rPr>
          <w:lang w:val="fr-CH"/>
        </w:rPr>
        <w:t>1.9</w:t>
      </w:r>
      <w:r w:rsidRPr="00557188">
        <w:rPr>
          <w:lang w:val="fr-CH"/>
        </w:rPr>
        <w:tab/>
        <w:t>à examiner, sur la base des résultats des études de l'UIT-R:</w:t>
      </w:r>
    </w:p>
    <w:p w14:paraId="67B55CE1" w14:textId="485FBA9D" w:rsidR="001C0E40" w:rsidRPr="00557188" w:rsidRDefault="00627A55" w:rsidP="00666C23">
      <w:pPr>
        <w:spacing w:before="80"/>
        <w:rPr>
          <w:lang w:val="fr-CH"/>
        </w:rPr>
      </w:pPr>
      <w:r w:rsidRPr="00557188">
        <w:rPr>
          <w:lang w:val="fr-CH"/>
        </w:rPr>
        <w:t>1.9.2</w:t>
      </w:r>
      <w:r w:rsidRPr="00557188">
        <w:rPr>
          <w:lang w:val="fr-CH"/>
        </w:rPr>
        <w:tab/>
        <w:t xml:space="preserve">les modifications à apporter au Règlement des radiocommunications, y compris de nouvelles attributions de fréquences au service mobile maritime par satellite (Terre vers espace et espace vers Terre), de préférence dans les bandes de fréquences 156,015-157,4375 MHz et 160,6125-162,0375 MHz de l'Appendice </w:t>
      </w:r>
      <w:r w:rsidRPr="00557188">
        <w:rPr>
          <w:b/>
          <w:bCs/>
          <w:lang w:val="fr-CH"/>
        </w:rPr>
        <w:t>18</w:t>
      </w:r>
      <w:r w:rsidRPr="00557188">
        <w:rPr>
          <w:lang w:val="fr-CH"/>
        </w:rPr>
        <w:t xml:space="preserve">, pour pouvoir exploiter une nouvelle composante satellite du système d'échange de données en ondes métriques (VDES), tout en garantissant que cette composante ne dégradera pas le fonctionnement de la composante de Terre actuelle du système VDES, des applications de messages propres aux applications (ASM) et AIS, et n'imposera pas de contraintes supplémentaires aux services existants dans ces bandes de fréquences et dans les bandes de fréquences adjacentes comme indiqué aux points </w:t>
      </w:r>
      <w:r w:rsidRPr="00557188">
        <w:rPr>
          <w:i/>
          <w:iCs/>
          <w:lang w:val="fr-CH"/>
        </w:rPr>
        <w:t>d)</w:t>
      </w:r>
      <w:r w:rsidRPr="00557188">
        <w:rPr>
          <w:lang w:val="fr-CH"/>
        </w:rPr>
        <w:t xml:space="preserve"> et </w:t>
      </w:r>
      <w:r w:rsidRPr="00557188">
        <w:rPr>
          <w:i/>
          <w:iCs/>
          <w:lang w:val="fr-CH"/>
        </w:rPr>
        <w:t>e)</w:t>
      </w:r>
      <w:r w:rsidRPr="00557188">
        <w:rPr>
          <w:lang w:val="fr-CH"/>
        </w:rPr>
        <w:t xml:space="preserve"> du </w:t>
      </w:r>
      <w:r w:rsidRPr="00557188">
        <w:rPr>
          <w:i/>
          <w:iCs/>
          <w:lang w:val="fr-CH"/>
        </w:rPr>
        <w:t>reconnaissant</w:t>
      </w:r>
      <w:r w:rsidRPr="00557188">
        <w:rPr>
          <w:lang w:val="fr-CH"/>
        </w:rPr>
        <w:t xml:space="preserve"> de la Résolution </w:t>
      </w:r>
      <w:r w:rsidRPr="00557188">
        <w:rPr>
          <w:b/>
          <w:bCs/>
          <w:lang w:val="fr-CH"/>
        </w:rPr>
        <w:t>360 (Rév.CMR-15)</w:t>
      </w:r>
      <w:r w:rsidRPr="00557188">
        <w:rPr>
          <w:lang w:val="fr-CH"/>
        </w:rPr>
        <w:t>;</w:t>
      </w:r>
    </w:p>
    <w:p w14:paraId="67A7F27A" w14:textId="77777777" w:rsidR="00627A55" w:rsidRPr="00557188" w:rsidRDefault="00627A55" w:rsidP="00666C23">
      <w:pPr>
        <w:pStyle w:val="Headingb"/>
        <w:spacing w:before="120"/>
        <w:rPr>
          <w:lang w:val="fr-CH"/>
        </w:rPr>
      </w:pPr>
      <w:r w:rsidRPr="00557188">
        <w:rPr>
          <w:lang w:val="fr-CH"/>
        </w:rPr>
        <w:t>Introduction</w:t>
      </w:r>
    </w:p>
    <w:p w14:paraId="15ECAE7E" w14:textId="75F53FBD" w:rsidR="007E72B1" w:rsidRPr="00ED143F" w:rsidRDefault="00397FFC" w:rsidP="00666C23">
      <w:pPr>
        <w:spacing w:before="80"/>
        <w:rPr>
          <w:lang w:val="fr-CH"/>
        </w:rPr>
      </w:pPr>
      <w:r w:rsidRPr="00557188">
        <w:rPr>
          <w:lang w:val="fr-CH"/>
        </w:rPr>
        <w:t xml:space="preserve">Les Administrations des pays membres de la RCC </w:t>
      </w:r>
      <w:r w:rsidR="00235005">
        <w:rPr>
          <w:lang w:val="fr-CH"/>
        </w:rPr>
        <w:t xml:space="preserve">sont opposées à de </w:t>
      </w:r>
      <w:r w:rsidR="00557188" w:rsidRPr="00557188">
        <w:rPr>
          <w:lang w:val="fr-CH"/>
        </w:rPr>
        <w:t>nouvelles</w:t>
      </w:r>
      <w:r w:rsidRPr="00557188">
        <w:rPr>
          <w:lang w:val="fr-CH"/>
        </w:rPr>
        <w:t xml:space="preserve"> attributions au service mobile maritime par satellite (SMMS) </w:t>
      </w:r>
      <w:r w:rsidR="00557188">
        <w:rPr>
          <w:lang w:val="fr-CH"/>
        </w:rPr>
        <w:t>pour l'exploitation de la</w:t>
      </w:r>
      <w:r w:rsidRPr="00557188">
        <w:rPr>
          <w:lang w:val="fr-CH"/>
        </w:rPr>
        <w:t xml:space="preserve"> composante satellite du système VDES </w:t>
      </w:r>
      <w:r w:rsidR="00557188">
        <w:rPr>
          <w:lang w:val="fr-CH"/>
        </w:rPr>
        <w:t xml:space="preserve">dans la gamme de fréquences 156-162 MHz </w:t>
      </w:r>
      <w:r w:rsidR="001D0339">
        <w:rPr>
          <w:lang w:val="fr-CH"/>
        </w:rPr>
        <w:t>étant donné que</w:t>
      </w:r>
      <w:r w:rsidR="00557188">
        <w:rPr>
          <w:lang w:val="fr-CH"/>
        </w:rPr>
        <w:t xml:space="preserve">, d'après les résultats des études menées sur la base des Recommandations UIT-R, </w:t>
      </w:r>
      <w:r w:rsidR="0096191F">
        <w:rPr>
          <w:lang w:val="fr-CH"/>
        </w:rPr>
        <w:t xml:space="preserve">pour ce qui est des services généraux, les stations spatiales du système VDES </w:t>
      </w:r>
      <w:r w:rsidR="00B1768B">
        <w:rPr>
          <w:lang w:val="fr-CH"/>
        </w:rPr>
        <w:t xml:space="preserve">ne sont pas compatibles avec les stations des services fixe et mobile, qui bénéficient d'attributions à titre primaire. </w:t>
      </w:r>
      <w:r w:rsidR="007E72B1">
        <w:rPr>
          <w:lang w:val="fr-CH"/>
        </w:rPr>
        <w:t>En outre, l'UIT-R n'a mené aucune étude et aucune mesure réglementaire n'a été proposée pour garantir la compatibilité entre</w:t>
      </w:r>
      <w:r w:rsidR="00235005">
        <w:rPr>
          <w:lang w:val="fr-CH"/>
        </w:rPr>
        <w:t>, d'une part,</w:t>
      </w:r>
      <w:r w:rsidR="007E72B1">
        <w:rPr>
          <w:lang w:val="fr-CH"/>
        </w:rPr>
        <w:t xml:space="preserve"> la composante satellite du système VDES d'une administration et</w:t>
      </w:r>
      <w:r w:rsidR="00235005">
        <w:rPr>
          <w:lang w:val="fr-CH"/>
        </w:rPr>
        <w:t xml:space="preserve">, d'autre part, </w:t>
      </w:r>
      <w:r w:rsidR="003205A6">
        <w:rPr>
          <w:lang w:val="fr-CH"/>
        </w:rPr>
        <w:t>la composante</w:t>
      </w:r>
      <w:r w:rsidR="007E72B1">
        <w:rPr>
          <w:lang w:val="fr-CH"/>
        </w:rPr>
        <w:t xml:space="preserve"> de Terre du système VDES d'une autre administration</w:t>
      </w:r>
      <w:r w:rsidR="00235005">
        <w:rPr>
          <w:lang w:val="fr-CH"/>
        </w:rPr>
        <w:t xml:space="preserve"> et les applications ASM et AIS</w:t>
      </w:r>
      <w:r w:rsidR="007E72B1">
        <w:rPr>
          <w:lang w:val="fr-CH"/>
        </w:rPr>
        <w:t xml:space="preserve">, comme prescrit dans la Résolution </w:t>
      </w:r>
      <w:r w:rsidR="007E72B1">
        <w:rPr>
          <w:b/>
          <w:bCs/>
          <w:lang w:val="fr-CH"/>
        </w:rPr>
        <w:t>360 (Rév.CMR-15)</w:t>
      </w:r>
      <w:r w:rsidR="007E72B1">
        <w:rPr>
          <w:lang w:val="fr-CH"/>
        </w:rPr>
        <w:t>.</w:t>
      </w:r>
    </w:p>
    <w:p w14:paraId="4508A17F" w14:textId="795390F3" w:rsidR="00452E81" w:rsidRPr="00557188" w:rsidRDefault="00452E81" w:rsidP="00235005">
      <w:pPr>
        <w:rPr>
          <w:lang w:val="fr-CH"/>
        </w:rPr>
      </w:pPr>
      <w:r>
        <w:rPr>
          <w:lang w:val="fr-CH"/>
        </w:rPr>
        <w:t xml:space="preserve">Par conséquent, les Administrations des pays membres de la RCC estiment </w:t>
      </w:r>
      <w:r w:rsidR="00CD408D">
        <w:rPr>
          <w:lang w:val="fr-CH"/>
        </w:rPr>
        <w:t>qu'il conviendrait d'appliquer</w:t>
      </w:r>
      <w:r>
        <w:rPr>
          <w:lang w:val="fr-CH"/>
        </w:rPr>
        <w:t xml:space="preserve"> la Méthode A du Rapport de la RPC (consistant à n'apporter aucune modification au Règlement des radiocommunications) </w:t>
      </w:r>
      <w:r w:rsidR="00C107BF">
        <w:rPr>
          <w:lang w:val="fr-CH"/>
        </w:rPr>
        <w:t xml:space="preserve">pour traiter le point 1.9.2 de l'ordre du jour de la CMR-19. </w:t>
      </w:r>
    </w:p>
    <w:p w14:paraId="48F28C84" w14:textId="7816D50E" w:rsidR="00627A55" w:rsidRPr="00557188" w:rsidRDefault="00CD408D" w:rsidP="00235005">
      <w:pPr>
        <w:pStyle w:val="Headingb"/>
        <w:rPr>
          <w:lang w:val="fr-CH"/>
        </w:rPr>
      </w:pPr>
      <w:r>
        <w:rPr>
          <w:lang w:val="fr-CH"/>
        </w:rPr>
        <w:t>Proposition</w:t>
      </w:r>
    </w:p>
    <w:p w14:paraId="60C724AB" w14:textId="0C44BC08" w:rsidR="0015203F" w:rsidRPr="00557188" w:rsidRDefault="00CD408D" w:rsidP="00235005">
      <w:pPr>
        <w:rPr>
          <w:lang w:val="fr-CH"/>
        </w:rPr>
      </w:pPr>
      <w:r>
        <w:rPr>
          <w:rFonts w:eastAsia="Calibri"/>
          <w:szCs w:val="24"/>
          <w:lang w:val="fr-CH"/>
        </w:rPr>
        <w:t>Pour traiter le point 1.9.2</w:t>
      </w:r>
      <w:r w:rsidR="00627A55" w:rsidRPr="00557188">
        <w:rPr>
          <w:rFonts w:eastAsia="Calibri"/>
          <w:szCs w:val="24"/>
          <w:lang w:val="fr-CH"/>
        </w:rPr>
        <w:t xml:space="preserve"> de l'ordre du jour de la CMR-19, il est proposé d'utiliser le texte réglementaire joint en annexe.</w:t>
      </w:r>
      <w:r w:rsidR="0015203F" w:rsidRPr="00557188">
        <w:rPr>
          <w:lang w:val="fr-CH"/>
        </w:rPr>
        <w:br w:type="page"/>
      </w:r>
    </w:p>
    <w:p w14:paraId="52D6A8C9" w14:textId="77777777" w:rsidR="007F3F42" w:rsidRPr="00557188" w:rsidRDefault="00627A55" w:rsidP="00235005">
      <w:pPr>
        <w:pStyle w:val="ArtNo"/>
        <w:spacing w:before="0"/>
        <w:rPr>
          <w:lang w:val="fr-CH"/>
        </w:rPr>
      </w:pPr>
      <w:bookmarkStart w:id="6" w:name="_Toc455752914"/>
      <w:bookmarkStart w:id="7" w:name="_Toc455756153"/>
      <w:r w:rsidRPr="00557188">
        <w:rPr>
          <w:lang w:val="fr-CH"/>
        </w:rPr>
        <w:lastRenderedPageBreak/>
        <w:t xml:space="preserve">ARTICLE </w:t>
      </w:r>
      <w:r w:rsidRPr="00557188">
        <w:rPr>
          <w:rStyle w:val="href"/>
          <w:color w:val="000000"/>
          <w:lang w:val="fr-CH"/>
        </w:rPr>
        <w:t>5</w:t>
      </w:r>
      <w:bookmarkEnd w:id="6"/>
      <w:bookmarkEnd w:id="7"/>
    </w:p>
    <w:p w14:paraId="1015F9BE" w14:textId="77777777" w:rsidR="007F3F42" w:rsidRPr="00557188" w:rsidRDefault="00627A55" w:rsidP="00235005">
      <w:pPr>
        <w:pStyle w:val="Arttitle"/>
        <w:rPr>
          <w:lang w:val="fr-CH"/>
        </w:rPr>
      </w:pPr>
      <w:bookmarkStart w:id="8" w:name="_Toc455752915"/>
      <w:bookmarkStart w:id="9" w:name="_Toc455756154"/>
      <w:r w:rsidRPr="00557188">
        <w:rPr>
          <w:lang w:val="fr-CH"/>
        </w:rPr>
        <w:t>Attribution des bandes de fréquences</w:t>
      </w:r>
      <w:bookmarkEnd w:id="8"/>
      <w:bookmarkEnd w:id="9"/>
    </w:p>
    <w:p w14:paraId="361AB5E1" w14:textId="77777777" w:rsidR="00D73104" w:rsidRPr="00557188" w:rsidRDefault="00627A55" w:rsidP="00235005">
      <w:pPr>
        <w:pStyle w:val="Section1"/>
        <w:keepNext/>
        <w:rPr>
          <w:b w:val="0"/>
          <w:color w:val="000000"/>
          <w:lang w:val="fr-CH"/>
        </w:rPr>
      </w:pPr>
      <w:r w:rsidRPr="00557188">
        <w:rPr>
          <w:lang w:val="fr-CH"/>
        </w:rPr>
        <w:t>Section IV – Tableau d'attribution des bandes de fréquences</w:t>
      </w:r>
      <w:r w:rsidRPr="00557188">
        <w:rPr>
          <w:lang w:val="fr-CH"/>
        </w:rPr>
        <w:br/>
      </w:r>
      <w:r w:rsidRPr="00557188">
        <w:rPr>
          <w:b w:val="0"/>
          <w:bCs/>
          <w:lang w:val="fr-CH"/>
        </w:rPr>
        <w:t xml:space="preserve">(Voir le numéro </w:t>
      </w:r>
      <w:r w:rsidRPr="00557188">
        <w:rPr>
          <w:lang w:val="fr-CH"/>
        </w:rPr>
        <w:t>2.1</w:t>
      </w:r>
      <w:r w:rsidRPr="00557188">
        <w:rPr>
          <w:b w:val="0"/>
          <w:bCs/>
          <w:lang w:val="fr-CH"/>
        </w:rPr>
        <w:t>)</w:t>
      </w:r>
      <w:r w:rsidRPr="00557188">
        <w:rPr>
          <w:b w:val="0"/>
          <w:color w:val="000000"/>
          <w:lang w:val="fr-CH"/>
        </w:rPr>
        <w:br/>
      </w:r>
    </w:p>
    <w:p w14:paraId="39C059FF" w14:textId="77777777" w:rsidR="005147BC" w:rsidRPr="00557188" w:rsidRDefault="00627A55" w:rsidP="00235005">
      <w:pPr>
        <w:pStyle w:val="Proposal"/>
        <w:rPr>
          <w:lang w:val="fr-CH"/>
        </w:rPr>
      </w:pPr>
      <w:r w:rsidRPr="00557188">
        <w:rPr>
          <w:u w:val="single"/>
          <w:lang w:val="fr-CH"/>
        </w:rPr>
        <w:t>NOC</w:t>
      </w:r>
      <w:r w:rsidRPr="00557188">
        <w:rPr>
          <w:lang w:val="fr-CH"/>
        </w:rPr>
        <w:tab/>
        <w:t>RCC/12A9A2/1</w:t>
      </w:r>
      <w:r w:rsidRPr="00557188">
        <w:rPr>
          <w:vanish/>
          <w:color w:val="7F7F7F" w:themeColor="text1" w:themeTint="80"/>
          <w:vertAlign w:val="superscript"/>
          <w:lang w:val="fr-CH"/>
        </w:rPr>
        <w:t>#50293</w:t>
      </w:r>
    </w:p>
    <w:p w14:paraId="23495CA3" w14:textId="77777777" w:rsidR="007132E2" w:rsidRPr="00557188" w:rsidRDefault="00627A55" w:rsidP="00235005">
      <w:pPr>
        <w:pStyle w:val="Tabletitle"/>
        <w:rPr>
          <w:lang w:val="fr-CH"/>
        </w:rPr>
      </w:pPr>
      <w:r w:rsidRPr="00557188">
        <w:rPr>
          <w:lang w:val="fr-CH"/>
        </w:rPr>
        <w:t>148-161,9375 MHz</w:t>
      </w:r>
      <w:r w:rsidRPr="00557188">
        <w:rPr>
          <w:rFonts w:ascii="Calibri" w:hAnsi="Calibri"/>
          <w:color w:val="800000"/>
          <w:sz w:val="22"/>
          <w:lang w:val="fr-CH"/>
        </w:rPr>
        <w:t xml:space="preserve"> </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7132E2" w:rsidRPr="00557188" w14:paraId="7DF17C90" w14:textId="77777777" w:rsidTr="007132E2">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50739A40" w14:textId="77777777" w:rsidR="007132E2" w:rsidRPr="00557188" w:rsidRDefault="00627A55" w:rsidP="00235005">
            <w:pPr>
              <w:pStyle w:val="Tablehead"/>
              <w:rPr>
                <w:color w:val="000000"/>
                <w:lang w:val="fr-CH"/>
              </w:rPr>
            </w:pPr>
            <w:r w:rsidRPr="00557188">
              <w:rPr>
                <w:color w:val="000000"/>
                <w:lang w:val="fr-CH"/>
              </w:rPr>
              <w:t>Attribution aux services</w:t>
            </w:r>
          </w:p>
        </w:tc>
      </w:tr>
      <w:tr w:rsidR="007132E2" w:rsidRPr="00557188" w14:paraId="51CF52B7" w14:textId="77777777" w:rsidTr="007132E2">
        <w:trPr>
          <w:cantSplit/>
          <w:jc w:val="center"/>
        </w:trPr>
        <w:tc>
          <w:tcPr>
            <w:tcW w:w="3101" w:type="dxa"/>
            <w:tcBorders>
              <w:top w:val="single" w:sz="6" w:space="0" w:color="auto"/>
              <w:left w:val="single" w:sz="6" w:space="0" w:color="auto"/>
              <w:bottom w:val="single" w:sz="6" w:space="0" w:color="auto"/>
              <w:right w:val="single" w:sz="6" w:space="0" w:color="auto"/>
            </w:tcBorders>
          </w:tcPr>
          <w:p w14:paraId="34448F0F" w14:textId="77777777" w:rsidR="007132E2" w:rsidRPr="00557188" w:rsidRDefault="00627A55" w:rsidP="00235005">
            <w:pPr>
              <w:pStyle w:val="Tablehead"/>
              <w:rPr>
                <w:color w:val="000000"/>
                <w:lang w:val="fr-CH"/>
              </w:rPr>
            </w:pPr>
            <w:r w:rsidRPr="00557188">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14:paraId="4530F7E8" w14:textId="77777777" w:rsidR="007132E2" w:rsidRPr="00557188" w:rsidRDefault="00627A55" w:rsidP="00235005">
            <w:pPr>
              <w:pStyle w:val="Tablehead"/>
              <w:rPr>
                <w:color w:val="000000"/>
                <w:lang w:val="fr-CH"/>
              </w:rPr>
            </w:pPr>
            <w:r w:rsidRPr="00557188">
              <w:rPr>
                <w:color w:val="000000"/>
                <w:lang w:val="fr-CH"/>
              </w:rPr>
              <w:t>Région 2</w:t>
            </w:r>
          </w:p>
        </w:tc>
        <w:tc>
          <w:tcPr>
            <w:tcW w:w="3102" w:type="dxa"/>
            <w:tcBorders>
              <w:top w:val="single" w:sz="6" w:space="0" w:color="auto"/>
              <w:left w:val="single" w:sz="6" w:space="0" w:color="auto"/>
              <w:bottom w:val="single" w:sz="6" w:space="0" w:color="auto"/>
              <w:right w:val="single" w:sz="6" w:space="0" w:color="auto"/>
            </w:tcBorders>
          </w:tcPr>
          <w:p w14:paraId="02A367BC" w14:textId="77777777" w:rsidR="007132E2" w:rsidRPr="00557188" w:rsidRDefault="00627A55" w:rsidP="00235005">
            <w:pPr>
              <w:pStyle w:val="Tablehead"/>
              <w:rPr>
                <w:color w:val="000000"/>
                <w:lang w:val="fr-CH"/>
              </w:rPr>
            </w:pPr>
            <w:r w:rsidRPr="00557188">
              <w:rPr>
                <w:color w:val="000000"/>
                <w:lang w:val="fr-CH"/>
              </w:rPr>
              <w:t>Région 3</w:t>
            </w:r>
          </w:p>
        </w:tc>
      </w:tr>
      <w:tr w:rsidR="007132E2" w:rsidRPr="00557188" w14:paraId="0B708FFB" w14:textId="77777777" w:rsidTr="007132E2">
        <w:trPr>
          <w:cantSplit/>
          <w:jc w:val="center"/>
        </w:trPr>
        <w:tc>
          <w:tcPr>
            <w:tcW w:w="3101" w:type="dxa"/>
            <w:tcBorders>
              <w:top w:val="single" w:sz="6" w:space="0" w:color="auto"/>
              <w:left w:val="single" w:sz="6" w:space="0" w:color="auto"/>
              <w:right w:val="single" w:sz="6" w:space="0" w:color="auto"/>
            </w:tcBorders>
          </w:tcPr>
          <w:p w14:paraId="19A511E6" w14:textId="77777777" w:rsidR="007132E2" w:rsidRPr="00557188" w:rsidRDefault="00627A55" w:rsidP="00235005">
            <w:pPr>
              <w:pStyle w:val="TableTextS5"/>
              <w:rPr>
                <w:rStyle w:val="Tablefreq"/>
                <w:lang w:val="fr-CH"/>
              </w:rPr>
            </w:pPr>
            <w:r w:rsidRPr="00557188">
              <w:rPr>
                <w:rStyle w:val="Tablefreq"/>
                <w:lang w:val="fr-CH"/>
              </w:rPr>
              <w:t>156,8375-161,9375</w:t>
            </w:r>
          </w:p>
          <w:p w14:paraId="6CAC5FBF" w14:textId="77777777" w:rsidR="007132E2" w:rsidRPr="00557188" w:rsidRDefault="00627A55" w:rsidP="00235005">
            <w:pPr>
              <w:pStyle w:val="TableTextS5"/>
              <w:rPr>
                <w:color w:val="000000"/>
                <w:lang w:val="fr-CH"/>
              </w:rPr>
            </w:pPr>
            <w:r w:rsidRPr="00557188">
              <w:rPr>
                <w:color w:val="000000"/>
                <w:lang w:val="fr-CH"/>
              </w:rPr>
              <w:t>FIXE</w:t>
            </w:r>
          </w:p>
          <w:p w14:paraId="2BE20F42" w14:textId="77777777" w:rsidR="007132E2" w:rsidRPr="00557188" w:rsidRDefault="00627A55" w:rsidP="00235005">
            <w:pPr>
              <w:pStyle w:val="TableTextS5"/>
              <w:rPr>
                <w:color w:val="000000"/>
                <w:lang w:val="fr-CH"/>
              </w:rPr>
            </w:pPr>
            <w:r w:rsidRPr="00557188">
              <w:rPr>
                <w:color w:val="000000"/>
                <w:lang w:val="fr-CH"/>
              </w:rPr>
              <w:t>MOBILE sauf mobile aéronautique</w:t>
            </w:r>
          </w:p>
        </w:tc>
        <w:tc>
          <w:tcPr>
            <w:tcW w:w="6203" w:type="dxa"/>
            <w:gridSpan w:val="2"/>
            <w:tcBorders>
              <w:top w:val="single" w:sz="6" w:space="0" w:color="auto"/>
              <w:left w:val="single" w:sz="6" w:space="0" w:color="auto"/>
              <w:right w:val="single" w:sz="6" w:space="0" w:color="auto"/>
            </w:tcBorders>
          </w:tcPr>
          <w:p w14:paraId="1A702DF9" w14:textId="77777777" w:rsidR="007132E2" w:rsidRPr="00557188" w:rsidRDefault="00627A55" w:rsidP="00235005">
            <w:pPr>
              <w:pStyle w:val="TableTextS5"/>
              <w:rPr>
                <w:rStyle w:val="Tablefreq"/>
                <w:b w:val="0"/>
                <w:lang w:val="fr-CH"/>
              </w:rPr>
            </w:pPr>
            <w:r w:rsidRPr="00557188">
              <w:rPr>
                <w:rStyle w:val="Tablefreq"/>
                <w:lang w:val="fr-CH"/>
              </w:rPr>
              <w:t>156,8375-161,9375</w:t>
            </w:r>
          </w:p>
          <w:p w14:paraId="5CA05883" w14:textId="77777777" w:rsidR="007132E2" w:rsidRPr="00557188" w:rsidRDefault="00627A55" w:rsidP="00235005">
            <w:pPr>
              <w:pStyle w:val="TableTextS5"/>
              <w:rPr>
                <w:color w:val="000000"/>
                <w:lang w:val="fr-CH"/>
              </w:rPr>
            </w:pPr>
            <w:r w:rsidRPr="00557188">
              <w:rPr>
                <w:color w:val="000000"/>
                <w:lang w:val="fr-CH"/>
              </w:rPr>
              <w:tab/>
            </w:r>
            <w:r w:rsidRPr="00557188">
              <w:rPr>
                <w:color w:val="000000"/>
                <w:lang w:val="fr-CH"/>
              </w:rPr>
              <w:tab/>
              <w:t>FIXE</w:t>
            </w:r>
          </w:p>
          <w:p w14:paraId="0E707621" w14:textId="77777777" w:rsidR="007132E2" w:rsidRPr="00557188" w:rsidRDefault="00627A55" w:rsidP="00235005">
            <w:pPr>
              <w:pStyle w:val="TableTextS5"/>
              <w:rPr>
                <w:color w:val="000000"/>
                <w:lang w:val="fr-CH"/>
              </w:rPr>
            </w:pPr>
            <w:r w:rsidRPr="00557188">
              <w:rPr>
                <w:color w:val="000000"/>
                <w:lang w:val="fr-CH"/>
              </w:rPr>
              <w:tab/>
            </w:r>
            <w:r w:rsidRPr="00557188">
              <w:rPr>
                <w:color w:val="000000"/>
                <w:lang w:val="fr-CH"/>
              </w:rPr>
              <w:tab/>
              <w:t>MOBILE</w:t>
            </w:r>
          </w:p>
        </w:tc>
      </w:tr>
      <w:tr w:rsidR="007132E2" w:rsidRPr="00557188" w14:paraId="0BF216CA" w14:textId="77777777" w:rsidTr="007132E2">
        <w:trPr>
          <w:cantSplit/>
          <w:jc w:val="center"/>
        </w:trPr>
        <w:tc>
          <w:tcPr>
            <w:tcW w:w="3101" w:type="dxa"/>
            <w:tcBorders>
              <w:left w:val="single" w:sz="6" w:space="0" w:color="auto"/>
              <w:bottom w:val="single" w:sz="6" w:space="0" w:color="auto"/>
              <w:right w:val="single" w:sz="6" w:space="0" w:color="auto"/>
            </w:tcBorders>
          </w:tcPr>
          <w:p w14:paraId="7850484D" w14:textId="77777777" w:rsidR="007132E2" w:rsidRPr="00557188" w:rsidRDefault="00627A55" w:rsidP="00235005">
            <w:pPr>
              <w:pStyle w:val="TableTextS5"/>
              <w:rPr>
                <w:rStyle w:val="Tablefreq"/>
                <w:color w:val="000000"/>
                <w:lang w:val="fr-CH"/>
              </w:rPr>
            </w:pPr>
            <w:r w:rsidRPr="00557188">
              <w:rPr>
                <w:lang w:val="fr-CH"/>
              </w:rPr>
              <w:t>5.226</w:t>
            </w:r>
            <w:r w:rsidRPr="00557188">
              <w:rPr>
                <w:color w:val="000000"/>
                <w:lang w:val="fr-CH"/>
              </w:rPr>
              <w:t xml:space="preserve">  </w:t>
            </w:r>
          </w:p>
        </w:tc>
        <w:tc>
          <w:tcPr>
            <w:tcW w:w="6203" w:type="dxa"/>
            <w:gridSpan w:val="2"/>
            <w:tcBorders>
              <w:left w:val="single" w:sz="6" w:space="0" w:color="auto"/>
              <w:bottom w:val="single" w:sz="6" w:space="0" w:color="auto"/>
              <w:right w:val="single" w:sz="6" w:space="0" w:color="auto"/>
            </w:tcBorders>
          </w:tcPr>
          <w:p w14:paraId="3AF2B40C" w14:textId="77777777" w:rsidR="007132E2" w:rsidRPr="00557188" w:rsidRDefault="00627A55" w:rsidP="00235005">
            <w:pPr>
              <w:pStyle w:val="TableTextS5"/>
              <w:rPr>
                <w:rStyle w:val="Tablefreq"/>
                <w:color w:val="000000"/>
                <w:lang w:val="fr-CH"/>
              </w:rPr>
            </w:pPr>
            <w:r w:rsidRPr="00557188">
              <w:rPr>
                <w:lang w:val="fr-CH"/>
              </w:rPr>
              <w:tab/>
            </w:r>
            <w:r w:rsidRPr="00557188">
              <w:rPr>
                <w:lang w:val="fr-CH"/>
              </w:rPr>
              <w:tab/>
              <w:t>5.226</w:t>
            </w:r>
            <w:r w:rsidRPr="00557188">
              <w:rPr>
                <w:color w:val="000000"/>
                <w:lang w:val="fr-CH"/>
              </w:rPr>
              <w:t xml:space="preserve">  </w:t>
            </w:r>
          </w:p>
        </w:tc>
      </w:tr>
    </w:tbl>
    <w:p w14:paraId="61610279" w14:textId="77777777" w:rsidR="005147BC" w:rsidRPr="00557188" w:rsidRDefault="005147BC" w:rsidP="00235005">
      <w:pPr>
        <w:rPr>
          <w:lang w:val="fr-CH"/>
        </w:rPr>
      </w:pPr>
    </w:p>
    <w:p w14:paraId="2CB0E677" w14:textId="77777777" w:rsidR="00E531CD" w:rsidRDefault="00627A55" w:rsidP="00E531CD">
      <w:pPr>
        <w:rPr>
          <w:lang w:val="fr-CH"/>
        </w:rPr>
      </w:pPr>
      <w:r w:rsidRPr="00557188">
        <w:rPr>
          <w:b/>
          <w:lang w:val="fr-CH"/>
        </w:rPr>
        <w:t>Motifs:</w:t>
      </w:r>
      <w:r w:rsidRPr="00557188">
        <w:rPr>
          <w:lang w:val="fr-CH"/>
        </w:rPr>
        <w:tab/>
      </w:r>
      <w:r w:rsidR="00CD408D">
        <w:rPr>
          <w:lang w:val="fr-CH"/>
        </w:rPr>
        <w:t>Les études effectuées ont montré que</w:t>
      </w:r>
      <w:r w:rsidR="005C2B26">
        <w:rPr>
          <w:lang w:val="fr-CH"/>
        </w:rPr>
        <w:t>, lorsqu'elle est exploitée en association avec les stations côtières, la composante satellite du système VDES,</w:t>
      </w:r>
      <w:r w:rsidR="00CD408D">
        <w:rPr>
          <w:lang w:val="fr-CH"/>
        </w:rPr>
        <w:t xml:space="preserve"> dont les caractéristiques sont présentées dans la Recommandation UIT-R M.2092 intitulée «</w:t>
      </w:r>
      <w:r w:rsidR="005C2B26" w:rsidRPr="00557188">
        <w:rPr>
          <w:lang w:val="fr-CH"/>
        </w:rPr>
        <w:t>Caractéristiques techniques d'un système d'échange de données en ondes métriques exploité dans la bande d'ondes métriques attribuée au service mobile maritime</w:t>
      </w:r>
      <w:r w:rsidR="00CD408D">
        <w:rPr>
          <w:lang w:val="fr-CH"/>
        </w:rPr>
        <w:t>»</w:t>
      </w:r>
      <w:r w:rsidR="005C2B26">
        <w:rPr>
          <w:lang w:val="fr-CH"/>
        </w:rPr>
        <w:t xml:space="preserve">, n'est pas compatible avec les systèmes des services fixe et mobile bénéficiant d'attributions </w:t>
      </w:r>
      <w:r w:rsidR="00FC78E1">
        <w:rPr>
          <w:lang w:val="fr-CH"/>
        </w:rPr>
        <w:t xml:space="preserve">à titre primaire </w:t>
      </w:r>
      <w:r w:rsidR="005C2B26">
        <w:rPr>
          <w:lang w:val="fr-CH"/>
        </w:rPr>
        <w:t>dans la gamme de fréquences comprise entre 156,8375</w:t>
      </w:r>
      <w:r w:rsidR="00666C23">
        <w:rPr>
          <w:lang w:val="fr-CH"/>
        </w:rPr>
        <w:t> </w:t>
      </w:r>
      <w:r w:rsidR="005C2B26">
        <w:rPr>
          <w:lang w:val="fr-CH"/>
        </w:rPr>
        <w:t>MHz et 161,9375 MHz</w:t>
      </w:r>
      <w:r w:rsidR="001D0339">
        <w:rPr>
          <w:lang w:val="fr-CH"/>
        </w:rPr>
        <w:t>.</w:t>
      </w:r>
      <w:bookmarkStart w:id="10" w:name="_GoBack"/>
    </w:p>
    <w:bookmarkEnd w:id="10"/>
    <w:p w14:paraId="3A9194FE" w14:textId="1986265E" w:rsidR="007E72B1" w:rsidRPr="00ED143F" w:rsidRDefault="007E72B1" w:rsidP="00E531CD">
      <w:pPr>
        <w:rPr>
          <w:lang w:val="fr-CH"/>
        </w:rPr>
      </w:pPr>
      <w:r>
        <w:rPr>
          <w:lang w:val="fr-CH"/>
        </w:rPr>
        <w:t>En outre, l'UIT-R n'a mené aucune étude et aucune mesure réglementaire n'a été proposée pour garantir la compatibilité entre</w:t>
      </w:r>
      <w:r w:rsidR="00235005">
        <w:rPr>
          <w:lang w:val="fr-CH"/>
        </w:rPr>
        <w:t xml:space="preserve">, d'une part, </w:t>
      </w:r>
      <w:r>
        <w:rPr>
          <w:lang w:val="fr-CH"/>
        </w:rPr>
        <w:t>la composante satellite du système VDES d'une administration et</w:t>
      </w:r>
      <w:r w:rsidR="00235005">
        <w:rPr>
          <w:lang w:val="fr-CH"/>
        </w:rPr>
        <w:t xml:space="preserve">, d'autre part, </w:t>
      </w:r>
      <w:r w:rsidR="003205A6">
        <w:rPr>
          <w:lang w:val="fr-CH"/>
        </w:rPr>
        <w:t>la composante</w:t>
      </w:r>
      <w:r>
        <w:rPr>
          <w:lang w:val="fr-CH"/>
        </w:rPr>
        <w:t xml:space="preserve"> de Terre du système VDES d'une autre administration</w:t>
      </w:r>
      <w:r w:rsidR="00235005">
        <w:rPr>
          <w:lang w:val="fr-CH"/>
        </w:rPr>
        <w:t xml:space="preserve"> et les applications ASM et AIS</w:t>
      </w:r>
      <w:r>
        <w:rPr>
          <w:lang w:val="fr-CH"/>
        </w:rPr>
        <w:t xml:space="preserve">, comme prescrit dans la Résolution </w:t>
      </w:r>
      <w:r>
        <w:rPr>
          <w:b/>
          <w:bCs/>
          <w:lang w:val="fr-CH"/>
        </w:rPr>
        <w:t>360 (Rév.CMR-15)</w:t>
      </w:r>
      <w:r>
        <w:rPr>
          <w:lang w:val="fr-CH"/>
        </w:rPr>
        <w:t>.</w:t>
      </w:r>
    </w:p>
    <w:p w14:paraId="33EEE720" w14:textId="7FBAE7CB" w:rsidR="007E72B1" w:rsidRPr="00557188" w:rsidRDefault="007E72B1" w:rsidP="00235005">
      <w:pPr>
        <w:pStyle w:val="Reasons"/>
        <w:rPr>
          <w:lang w:val="fr-CH"/>
        </w:rPr>
      </w:pPr>
      <w:r>
        <w:rPr>
          <w:lang w:val="fr-CH"/>
        </w:rPr>
        <w:t xml:space="preserve">Par voie de conséquence, il n'existe pas suffisamment de raisons justifiant que l'on modifie les attributions existantes </w:t>
      </w:r>
      <w:r w:rsidR="00FB46A7">
        <w:rPr>
          <w:lang w:val="fr-CH"/>
        </w:rPr>
        <w:t>aux</w:t>
      </w:r>
      <w:r>
        <w:rPr>
          <w:lang w:val="fr-CH"/>
        </w:rPr>
        <w:t xml:space="preserve"> services de radiocommunication dans la gamme de fréquences en question.</w:t>
      </w:r>
    </w:p>
    <w:p w14:paraId="1FFCE8AA" w14:textId="77777777" w:rsidR="005147BC" w:rsidRPr="00557188" w:rsidRDefault="00627A55" w:rsidP="00235005">
      <w:pPr>
        <w:pStyle w:val="Proposal"/>
        <w:rPr>
          <w:lang w:val="fr-CH"/>
        </w:rPr>
      </w:pPr>
      <w:r w:rsidRPr="00557188">
        <w:rPr>
          <w:lang w:val="fr-CH"/>
        </w:rPr>
        <w:t>SUP</w:t>
      </w:r>
      <w:r w:rsidRPr="00557188">
        <w:rPr>
          <w:lang w:val="fr-CH"/>
        </w:rPr>
        <w:tab/>
        <w:t>RCC/12A9A2/2</w:t>
      </w:r>
      <w:r w:rsidRPr="00557188">
        <w:rPr>
          <w:vanish/>
          <w:color w:val="7F7F7F" w:themeColor="text1" w:themeTint="80"/>
          <w:vertAlign w:val="superscript"/>
          <w:lang w:val="fr-CH"/>
        </w:rPr>
        <w:t>#50294</w:t>
      </w:r>
    </w:p>
    <w:p w14:paraId="44767D53" w14:textId="77777777" w:rsidR="007132E2" w:rsidRPr="00557188" w:rsidRDefault="00627A55" w:rsidP="00235005">
      <w:pPr>
        <w:pStyle w:val="ResNo"/>
        <w:rPr>
          <w:lang w:val="fr-CH"/>
        </w:rPr>
      </w:pPr>
      <w:r w:rsidRPr="00557188">
        <w:rPr>
          <w:lang w:val="fr-CH"/>
        </w:rPr>
        <w:t xml:space="preserve">RÉSOLUTION </w:t>
      </w:r>
      <w:r w:rsidRPr="00557188">
        <w:rPr>
          <w:rStyle w:val="href"/>
          <w:lang w:val="fr-CH"/>
        </w:rPr>
        <w:t>360</w:t>
      </w:r>
      <w:r w:rsidRPr="00557188">
        <w:rPr>
          <w:lang w:val="fr-CH"/>
        </w:rPr>
        <w:t xml:space="preserve"> (Rév.CMR-15)</w:t>
      </w:r>
    </w:p>
    <w:p w14:paraId="10B2C281" w14:textId="77777777" w:rsidR="007132E2" w:rsidRPr="00557188" w:rsidRDefault="00627A55" w:rsidP="00235005">
      <w:pPr>
        <w:pStyle w:val="Restitle"/>
        <w:rPr>
          <w:lang w:val="fr-CH"/>
        </w:rPr>
      </w:pPr>
      <w:r w:rsidRPr="00557188">
        <w:rPr>
          <w:lang w:val="fr-CH"/>
        </w:rPr>
        <w:t xml:space="preserve">Examen des dispositions réglementaires et des attributions de fréquences au service mobile maritime par satellite pour permettre l'exploitation de la composante satellite du système d'échange de données en ondes </w:t>
      </w:r>
      <w:r w:rsidRPr="00557188">
        <w:rPr>
          <w:lang w:val="fr-CH"/>
        </w:rPr>
        <w:br/>
        <w:t>métriques et l'amélioration des radiocommunications maritimes</w:t>
      </w:r>
    </w:p>
    <w:p w14:paraId="68A3FE1F" w14:textId="544E7D3A" w:rsidR="00FB46A7" w:rsidRPr="00FB46A7" w:rsidRDefault="00627A55" w:rsidP="00235005">
      <w:pPr>
        <w:pStyle w:val="Reasons"/>
        <w:rPr>
          <w:lang w:val="fr-CH"/>
        </w:rPr>
      </w:pPr>
      <w:proofErr w:type="gramStart"/>
      <w:r w:rsidRPr="00557188">
        <w:rPr>
          <w:b/>
          <w:lang w:val="fr-CH"/>
        </w:rPr>
        <w:t>Motifs:</w:t>
      </w:r>
      <w:proofErr w:type="gramEnd"/>
      <w:r w:rsidR="006C727C">
        <w:rPr>
          <w:lang w:val="fr-CH"/>
        </w:rPr>
        <w:tab/>
      </w:r>
      <w:r w:rsidR="00FB46A7">
        <w:rPr>
          <w:lang w:val="fr-CH"/>
        </w:rPr>
        <w:t xml:space="preserve">Il est proposé de supprimer la Résolution </w:t>
      </w:r>
      <w:r w:rsidR="00FB46A7">
        <w:rPr>
          <w:b/>
          <w:bCs/>
          <w:lang w:val="fr-CH"/>
        </w:rPr>
        <w:t>360 (Rév.CMR-15)</w:t>
      </w:r>
      <w:r w:rsidR="00FB46A7">
        <w:rPr>
          <w:lang w:val="fr-CH"/>
        </w:rPr>
        <w:t xml:space="preserve">, étant donné que les résultats des études effectuées ont montré qu'il </w:t>
      </w:r>
      <w:r w:rsidR="006C727C">
        <w:rPr>
          <w:lang w:val="fr-CH"/>
        </w:rPr>
        <w:t>n'était</w:t>
      </w:r>
      <w:r w:rsidR="00FB46A7">
        <w:rPr>
          <w:lang w:val="fr-CH"/>
        </w:rPr>
        <w:t xml:space="preserve"> pas possible d'attribuer </w:t>
      </w:r>
      <w:r w:rsidR="008B26A3">
        <w:rPr>
          <w:lang w:val="fr-CH"/>
        </w:rPr>
        <w:t xml:space="preserve">des bandes de fréquences pour la mise en </w:t>
      </w:r>
      <w:r w:rsidR="00666C23">
        <w:rPr>
          <w:lang w:val="fr-CH"/>
        </w:rPr>
        <w:t>œ</w:t>
      </w:r>
      <w:r w:rsidR="008B26A3">
        <w:rPr>
          <w:lang w:val="fr-CH"/>
        </w:rPr>
        <w:t xml:space="preserve">uvre de la composante satellite du système VDES. </w:t>
      </w:r>
    </w:p>
    <w:p w14:paraId="03710EF4" w14:textId="77777777" w:rsidR="00627A55" w:rsidRPr="00557188" w:rsidRDefault="00627A55" w:rsidP="00235005">
      <w:pPr>
        <w:jc w:val="center"/>
        <w:rPr>
          <w:lang w:val="fr-CH"/>
        </w:rPr>
      </w:pPr>
      <w:r w:rsidRPr="00557188">
        <w:rPr>
          <w:lang w:val="fr-CH"/>
        </w:rPr>
        <w:t>______________</w:t>
      </w:r>
    </w:p>
    <w:sectPr w:rsidR="00627A55" w:rsidRPr="00557188">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AE11B" w14:textId="77777777" w:rsidR="00BC217E" w:rsidRDefault="00BC217E">
      <w:r>
        <w:separator/>
      </w:r>
    </w:p>
  </w:endnote>
  <w:endnote w:type="continuationSeparator" w:id="0">
    <w:p w14:paraId="412C2CBD" w14:textId="77777777" w:rsidR="00BC217E" w:rsidRDefault="00BC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D610" w14:textId="2A65BD9E" w:rsidR="00936D25" w:rsidRDefault="00936D25">
    <w:pPr>
      <w:rPr>
        <w:lang w:val="en-US"/>
      </w:rPr>
    </w:pPr>
    <w:r>
      <w:fldChar w:fldCharType="begin"/>
    </w:r>
    <w:r>
      <w:rPr>
        <w:lang w:val="en-US"/>
      </w:rPr>
      <w:instrText xml:space="preserve"> FILENAME \p  \* MERGEFORMAT </w:instrText>
    </w:r>
    <w:r>
      <w:fldChar w:fldCharType="separate"/>
    </w:r>
    <w:r w:rsidR="007E482E">
      <w:rPr>
        <w:noProof/>
        <w:lang w:val="en-US"/>
      </w:rPr>
      <w:t>P:\FRA\ITU-R\CONF-R\CMR19\000\012ADD09ADD02F.docx</w:t>
    </w:r>
    <w:r>
      <w:fldChar w:fldCharType="end"/>
    </w:r>
    <w:r>
      <w:rPr>
        <w:lang w:val="en-US"/>
      </w:rPr>
      <w:tab/>
    </w:r>
    <w:r>
      <w:fldChar w:fldCharType="begin"/>
    </w:r>
    <w:r>
      <w:instrText xml:space="preserve"> SAVEDATE \@ DD.MM.YY </w:instrText>
    </w:r>
    <w:r>
      <w:fldChar w:fldCharType="separate"/>
    </w:r>
    <w:r w:rsidR="00632D66">
      <w:rPr>
        <w:noProof/>
      </w:rPr>
      <w:t>24.10.19</w:t>
    </w:r>
    <w:r>
      <w:fldChar w:fldCharType="end"/>
    </w:r>
    <w:r>
      <w:rPr>
        <w:lang w:val="en-US"/>
      </w:rPr>
      <w:tab/>
    </w:r>
    <w:r>
      <w:fldChar w:fldCharType="begin"/>
    </w:r>
    <w:r>
      <w:instrText xml:space="preserve"> PRINTDATE \@ DD.MM.YY </w:instrText>
    </w:r>
    <w:r>
      <w:fldChar w:fldCharType="separate"/>
    </w:r>
    <w:r w:rsidR="007E482E">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67BDB" w14:textId="6BB818F7" w:rsidR="00936D25" w:rsidRPr="00627A55" w:rsidRDefault="00936D25" w:rsidP="007B2C34">
    <w:pPr>
      <w:pStyle w:val="Footer"/>
      <w:rPr>
        <w:lang w:val="en-GB"/>
      </w:rPr>
    </w:pPr>
    <w:r>
      <w:fldChar w:fldCharType="begin"/>
    </w:r>
    <w:r>
      <w:rPr>
        <w:lang w:val="en-US"/>
      </w:rPr>
      <w:instrText xml:space="preserve"> FILENAME \p  \* MERGEFORMAT </w:instrText>
    </w:r>
    <w:r>
      <w:fldChar w:fldCharType="separate"/>
    </w:r>
    <w:r w:rsidR="007E482E">
      <w:rPr>
        <w:lang w:val="en-US"/>
      </w:rPr>
      <w:t>P:\FRA\ITU-R\CONF-R\CMR19\000\012ADD09ADD02F.docx</w:t>
    </w:r>
    <w:r>
      <w:fldChar w:fldCharType="end"/>
    </w:r>
    <w:r w:rsidR="00627A55" w:rsidRPr="00627A55">
      <w:rPr>
        <w:lang w:val="en-GB"/>
      </w:rPr>
      <w:t xml:space="preserve"> </w:t>
    </w:r>
    <w:r w:rsidR="00627A55">
      <w:rPr>
        <w:lang w:val="en-GB"/>
      </w:rPr>
      <w:t>(461761)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6E4B" w14:textId="4A61BBFD" w:rsidR="00936D25" w:rsidRPr="00627A55" w:rsidRDefault="00936D25" w:rsidP="001A11F6">
    <w:pPr>
      <w:pStyle w:val="Footer"/>
      <w:rPr>
        <w:lang w:val="en-GB"/>
      </w:rPr>
    </w:pPr>
    <w:r>
      <w:fldChar w:fldCharType="begin"/>
    </w:r>
    <w:r>
      <w:rPr>
        <w:lang w:val="en-US"/>
      </w:rPr>
      <w:instrText xml:space="preserve"> FILENAME \p  \* MERGEFORMAT </w:instrText>
    </w:r>
    <w:r>
      <w:fldChar w:fldCharType="separate"/>
    </w:r>
    <w:r w:rsidR="007E482E">
      <w:rPr>
        <w:lang w:val="en-US"/>
      </w:rPr>
      <w:t>P:\FRA\ITU-R\CONF-R\CMR19\000\012ADD09ADD02F.docx</w:t>
    </w:r>
    <w:r>
      <w:fldChar w:fldCharType="end"/>
    </w:r>
    <w:r w:rsidR="00627A55" w:rsidRPr="00627A55">
      <w:rPr>
        <w:lang w:val="en-GB"/>
      </w:rPr>
      <w:t xml:space="preserve"> </w:t>
    </w:r>
    <w:r w:rsidR="00627A55">
      <w:rPr>
        <w:lang w:val="en-GB"/>
      </w:rPr>
      <w:t>(461761)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24BC9" w14:textId="77777777" w:rsidR="00BC217E" w:rsidRDefault="00BC217E">
      <w:r>
        <w:rPr>
          <w:b/>
        </w:rPr>
        <w:t>_______________</w:t>
      </w:r>
    </w:p>
  </w:footnote>
  <w:footnote w:type="continuationSeparator" w:id="0">
    <w:p w14:paraId="3C821153" w14:textId="77777777" w:rsidR="00BC217E" w:rsidRDefault="00BC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4BFF" w14:textId="77777777" w:rsidR="004F1F8E" w:rsidRDefault="004F1F8E" w:rsidP="004F1F8E">
    <w:pPr>
      <w:pStyle w:val="Header"/>
    </w:pPr>
    <w:r>
      <w:fldChar w:fldCharType="begin"/>
    </w:r>
    <w:r>
      <w:instrText xml:space="preserve"> PAGE </w:instrText>
    </w:r>
    <w:r>
      <w:fldChar w:fldCharType="separate"/>
    </w:r>
    <w:r w:rsidR="003205A6">
      <w:rPr>
        <w:noProof/>
      </w:rPr>
      <w:t>4</w:t>
    </w:r>
    <w:r>
      <w:fldChar w:fldCharType="end"/>
    </w:r>
  </w:p>
  <w:p w14:paraId="7C8F45A8" w14:textId="77777777" w:rsidR="004F1F8E" w:rsidRDefault="004F1F8E" w:rsidP="00FD7AA3">
    <w:pPr>
      <w:pStyle w:val="Header"/>
    </w:pPr>
    <w:r>
      <w:t>CMR1</w:t>
    </w:r>
    <w:r w:rsidR="00FD7AA3">
      <w:t>9</w:t>
    </w:r>
    <w:r>
      <w:t>/</w:t>
    </w:r>
    <w:r w:rsidR="006A4B45">
      <w:t>12(Add.9)(Add.2)-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29F0"/>
    <w:rsid w:val="0003522F"/>
    <w:rsid w:val="00062F72"/>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D0339"/>
    <w:rsid w:val="001F17E8"/>
    <w:rsid w:val="00204306"/>
    <w:rsid w:val="002211CF"/>
    <w:rsid w:val="00232FD2"/>
    <w:rsid w:val="00235005"/>
    <w:rsid w:val="0026554E"/>
    <w:rsid w:val="002A4622"/>
    <w:rsid w:val="002A6F8F"/>
    <w:rsid w:val="002B17E5"/>
    <w:rsid w:val="002C0EBF"/>
    <w:rsid w:val="002C28A4"/>
    <w:rsid w:val="002D7E0A"/>
    <w:rsid w:val="00315AFE"/>
    <w:rsid w:val="003205A6"/>
    <w:rsid w:val="003606A6"/>
    <w:rsid w:val="0036650C"/>
    <w:rsid w:val="00393ACD"/>
    <w:rsid w:val="00397FFC"/>
    <w:rsid w:val="003A583E"/>
    <w:rsid w:val="003E112B"/>
    <w:rsid w:val="003E1D1C"/>
    <w:rsid w:val="003E7B05"/>
    <w:rsid w:val="003F3719"/>
    <w:rsid w:val="003F6F2D"/>
    <w:rsid w:val="00452E81"/>
    <w:rsid w:val="00466211"/>
    <w:rsid w:val="00483196"/>
    <w:rsid w:val="004834A9"/>
    <w:rsid w:val="004D01FC"/>
    <w:rsid w:val="004E28C3"/>
    <w:rsid w:val="004F1F8E"/>
    <w:rsid w:val="00512A32"/>
    <w:rsid w:val="005146D3"/>
    <w:rsid w:val="005147BC"/>
    <w:rsid w:val="005343DA"/>
    <w:rsid w:val="00557188"/>
    <w:rsid w:val="00560874"/>
    <w:rsid w:val="00586CF2"/>
    <w:rsid w:val="005A7C75"/>
    <w:rsid w:val="005B0202"/>
    <w:rsid w:val="005C2B26"/>
    <w:rsid w:val="005C3768"/>
    <w:rsid w:val="005C6C3F"/>
    <w:rsid w:val="00613635"/>
    <w:rsid w:val="0062093D"/>
    <w:rsid w:val="00627A55"/>
    <w:rsid w:val="00632D66"/>
    <w:rsid w:val="00637ECF"/>
    <w:rsid w:val="00647B59"/>
    <w:rsid w:val="00666C23"/>
    <w:rsid w:val="00690C7B"/>
    <w:rsid w:val="006A4B45"/>
    <w:rsid w:val="006C727C"/>
    <w:rsid w:val="006D4724"/>
    <w:rsid w:val="006F5FA2"/>
    <w:rsid w:val="0070076C"/>
    <w:rsid w:val="00701BAE"/>
    <w:rsid w:val="00721F04"/>
    <w:rsid w:val="00730E95"/>
    <w:rsid w:val="007426B9"/>
    <w:rsid w:val="00764342"/>
    <w:rsid w:val="00774362"/>
    <w:rsid w:val="00786598"/>
    <w:rsid w:val="00790C74"/>
    <w:rsid w:val="007A04E8"/>
    <w:rsid w:val="007B2C34"/>
    <w:rsid w:val="007E482E"/>
    <w:rsid w:val="007E72B1"/>
    <w:rsid w:val="00830086"/>
    <w:rsid w:val="00836301"/>
    <w:rsid w:val="00851625"/>
    <w:rsid w:val="00863C0A"/>
    <w:rsid w:val="008A3120"/>
    <w:rsid w:val="008A4B97"/>
    <w:rsid w:val="008B26A3"/>
    <w:rsid w:val="008C5B8E"/>
    <w:rsid w:val="008C5DD5"/>
    <w:rsid w:val="008D41BE"/>
    <w:rsid w:val="008D58D3"/>
    <w:rsid w:val="008E3BC9"/>
    <w:rsid w:val="00923064"/>
    <w:rsid w:val="00930FFD"/>
    <w:rsid w:val="00936D25"/>
    <w:rsid w:val="00941EA5"/>
    <w:rsid w:val="0096191F"/>
    <w:rsid w:val="00964700"/>
    <w:rsid w:val="00966C16"/>
    <w:rsid w:val="0098732F"/>
    <w:rsid w:val="009A045F"/>
    <w:rsid w:val="009A6A2B"/>
    <w:rsid w:val="009C7E7C"/>
    <w:rsid w:val="00A00473"/>
    <w:rsid w:val="00A03C9B"/>
    <w:rsid w:val="00A12409"/>
    <w:rsid w:val="00A37105"/>
    <w:rsid w:val="00A54516"/>
    <w:rsid w:val="00A606C3"/>
    <w:rsid w:val="00A74998"/>
    <w:rsid w:val="00A83B09"/>
    <w:rsid w:val="00A84541"/>
    <w:rsid w:val="00AA2699"/>
    <w:rsid w:val="00AE36A0"/>
    <w:rsid w:val="00B00294"/>
    <w:rsid w:val="00B1768B"/>
    <w:rsid w:val="00B3749C"/>
    <w:rsid w:val="00B64FD0"/>
    <w:rsid w:val="00B94F4F"/>
    <w:rsid w:val="00BA5BD0"/>
    <w:rsid w:val="00BB1D82"/>
    <w:rsid w:val="00BC217E"/>
    <w:rsid w:val="00BD51C5"/>
    <w:rsid w:val="00BF26E7"/>
    <w:rsid w:val="00C107BF"/>
    <w:rsid w:val="00C53FCA"/>
    <w:rsid w:val="00C76BAF"/>
    <w:rsid w:val="00C814B9"/>
    <w:rsid w:val="00CD408D"/>
    <w:rsid w:val="00CD516F"/>
    <w:rsid w:val="00D119A7"/>
    <w:rsid w:val="00D25FBA"/>
    <w:rsid w:val="00D32B28"/>
    <w:rsid w:val="00D42954"/>
    <w:rsid w:val="00D66EAC"/>
    <w:rsid w:val="00D730DF"/>
    <w:rsid w:val="00D772F0"/>
    <w:rsid w:val="00D77BDC"/>
    <w:rsid w:val="00DA3801"/>
    <w:rsid w:val="00DC402B"/>
    <w:rsid w:val="00DE0932"/>
    <w:rsid w:val="00E03A27"/>
    <w:rsid w:val="00E049F1"/>
    <w:rsid w:val="00E37A25"/>
    <w:rsid w:val="00E531CD"/>
    <w:rsid w:val="00E537FF"/>
    <w:rsid w:val="00E60CB2"/>
    <w:rsid w:val="00E6539B"/>
    <w:rsid w:val="00E70A31"/>
    <w:rsid w:val="00E723A7"/>
    <w:rsid w:val="00EA3F38"/>
    <w:rsid w:val="00EA5AB6"/>
    <w:rsid w:val="00EC7615"/>
    <w:rsid w:val="00ED143F"/>
    <w:rsid w:val="00ED16AA"/>
    <w:rsid w:val="00ED6B8D"/>
    <w:rsid w:val="00EE3D7B"/>
    <w:rsid w:val="00EF662E"/>
    <w:rsid w:val="00F10064"/>
    <w:rsid w:val="00F148F1"/>
    <w:rsid w:val="00F64D0F"/>
    <w:rsid w:val="00F711A7"/>
    <w:rsid w:val="00FA3BBF"/>
    <w:rsid w:val="00FB46A7"/>
    <w:rsid w:val="00FC41F8"/>
    <w:rsid w:val="00FC4A64"/>
    <w:rsid w:val="00FC78E1"/>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64EBBD"/>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R16-WRC19-C-0012!A9-A2!MSW-F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371EF-1F46-470C-8C3A-42B114A91670}">
  <ds:schemaRefs>
    <ds:schemaRef ds:uri="http://schemas.microsoft.com/sharepoint/events"/>
  </ds:schemaRefs>
</ds:datastoreItem>
</file>

<file path=customXml/itemProps2.xml><?xml version="1.0" encoding="utf-8"?>
<ds:datastoreItem xmlns:ds="http://schemas.openxmlformats.org/officeDocument/2006/customXml" ds:itemID="{C7E03A06-FB1E-4383-A392-936420B7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08D83-C358-4125-9290-6ABF19258C08}">
  <ds:schemaRefs>
    <ds:schemaRef ds:uri="http://schemas.microsoft.com/sharepoint/v3/contenttype/forms"/>
  </ds:schemaRefs>
</ds:datastoreItem>
</file>

<file path=customXml/itemProps4.xml><?xml version="1.0" encoding="utf-8"?>
<ds:datastoreItem xmlns:ds="http://schemas.openxmlformats.org/officeDocument/2006/customXml" ds:itemID="{FD71F1DC-1B10-40FA-BEEE-ABD91C35184F}">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2a1a8c5-2265-4ebc-b7a0-2071e2c5c9bb"/>
    <ds:schemaRef ds:uri="http://purl.org/dc/dcmitype/"/>
    <ds:schemaRef ds:uri="996b2e75-67fd-4955-a3b0-5ab9934cb50b"/>
    <ds:schemaRef ds:uri="http://www.w3.org/XML/1998/namespace"/>
    <ds:schemaRef ds:uri="http://purl.org/dc/terms/"/>
  </ds:schemaRefs>
</ds:datastoreItem>
</file>

<file path=customXml/itemProps5.xml><?xml version="1.0" encoding="utf-8"?>
<ds:datastoreItem xmlns:ds="http://schemas.openxmlformats.org/officeDocument/2006/customXml" ds:itemID="{DB2E6D43-00C6-4BCA-B429-B3C921A1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678</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R16-WRC19-C-0012!A9-A2!MSW-F</vt:lpstr>
    </vt:vector>
  </TitlesOfParts>
  <Manager>Secrétariat général - Pool</Manager>
  <Company>Union internationale des télécommunications (UIT)</Company>
  <LinksUpToDate>false</LinksUpToDate>
  <CharactersWithSpaces>4700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R16-WRC19-C-0012!A9-A2!MSW-F</dc:title>
  <dc:subject>Conférence mondiale des radiocommunications - 2019</dc:subject>
  <dc:creator>Documents Proposals Manager (DPM)</dc:creator>
  <cp:keywords>DPM_v2019.10.15.2_prod</cp:keywords>
  <dc:description/>
  <cp:lastModifiedBy>French</cp:lastModifiedBy>
  <cp:revision>8</cp:revision>
  <cp:lastPrinted>2019-10-24T15:59:00Z</cp:lastPrinted>
  <dcterms:created xsi:type="dcterms:W3CDTF">2019-10-24T14:49:00Z</dcterms:created>
  <dcterms:modified xsi:type="dcterms:W3CDTF">2019-10-24T16:16:00Z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