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6CF56D62" w14:textId="77777777">
        <w:trPr>
          <w:cantSplit/>
        </w:trPr>
        <w:tc>
          <w:tcPr>
            <w:tcW w:w="6911" w:type="dxa"/>
          </w:tcPr>
          <w:p w14:paraId="5234F83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55244EF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B95AD2E" wp14:editId="7821A01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526850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E722FC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D9FC3C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5DA3056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1C95DC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51FF3D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34336DD" w14:textId="77777777" w:rsidTr="00622560">
        <w:trPr>
          <w:cantSplit/>
          <w:trHeight w:val="23"/>
        </w:trPr>
        <w:tc>
          <w:tcPr>
            <w:tcW w:w="6911" w:type="dxa"/>
          </w:tcPr>
          <w:p w14:paraId="2E7D2AA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12DB5471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12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0D7D771" w14:textId="77777777" w:rsidTr="00622560">
        <w:trPr>
          <w:cantSplit/>
          <w:trHeight w:val="23"/>
        </w:trPr>
        <w:tc>
          <w:tcPr>
            <w:tcW w:w="6911" w:type="dxa"/>
          </w:tcPr>
          <w:p w14:paraId="449C7E8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42AEA40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9024B59" w14:textId="77777777" w:rsidTr="00622560">
        <w:trPr>
          <w:cantSplit/>
          <w:trHeight w:val="23"/>
        </w:trPr>
        <w:tc>
          <w:tcPr>
            <w:tcW w:w="6911" w:type="dxa"/>
          </w:tcPr>
          <w:p w14:paraId="3370F2A7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0F19BA0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  <w:proofErr w:type="spellEnd"/>
          </w:p>
        </w:tc>
      </w:tr>
      <w:tr w:rsidR="008221A4" w:rsidRPr="00C324A8" w14:paraId="7374D387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811870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76E6804" w14:textId="77777777">
        <w:trPr>
          <w:cantSplit/>
        </w:trPr>
        <w:tc>
          <w:tcPr>
            <w:tcW w:w="10031" w:type="dxa"/>
            <w:gridSpan w:val="2"/>
          </w:tcPr>
          <w:p w14:paraId="63E3DBA6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 w14:paraId="0C59B6E2" w14:textId="77777777">
        <w:trPr>
          <w:cantSplit/>
        </w:trPr>
        <w:tc>
          <w:tcPr>
            <w:tcW w:w="10031" w:type="dxa"/>
            <w:gridSpan w:val="2"/>
          </w:tcPr>
          <w:p w14:paraId="21992CD5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1AC684EF" w14:textId="77777777">
        <w:trPr>
          <w:cantSplit/>
        </w:trPr>
        <w:tc>
          <w:tcPr>
            <w:tcW w:w="10031" w:type="dxa"/>
            <w:gridSpan w:val="2"/>
          </w:tcPr>
          <w:p w14:paraId="68C9A4DC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42A47C7F" w14:textId="77777777">
        <w:trPr>
          <w:cantSplit/>
        </w:trPr>
        <w:tc>
          <w:tcPr>
            <w:tcW w:w="10031" w:type="dxa"/>
            <w:gridSpan w:val="2"/>
          </w:tcPr>
          <w:p w14:paraId="4CE685B6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1.9.2</w:t>
            </w:r>
          </w:p>
        </w:tc>
      </w:tr>
    </w:tbl>
    <w:bookmarkEnd w:id="6"/>
    <w:p w14:paraId="3B48E4C3" w14:textId="77777777" w:rsidR="008B60D0" w:rsidRPr="00331A64" w:rsidRDefault="000A3BF1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</w:t>
      </w:r>
      <w:r w:rsidRPr="008E50BE">
        <w:rPr>
          <w:rFonts w:cstheme="majorBidi"/>
          <w:szCs w:val="24"/>
          <w:lang w:eastAsia="zh-CN"/>
        </w:rPr>
        <w:t>ITU-R</w:t>
      </w:r>
      <w:r w:rsidRPr="008E50BE">
        <w:rPr>
          <w:rFonts w:cstheme="majorBidi"/>
          <w:szCs w:val="24"/>
          <w:lang w:eastAsia="zh-CN"/>
        </w:rPr>
        <w:t>的研究结果基础上考虑：</w:t>
      </w:r>
    </w:p>
    <w:p w14:paraId="767CD165" w14:textId="536621FD" w:rsidR="008B60D0" w:rsidRPr="00331A64" w:rsidRDefault="000A3BF1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1.9.2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修改《无线电规则》，其中包括优先选择在附录</w:t>
      </w:r>
      <w:r w:rsidRPr="008E50BE">
        <w:rPr>
          <w:rFonts w:cstheme="majorBidi"/>
          <w:b/>
          <w:bCs/>
          <w:szCs w:val="24"/>
          <w:lang w:eastAsia="zh-CN"/>
        </w:rPr>
        <w:t>18</w:t>
      </w:r>
      <w:r w:rsidRPr="008E50BE">
        <w:rPr>
          <w:rFonts w:cstheme="majorBidi"/>
          <w:szCs w:val="24"/>
          <w:lang w:eastAsia="zh-CN"/>
        </w:rPr>
        <w:t>的频段内（</w:t>
      </w:r>
      <w:r w:rsidRPr="008E50BE">
        <w:rPr>
          <w:rFonts w:cstheme="majorBidi"/>
          <w:szCs w:val="24"/>
          <w:lang w:eastAsia="zh-CN"/>
        </w:rPr>
        <w:t>156.0125-</w:t>
      </w:r>
      <w:r w:rsidR="00A81060">
        <w:rPr>
          <w:rFonts w:cstheme="majorBidi"/>
          <w:szCs w:val="24"/>
          <w:lang w:eastAsia="zh-CN"/>
        </w:rPr>
        <w:br/>
      </w:r>
      <w:r w:rsidRPr="008E50BE">
        <w:rPr>
          <w:rFonts w:cstheme="majorBidi"/>
          <w:szCs w:val="24"/>
          <w:lang w:eastAsia="zh-CN"/>
        </w:rPr>
        <w:t>157.4375 MHz</w:t>
      </w:r>
      <w:r w:rsidRPr="008E50BE">
        <w:rPr>
          <w:rFonts w:cstheme="majorBidi"/>
          <w:szCs w:val="24"/>
          <w:lang w:eastAsia="zh-CN"/>
        </w:rPr>
        <w:t>和</w:t>
      </w:r>
      <w:r w:rsidRPr="008E50BE">
        <w:rPr>
          <w:rFonts w:cstheme="majorBidi"/>
          <w:szCs w:val="24"/>
          <w:lang w:eastAsia="zh-CN"/>
        </w:rPr>
        <w:t>160.6125-162.0375 MHz</w:t>
      </w:r>
      <w:r w:rsidRPr="008E50BE">
        <w:rPr>
          <w:rFonts w:cstheme="majorBidi"/>
          <w:szCs w:val="24"/>
          <w:lang w:eastAsia="zh-CN"/>
        </w:rPr>
        <w:t>），为卫星水上移动业务（地对空和空对地）进行新的频谱划分，以实现新的</w:t>
      </w:r>
      <w:r w:rsidRPr="008E50BE">
        <w:rPr>
          <w:rFonts w:cstheme="majorBidi"/>
          <w:szCs w:val="24"/>
          <w:lang w:eastAsia="zh-CN"/>
        </w:rPr>
        <w:t>VHF</w:t>
      </w:r>
      <w:r w:rsidRPr="008E50BE">
        <w:rPr>
          <w:rFonts w:cstheme="majorBidi"/>
          <w:szCs w:val="24"/>
          <w:lang w:eastAsia="zh-CN"/>
        </w:rPr>
        <w:t>数据交换系统（</w:t>
      </w:r>
      <w:r w:rsidRPr="008E50BE">
        <w:rPr>
          <w:rFonts w:cstheme="majorBidi"/>
          <w:szCs w:val="24"/>
          <w:lang w:eastAsia="zh-CN"/>
        </w:rPr>
        <w:t>VDES</w:t>
      </w:r>
      <w:r w:rsidRPr="008E50BE">
        <w:rPr>
          <w:rFonts w:cstheme="majorBidi"/>
          <w:szCs w:val="24"/>
          <w:lang w:eastAsia="zh-CN"/>
        </w:rPr>
        <w:t>）卫星部分，同时确保该卫星部分不会降低现有</w:t>
      </w:r>
      <w:r w:rsidRPr="008E50BE">
        <w:rPr>
          <w:rFonts w:cstheme="majorBidi"/>
          <w:szCs w:val="24"/>
          <w:lang w:eastAsia="zh-CN"/>
        </w:rPr>
        <w:t>VDES</w:t>
      </w:r>
      <w:r w:rsidRPr="008E50BE">
        <w:rPr>
          <w:rFonts w:cstheme="majorBidi"/>
          <w:szCs w:val="24"/>
          <w:lang w:eastAsia="zh-CN"/>
        </w:rPr>
        <w:t>地面部分、特殊应用报文（</w:t>
      </w:r>
      <w:r w:rsidRPr="008E50BE">
        <w:rPr>
          <w:rFonts w:cstheme="majorBidi"/>
          <w:szCs w:val="24"/>
          <w:lang w:eastAsia="zh-CN"/>
        </w:rPr>
        <w:t>ASM</w:t>
      </w:r>
      <w:r w:rsidRPr="008E50BE">
        <w:rPr>
          <w:rFonts w:cstheme="majorBidi"/>
          <w:szCs w:val="24"/>
          <w:lang w:eastAsia="zh-CN"/>
        </w:rPr>
        <w:t>）、</w:t>
      </w:r>
      <w:r w:rsidRPr="008E50BE">
        <w:rPr>
          <w:rFonts w:cstheme="majorBidi"/>
          <w:szCs w:val="24"/>
          <w:lang w:eastAsia="zh-CN"/>
        </w:rPr>
        <w:t>AIS</w:t>
      </w:r>
      <w:r w:rsidRPr="008E50BE">
        <w:rPr>
          <w:rFonts w:cstheme="majorBidi"/>
          <w:szCs w:val="24"/>
          <w:lang w:eastAsia="zh-CN"/>
        </w:rPr>
        <w:t>的运行质量，</w:t>
      </w:r>
      <w:r w:rsidRPr="00D26808">
        <w:rPr>
          <w:rFonts w:cstheme="majorBidi"/>
          <w:szCs w:val="24"/>
          <w:lang w:eastAsia="zh-CN"/>
        </w:rPr>
        <w:t>且不给</w:t>
      </w:r>
      <w:r w:rsidRPr="00D26808">
        <w:rPr>
          <w:rFonts w:hint="eastAsia"/>
          <w:szCs w:val="24"/>
          <w:lang w:val="en-US" w:eastAsia="zh-CN"/>
        </w:rPr>
        <w:t>第</w:t>
      </w:r>
      <w:r w:rsidRPr="00D26808">
        <w:rPr>
          <w:rFonts w:eastAsia="Times New Roman"/>
          <w:b/>
          <w:bCs/>
          <w:szCs w:val="24"/>
          <w:lang w:val="en-US" w:eastAsia="zh-CN"/>
        </w:rPr>
        <w:t>360</w:t>
      </w:r>
      <w:r w:rsidRPr="001F328E">
        <w:rPr>
          <w:rFonts w:hint="eastAsia"/>
          <w:szCs w:val="24"/>
          <w:lang w:val="en-US" w:eastAsia="zh-CN"/>
        </w:rPr>
        <w:t>号决议</w:t>
      </w:r>
      <w:r w:rsidRPr="00D26808">
        <w:rPr>
          <w:rFonts w:ascii="SimSun" w:hAnsi="SimSun" w:cs="SimSun" w:hint="eastAsia"/>
          <w:szCs w:val="24"/>
          <w:lang w:val="en-US" w:eastAsia="zh-CN"/>
        </w:rPr>
        <w:t>（</w:t>
      </w:r>
      <w:r w:rsidRPr="00D26808">
        <w:rPr>
          <w:rFonts w:eastAsia="Times New Roman"/>
          <w:b/>
          <w:bCs/>
          <w:szCs w:val="24"/>
          <w:lang w:val="en-US" w:eastAsia="zh-CN"/>
        </w:rPr>
        <w:t>WRC-15</w:t>
      </w:r>
      <w:r w:rsidRPr="00D26808">
        <w:rPr>
          <w:rFonts w:hint="eastAsia"/>
          <w:b/>
          <w:bCs/>
          <w:szCs w:val="24"/>
          <w:lang w:val="en-US" w:eastAsia="zh-CN"/>
        </w:rPr>
        <w:t>，</w:t>
      </w:r>
      <w:r w:rsidRPr="00D26808">
        <w:rPr>
          <w:b/>
          <w:bCs/>
          <w:szCs w:val="24"/>
          <w:lang w:val="en-US" w:eastAsia="zh-CN"/>
        </w:rPr>
        <w:t>修订版</w:t>
      </w:r>
      <w:proofErr w:type="gramStart"/>
      <w:r w:rsidRPr="00D26808">
        <w:rPr>
          <w:rFonts w:ascii="SimSun" w:hAnsi="SimSun" w:cs="SimSun" w:hint="eastAsia"/>
          <w:szCs w:val="24"/>
          <w:lang w:val="en-US" w:eastAsia="zh-CN"/>
        </w:rPr>
        <w:t>）</w:t>
      </w:r>
      <w:r w:rsidRPr="008E50BE">
        <w:rPr>
          <w:rFonts w:ascii="SimSun" w:hAnsi="SimSun" w:cstheme="majorBidi"/>
          <w:szCs w:val="24"/>
          <w:lang w:eastAsia="zh-CN"/>
        </w:rPr>
        <w:t>“</w:t>
      </w:r>
      <w:proofErr w:type="gramEnd"/>
      <w:r w:rsidRPr="008E50BE">
        <w:rPr>
          <w:rFonts w:eastAsia="KaiTi" w:cstheme="majorBidi"/>
          <w:szCs w:val="24"/>
          <w:lang w:eastAsia="zh-CN"/>
        </w:rPr>
        <w:t>认识到</w:t>
      </w:r>
      <w:r w:rsidRPr="009A5543">
        <w:rPr>
          <w:rFonts w:ascii="STKaiti" w:eastAsia="STKaiti" w:hAnsi="STKaiti" w:cstheme="majorBidi"/>
          <w:iCs/>
          <w:szCs w:val="24"/>
          <w:lang w:eastAsia="zh-CN"/>
        </w:rPr>
        <w:t>d</w:t>
      </w:r>
      <w:r w:rsidR="001F328E">
        <w:rPr>
          <w:rFonts w:ascii="STKaiti" w:eastAsia="STKaiti" w:hAnsi="STKaiti" w:cstheme="majorBidi" w:hint="eastAsia"/>
          <w:iCs/>
          <w:szCs w:val="24"/>
          <w:lang w:eastAsia="zh-CN"/>
        </w:rPr>
        <w:t>)</w:t>
      </w:r>
      <w:r w:rsidRPr="008E50BE">
        <w:rPr>
          <w:rFonts w:eastAsia="STKaiti" w:cstheme="majorBidi"/>
          <w:szCs w:val="24"/>
          <w:lang w:eastAsia="zh-CN"/>
        </w:rPr>
        <w:t>和</w:t>
      </w:r>
      <w:r w:rsidRPr="009A5543">
        <w:rPr>
          <w:rFonts w:ascii="STKaiti" w:eastAsia="STKaiti" w:hAnsi="STKaiti" w:cstheme="majorBidi"/>
          <w:iCs/>
          <w:szCs w:val="24"/>
          <w:lang w:eastAsia="zh-CN"/>
        </w:rPr>
        <w:t>e</w:t>
      </w:r>
      <w:r w:rsidR="001F328E">
        <w:rPr>
          <w:rFonts w:ascii="STKaiti" w:eastAsia="STKaiti" w:hAnsi="STKaiti" w:cstheme="majorBidi"/>
          <w:iCs/>
          <w:szCs w:val="24"/>
          <w:lang w:eastAsia="zh-CN"/>
        </w:rPr>
        <w:t>)</w:t>
      </w:r>
      <w:r w:rsidRPr="008E50BE">
        <w:rPr>
          <w:rFonts w:ascii="SimSun" w:hAnsi="SimSun" w:cstheme="majorBidi"/>
          <w:szCs w:val="24"/>
          <w:lang w:eastAsia="zh-CN"/>
        </w:rPr>
        <w:t>”</w:t>
      </w:r>
      <w:r w:rsidRPr="008E50BE">
        <w:rPr>
          <w:rFonts w:cstheme="majorBidi"/>
          <w:szCs w:val="24"/>
          <w:lang w:eastAsia="zh-CN"/>
        </w:rPr>
        <w:t>所述频段及相邻频段内的现有业务带来更多限制；</w:t>
      </w:r>
    </w:p>
    <w:p w14:paraId="57E26249" w14:textId="5140DEDE" w:rsidR="000A3BF1" w:rsidRPr="00BC3CF3" w:rsidRDefault="000A3BF1" w:rsidP="001A16B0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08695D9" w14:textId="1032C3AD" w:rsidR="00566EA6" w:rsidRDefault="00374891" w:rsidP="00E21AD8">
      <w:pPr>
        <w:ind w:firstLineChars="200" w:firstLine="480"/>
        <w:rPr>
          <w:lang w:eastAsia="zh-CN"/>
        </w:rPr>
      </w:pPr>
      <w:r>
        <w:rPr>
          <w:lang w:eastAsia="zh-CN"/>
        </w:rPr>
        <w:t>RCC</w:t>
      </w:r>
      <w:r>
        <w:rPr>
          <w:lang w:eastAsia="zh-CN"/>
        </w:rPr>
        <w:t>主管部门反对</w:t>
      </w:r>
      <w:r w:rsidR="00666618">
        <w:rPr>
          <w:rFonts w:hint="eastAsia"/>
          <w:lang w:eastAsia="zh-CN"/>
        </w:rPr>
        <w:t>在</w:t>
      </w:r>
      <w:r>
        <w:rPr>
          <w:lang w:eastAsia="zh-CN"/>
        </w:rPr>
        <w:t>156-162 MHz</w:t>
      </w:r>
      <w:r w:rsidR="0077465A">
        <w:rPr>
          <w:rFonts w:hint="eastAsia"/>
          <w:lang w:eastAsia="zh-CN"/>
        </w:rPr>
        <w:t>频段</w:t>
      </w:r>
      <w:r>
        <w:rPr>
          <w:lang w:eastAsia="zh-CN"/>
        </w:rPr>
        <w:t>范围</w:t>
      </w:r>
      <w:r w:rsidR="00615048">
        <w:rPr>
          <w:rFonts w:hint="eastAsia"/>
          <w:lang w:eastAsia="zh-CN"/>
        </w:rPr>
        <w:t>内</w:t>
      </w:r>
      <w:r w:rsidR="00960F86">
        <w:rPr>
          <w:rFonts w:hint="eastAsia"/>
          <w:lang w:eastAsia="zh-CN"/>
        </w:rPr>
        <w:t>为</w:t>
      </w:r>
      <w:r>
        <w:rPr>
          <w:lang w:eastAsia="zh-CN"/>
        </w:rPr>
        <w:t>VDES</w:t>
      </w:r>
      <w:r>
        <w:rPr>
          <w:lang w:eastAsia="zh-CN"/>
        </w:rPr>
        <w:t>卫星部分的卫星</w:t>
      </w:r>
      <w:r w:rsidR="00574F9E">
        <w:rPr>
          <w:rFonts w:hint="eastAsia"/>
          <w:lang w:eastAsia="zh-CN"/>
        </w:rPr>
        <w:t>水上</w:t>
      </w:r>
      <w:r>
        <w:rPr>
          <w:lang w:eastAsia="zh-CN"/>
        </w:rPr>
        <w:t>移动业务（</w:t>
      </w:r>
      <w:r>
        <w:rPr>
          <w:lang w:eastAsia="zh-CN"/>
        </w:rPr>
        <w:t>MMSS</w:t>
      </w:r>
      <w:r>
        <w:rPr>
          <w:lang w:eastAsia="zh-CN"/>
        </w:rPr>
        <w:t>）进行新的划分，因为根据</w:t>
      </w:r>
      <w:r>
        <w:rPr>
          <w:lang w:eastAsia="zh-CN"/>
        </w:rPr>
        <w:t>ITU-R</w:t>
      </w:r>
      <w:r>
        <w:rPr>
          <w:lang w:eastAsia="zh-CN"/>
        </w:rPr>
        <w:t>建议书进行的研究表明，在一般业务领域</w:t>
      </w:r>
      <w:r>
        <w:rPr>
          <w:lang w:eastAsia="zh-CN"/>
        </w:rPr>
        <w:t>VDES</w:t>
      </w:r>
      <w:r>
        <w:rPr>
          <w:lang w:eastAsia="zh-CN"/>
        </w:rPr>
        <w:t>空间站与</w:t>
      </w:r>
      <w:r w:rsidR="00484255">
        <w:rPr>
          <w:rFonts w:hint="eastAsia"/>
          <w:lang w:eastAsia="zh-CN"/>
        </w:rPr>
        <w:t>以</w:t>
      </w:r>
      <w:r>
        <w:rPr>
          <w:lang w:eastAsia="zh-CN"/>
        </w:rPr>
        <w:t>主要</w:t>
      </w:r>
      <w:r w:rsidR="00484255">
        <w:rPr>
          <w:rFonts w:hint="eastAsia"/>
          <w:lang w:eastAsia="zh-CN"/>
        </w:rPr>
        <w:t>业务划分的</w:t>
      </w:r>
      <w:r>
        <w:rPr>
          <w:lang w:eastAsia="zh-CN"/>
        </w:rPr>
        <w:t>固定和移动业务</w:t>
      </w:r>
      <w:r w:rsidR="00484255">
        <w:rPr>
          <w:rFonts w:hint="eastAsia"/>
          <w:lang w:eastAsia="zh-CN"/>
        </w:rPr>
        <w:t>的台</w:t>
      </w:r>
      <w:r>
        <w:rPr>
          <w:lang w:eastAsia="zh-CN"/>
        </w:rPr>
        <w:t>站不兼容。此外，</w:t>
      </w:r>
      <w:r w:rsidR="00566EA6">
        <w:rPr>
          <w:rFonts w:hint="eastAsia"/>
          <w:lang w:eastAsia="zh-CN"/>
        </w:rPr>
        <w:t>没有</w:t>
      </w:r>
      <w:r w:rsidR="00566EA6">
        <w:rPr>
          <w:rFonts w:hint="eastAsia"/>
          <w:lang w:eastAsia="zh-CN"/>
        </w:rPr>
        <w:t>I</w:t>
      </w:r>
      <w:r w:rsidR="00566EA6">
        <w:rPr>
          <w:lang w:eastAsia="zh-CN"/>
        </w:rPr>
        <w:t>TU-R</w:t>
      </w:r>
      <w:r w:rsidR="00566EA6">
        <w:rPr>
          <w:rFonts w:hint="eastAsia"/>
          <w:lang w:eastAsia="zh-CN"/>
        </w:rPr>
        <w:t>的研究，也没有</w:t>
      </w:r>
      <w:r w:rsidR="00B206A2">
        <w:rPr>
          <w:rFonts w:hint="eastAsia"/>
          <w:lang w:eastAsia="zh-CN"/>
        </w:rPr>
        <w:t>建议</w:t>
      </w:r>
      <w:r w:rsidR="00252347">
        <w:rPr>
          <w:rFonts w:hint="eastAsia"/>
          <w:lang w:eastAsia="zh-CN"/>
        </w:rPr>
        <w:t>的</w:t>
      </w:r>
      <w:r w:rsidR="00566EA6">
        <w:rPr>
          <w:rFonts w:hint="eastAsia"/>
          <w:lang w:eastAsia="zh-CN"/>
        </w:rPr>
        <w:t>规则行动</w:t>
      </w:r>
      <w:r w:rsidR="00252347">
        <w:rPr>
          <w:rFonts w:hint="eastAsia"/>
          <w:lang w:eastAsia="zh-CN"/>
        </w:rPr>
        <w:t>来确保</w:t>
      </w:r>
      <w:r w:rsidR="00B1042B">
        <w:rPr>
          <w:rFonts w:hint="eastAsia"/>
          <w:lang w:eastAsia="zh-CN"/>
        </w:rPr>
        <w:t>如第</w:t>
      </w:r>
      <w:r w:rsidR="00B1042B" w:rsidRPr="001A16B0">
        <w:rPr>
          <w:rFonts w:hint="eastAsia"/>
          <w:b/>
          <w:bCs/>
          <w:lang w:eastAsia="zh-CN"/>
        </w:rPr>
        <w:t>360</w:t>
      </w:r>
      <w:r w:rsidR="00B1042B">
        <w:rPr>
          <w:rFonts w:hint="eastAsia"/>
          <w:lang w:eastAsia="zh-CN"/>
        </w:rPr>
        <w:t>号决议</w:t>
      </w:r>
      <w:r w:rsidR="00B1042B" w:rsidRPr="001A16B0">
        <w:rPr>
          <w:rFonts w:hint="eastAsia"/>
          <w:b/>
          <w:bCs/>
          <w:lang w:eastAsia="zh-CN"/>
        </w:rPr>
        <w:t>（</w:t>
      </w:r>
      <w:r w:rsidR="00B1042B" w:rsidRPr="001A16B0">
        <w:rPr>
          <w:rFonts w:hint="eastAsia"/>
          <w:b/>
          <w:bCs/>
          <w:lang w:eastAsia="zh-CN"/>
        </w:rPr>
        <w:t>W</w:t>
      </w:r>
      <w:r w:rsidR="00B1042B" w:rsidRPr="001A16B0">
        <w:rPr>
          <w:b/>
          <w:bCs/>
          <w:lang w:eastAsia="zh-CN"/>
        </w:rPr>
        <w:t>RC</w:t>
      </w:r>
      <w:r w:rsidR="00B1042B" w:rsidRPr="001A16B0">
        <w:rPr>
          <w:rFonts w:hint="eastAsia"/>
          <w:b/>
          <w:bCs/>
          <w:lang w:eastAsia="zh-CN"/>
        </w:rPr>
        <w:t>-15</w:t>
      </w:r>
      <w:r w:rsidR="00B1042B" w:rsidRPr="001A16B0">
        <w:rPr>
          <w:rFonts w:hint="eastAsia"/>
          <w:b/>
          <w:bCs/>
          <w:lang w:eastAsia="zh-CN"/>
        </w:rPr>
        <w:t>，修订版）</w:t>
      </w:r>
      <w:r w:rsidR="00B1042B">
        <w:rPr>
          <w:rFonts w:hint="eastAsia"/>
          <w:lang w:eastAsia="zh-CN"/>
        </w:rPr>
        <w:t>要求的，</w:t>
      </w:r>
      <w:r w:rsidR="00815B77">
        <w:rPr>
          <w:rFonts w:hint="eastAsia"/>
          <w:lang w:eastAsia="zh-CN"/>
        </w:rPr>
        <w:t>一个主管部门的</w:t>
      </w:r>
      <w:r w:rsidR="00815B77">
        <w:rPr>
          <w:rFonts w:hint="eastAsia"/>
          <w:lang w:eastAsia="zh-CN"/>
        </w:rPr>
        <w:t>V</w:t>
      </w:r>
      <w:r w:rsidR="00815B77">
        <w:rPr>
          <w:lang w:eastAsia="zh-CN"/>
        </w:rPr>
        <w:t>DES</w:t>
      </w:r>
      <w:r w:rsidR="00815B77">
        <w:rPr>
          <w:rFonts w:hint="eastAsia"/>
          <w:lang w:eastAsia="zh-CN"/>
        </w:rPr>
        <w:t>卫星部分和另一个主管部门的</w:t>
      </w:r>
      <w:r w:rsidR="00815B77">
        <w:rPr>
          <w:rFonts w:hint="eastAsia"/>
          <w:lang w:eastAsia="zh-CN"/>
        </w:rPr>
        <w:t>V</w:t>
      </w:r>
      <w:r w:rsidR="00815B77">
        <w:rPr>
          <w:lang w:eastAsia="zh-CN"/>
        </w:rPr>
        <w:t>DES</w:t>
      </w:r>
      <w:r w:rsidR="00815B77">
        <w:rPr>
          <w:rFonts w:hint="eastAsia"/>
          <w:lang w:eastAsia="zh-CN"/>
        </w:rPr>
        <w:t>地面部分</w:t>
      </w:r>
      <w:r w:rsidR="00053F67">
        <w:rPr>
          <w:rFonts w:hint="eastAsia"/>
          <w:lang w:eastAsia="zh-CN"/>
        </w:rPr>
        <w:t>、</w:t>
      </w:r>
      <w:r w:rsidR="00053F67">
        <w:rPr>
          <w:rFonts w:hint="eastAsia"/>
          <w:lang w:eastAsia="zh-CN"/>
        </w:rPr>
        <w:t>A</w:t>
      </w:r>
      <w:r w:rsidR="00053F67">
        <w:rPr>
          <w:lang w:eastAsia="zh-CN"/>
        </w:rPr>
        <w:t>SM</w:t>
      </w:r>
      <w:r w:rsidR="00053F67">
        <w:rPr>
          <w:rFonts w:hint="eastAsia"/>
          <w:lang w:eastAsia="zh-CN"/>
        </w:rPr>
        <w:t>和</w:t>
      </w:r>
      <w:r w:rsidR="00053F67">
        <w:rPr>
          <w:rFonts w:hint="eastAsia"/>
          <w:lang w:eastAsia="zh-CN"/>
        </w:rPr>
        <w:t>A</w:t>
      </w:r>
      <w:r w:rsidR="00053F67">
        <w:rPr>
          <w:lang w:eastAsia="zh-CN"/>
        </w:rPr>
        <w:t>IS</w:t>
      </w:r>
      <w:r w:rsidR="00053F67">
        <w:rPr>
          <w:rFonts w:hint="eastAsia"/>
          <w:lang w:eastAsia="zh-CN"/>
        </w:rPr>
        <w:t>运行</w:t>
      </w:r>
      <w:r w:rsidR="007E6C92">
        <w:rPr>
          <w:rFonts w:hint="eastAsia"/>
          <w:lang w:eastAsia="zh-CN"/>
        </w:rPr>
        <w:t>的兼容性。</w:t>
      </w:r>
    </w:p>
    <w:p w14:paraId="5736430D" w14:textId="2E1B7F00" w:rsidR="00374891" w:rsidRDefault="00374891" w:rsidP="00C91927">
      <w:pPr>
        <w:ind w:firstLineChars="200" w:firstLine="480"/>
        <w:rPr>
          <w:lang w:eastAsia="zh-CN"/>
        </w:rPr>
      </w:pPr>
      <w:r>
        <w:rPr>
          <w:lang w:eastAsia="zh-CN"/>
        </w:rPr>
        <w:t>因此，</w:t>
      </w:r>
      <w:r>
        <w:rPr>
          <w:lang w:eastAsia="zh-CN"/>
        </w:rPr>
        <w:t>RCC</w:t>
      </w:r>
      <w:r>
        <w:rPr>
          <w:lang w:eastAsia="zh-CN"/>
        </w:rPr>
        <w:t>主管部门认为，应使用</w:t>
      </w:r>
      <w:r>
        <w:rPr>
          <w:lang w:eastAsia="zh-CN"/>
        </w:rPr>
        <w:t>CPM</w:t>
      </w:r>
      <w:r>
        <w:rPr>
          <w:lang w:eastAsia="zh-CN"/>
        </w:rPr>
        <w:t>报告的方法</w:t>
      </w:r>
      <w:r>
        <w:rPr>
          <w:lang w:eastAsia="zh-CN"/>
        </w:rPr>
        <w:t>A</w:t>
      </w:r>
      <w:r>
        <w:rPr>
          <w:lang w:eastAsia="zh-CN"/>
        </w:rPr>
        <w:t>（不对《无线电规则》进行</w:t>
      </w:r>
      <w:r w:rsidR="00774834">
        <w:rPr>
          <w:rFonts w:hint="eastAsia"/>
          <w:lang w:eastAsia="zh-CN"/>
        </w:rPr>
        <w:t>修改</w:t>
      </w:r>
      <w:r>
        <w:rPr>
          <w:lang w:eastAsia="zh-CN"/>
        </w:rPr>
        <w:t>）解决</w:t>
      </w:r>
      <w:r>
        <w:rPr>
          <w:lang w:eastAsia="zh-CN"/>
        </w:rPr>
        <w:t>WRC-19</w:t>
      </w:r>
      <w:r>
        <w:rPr>
          <w:lang w:eastAsia="zh-CN"/>
        </w:rPr>
        <w:t>议项</w:t>
      </w:r>
      <w:r>
        <w:rPr>
          <w:lang w:eastAsia="zh-CN"/>
        </w:rPr>
        <w:t>1.9.2</w:t>
      </w:r>
      <w:r>
        <w:rPr>
          <w:rFonts w:ascii="SimSun" w:hAnsi="SimSun" w:cs="SimSun" w:hint="eastAsia"/>
          <w:lang w:eastAsia="zh-CN"/>
        </w:rPr>
        <w:t>。</w:t>
      </w:r>
    </w:p>
    <w:p w14:paraId="6265CD6A" w14:textId="628578B2" w:rsidR="000A3BF1" w:rsidRPr="003B7E29" w:rsidRDefault="000A3BF1" w:rsidP="000A3BF1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0B9EB3D6" w14:textId="321F6AD4" w:rsidR="000A3BF1" w:rsidRPr="000A3BF1" w:rsidRDefault="000A3BF1" w:rsidP="000A3BF1">
      <w:pPr>
        <w:ind w:firstLineChars="200" w:firstLine="480"/>
        <w:rPr>
          <w:rFonts w:ascii="Calibri" w:hAnsi="Calibri" w:cs="Calibri"/>
          <w:b/>
          <w:color w:val="800000"/>
          <w:sz w:val="22"/>
          <w:highlight w:val="green"/>
          <w:lang w:eastAsia="zh-CN"/>
        </w:rPr>
      </w:pPr>
      <w:r w:rsidRPr="00E73BD2">
        <w:rPr>
          <w:rFonts w:hint="eastAsia"/>
          <w:lang w:eastAsia="zh-CN"/>
        </w:rPr>
        <w:t>为解决</w:t>
      </w:r>
      <w:r w:rsidRPr="00E73BD2">
        <w:rPr>
          <w:lang w:eastAsia="zh-CN"/>
        </w:rPr>
        <w:t>WRC-19</w:t>
      </w:r>
      <w:r w:rsidRPr="00E73BD2">
        <w:rPr>
          <w:rFonts w:hint="eastAsia"/>
          <w:lang w:eastAsia="zh-CN"/>
        </w:rPr>
        <w:t>议项</w:t>
      </w:r>
      <w:r w:rsidRPr="00E73BD2">
        <w:rPr>
          <w:lang w:eastAsia="zh-CN"/>
        </w:rPr>
        <w:t>1.10</w:t>
      </w:r>
      <w:r w:rsidRPr="00E73BD2">
        <w:rPr>
          <w:rFonts w:hint="eastAsia"/>
          <w:lang w:eastAsia="zh-CN"/>
        </w:rPr>
        <w:t>的问题，建议使用本文附件中的规则案文。</w:t>
      </w:r>
    </w:p>
    <w:p w14:paraId="3FE8A8B1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B9C7327" w14:textId="77777777" w:rsidR="00F56974" w:rsidRDefault="000A3BF1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1BFA8BBE" w14:textId="77777777" w:rsidR="00F56974" w:rsidRDefault="000A3BF1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75CFB310" w14:textId="77777777" w:rsidR="00F56974" w:rsidRDefault="000A3BF1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3C15721C" w14:textId="77777777" w:rsidR="000D5E6F" w:rsidRDefault="000A3BF1">
      <w:pPr>
        <w:pStyle w:val="Proposal"/>
      </w:pPr>
      <w:r>
        <w:rPr>
          <w:u w:val="single"/>
        </w:rPr>
        <w:t>NOC</w:t>
      </w:r>
      <w:r>
        <w:tab/>
        <w:t>RCC/12A9A2/1</w:t>
      </w:r>
      <w:r>
        <w:rPr>
          <w:vanish/>
          <w:color w:val="7F7F7F" w:themeColor="text1" w:themeTint="80"/>
          <w:vertAlign w:val="superscript"/>
        </w:rPr>
        <w:t>#50293</w:t>
      </w:r>
    </w:p>
    <w:p w14:paraId="1DC77B68" w14:textId="77777777" w:rsidR="00C3020F" w:rsidRPr="0006268B" w:rsidRDefault="000A3BF1" w:rsidP="00C3020F">
      <w:pPr>
        <w:pStyle w:val="Tabletitle"/>
      </w:pPr>
      <w:r w:rsidRPr="0006268B">
        <w:t>148–161.9375 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C3020F" w:rsidRPr="0006268B" w14:paraId="189B345C" w14:textId="77777777" w:rsidTr="00211A5F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974" w14:textId="77777777" w:rsidR="00C3020F" w:rsidRPr="0006268B" w:rsidRDefault="000A3BF1" w:rsidP="00211A5F">
            <w:pPr>
              <w:pStyle w:val="Tablehead"/>
            </w:pPr>
            <w:proofErr w:type="spellStart"/>
            <w:r w:rsidRPr="0006268B">
              <w:t>划分给以下业务</w:t>
            </w:r>
            <w:proofErr w:type="spellEnd"/>
          </w:p>
        </w:tc>
      </w:tr>
      <w:tr w:rsidR="00C3020F" w:rsidRPr="0006268B" w14:paraId="759509A8" w14:textId="77777777" w:rsidTr="00211A5F">
        <w:trPr>
          <w:cantSplit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043" w14:textId="77777777" w:rsidR="00C3020F" w:rsidRPr="0006268B" w:rsidRDefault="000A3BF1" w:rsidP="00211A5F">
            <w:pPr>
              <w:pStyle w:val="Tablehead"/>
            </w:pPr>
            <w:r w:rsidRPr="0006268B">
              <w:t>1</w:t>
            </w:r>
            <w:r w:rsidRPr="0006268B"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EB8" w14:textId="77777777" w:rsidR="00C3020F" w:rsidRPr="0006268B" w:rsidRDefault="000A3BF1" w:rsidP="00211A5F">
            <w:pPr>
              <w:pStyle w:val="Tablehead"/>
            </w:pPr>
            <w:r w:rsidRPr="0006268B">
              <w:t>2</w:t>
            </w:r>
            <w:r w:rsidRPr="0006268B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B0C" w14:textId="77777777" w:rsidR="00C3020F" w:rsidRPr="0006268B" w:rsidRDefault="000A3BF1" w:rsidP="00211A5F">
            <w:pPr>
              <w:pStyle w:val="Tablehead"/>
            </w:pPr>
            <w:r w:rsidRPr="0006268B">
              <w:t>3</w:t>
            </w:r>
            <w:r w:rsidRPr="0006268B">
              <w:t>区</w:t>
            </w:r>
          </w:p>
        </w:tc>
      </w:tr>
      <w:tr w:rsidR="00C3020F" w:rsidRPr="0006268B" w14:paraId="00F54CBC" w14:textId="77777777" w:rsidTr="00211A5F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1A06B1D" w14:textId="77777777" w:rsidR="00C3020F" w:rsidRPr="0006268B" w:rsidRDefault="000A3BF1" w:rsidP="00211A5F">
            <w:pPr>
              <w:pStyle w:val="TableTextS5"/>
              <w:rPr>
                <w:rStyle w:val="Tablefreq"/>
                <w:color w:val="000000"/>
                <w:lang w:val="fr-CH" w:eastAsia="zh-CN"/>
              </w:rPr>
            </w:pPr>
            <w:r w:rsidRPr="0006268B">
              <w:rPr>
                <w:rStyle w:val="Tablefreq"/>
                <w:lang w:eastAsia="zh-CN"/>
              </w:rPr>
              <w:t>156.8375-</w:t>
            </w:r>
            <w:r w:rsidRPr="0006268B">
              <w:rPr>
                <w:rStyle w:val="Tablefreq"/>
                <w:color w:val="000000"/>
                <w:lang w:val="fr-CH" w:eastAsia="zh-CN"/>
              </w:rPr>
              <w:t>161.9375</w:t>
            </w:r>
          </w:p>
          <w:p w14:paraId="323A25C1" w14:textId="77777777" w:rsidR="00C3020F" w:rsidRPr="0006268B" w:rsidRDefault="000A3BF1" w:rsidP="00211A5F">
            <w:pPr>
              <w:pStyle w:val="TableTextS5"/>
              <w:rPr>
                <w:rFonts w:eastAsia="SimHei"/>
                <w:b/>
                <w:bCs/>
                <w:color w:val="000000"/>
                <w:lang w:val="fr-CH" w:eastAsia="zh-CN"/>
              </w:rPr>
            </w:pPr>
            <w:r w:rsidRPr="0006268B">
              <w:rPr>
                <w:rFonts w:eastAsia="SimHei"/>
                <w:b/>
                <w:bCs/>
                <w:color w:val="000000"/>
                <w:lang w:val="fr-CH" w:eastAsia="zh-CN"/>
              </w:rPr>
              <w:t>固定</w:t>
            </w:r>
          </w:p>
          <w:p w14:paraId="7BC73E71" w14:textId="77777777" w:rsidR="00C3020F" w:rsidRPr="0006268B" w:rsidRDefault="000A3BF1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Tablefreq"/>
                <w:lang w:val="fr-CH" w:eastAsia="zh-CN"/>
              </w:rPr>
            </w:pPr>
            <w:r w:rsidRPr="0006268B">
              <w:rPr>
                <w:rFonts w:eastAsia="SimHei"/>
                <w:b/>
                <w:bCs/>
                <w:color w:val="000000"/>
                <w:lang w:val="fr-CH" w:eastAsia="zh-CN"/>
              </w:rPr>
              <w:t>移动</w:t>
            </w:r>
            <w:r w:rsidRPr="0006268B">
              <w:rPr>
                <w:rFonts w:hint="eastAsia"/>
                <w:color w:val="000000"/>
                <w:lang w:eastAsia="zh-CN"/>
              </w:rPr>
              <w:t>（</w:t>
            </w:r>
            <w:r w:rsidRPr="0006268B">
              <w:rPr>
                <w:rFonts w:ascii="SimSun" w:hAnsi="SimSun" w:cs="SimSun" w:hint="eastAsia"/>
                <w:color w:val="000000"/>
                <w:lang w:eastAsia="zh-CN"/>
              </w:rPr>
              <w:t>航空移动除外）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5B37362" w14:textId="77777777" w:rsidR="00C3020F" w:rsidRPr="0006268B" w:rsidRDefault="000A3BF1" w:rsidP="00211A5F">
            <w:pPr>
              <w:pStyle w:val="TableTextS5"/>
              <w:rPr>
                <w:rStyle w:val="Tablefreq"/>
              </w:rPr>
            </w:pPr>
            <w:r w:rsidRPr="0006268B">
              <w:rPr>
                <w:rStyle w:val="Tablefreq"/>
              </w:rPr>
              <w:t>156.8375-</w:t>
            </w:r>
            <w:r w:rsidRPr="0006268B">
              <w:rPr>
                <w:rStyle w:val="Tablefreq"/>
                <w:color w:val="000000"/>
                <w:lang w:val="fr-CH"/>
              </w:rPr>
              <w:t>161.9375</w:t>
            </w:r>
          </w:p>
          <w:p w14:paraId="705E33AA" w14:textId="77777777" w:rsidR="00C3020F" w:rsidRPr="0006268B" w:rsidRDefault="000A3BF1" w:rsidP="00211A5F">
            <w:pPr>
              <w:pStyle w:val="TableTextS5"/>
              <w:tabs>
                <w:tab w:val="clear" w:pos="431"/>
                <w:tab w:val="clear" w:pos="3119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rFonts w:eastAsia="SimHei"/>
                <w:b/>
                <w:bCs/>
                <w:color w:val="000000"/>
              </w:rPr>
            </w:pPr>
            <w:r w:rsidRPr="0006268B">
              <w:rPr>
                <w:color w:val="000000"/>
              </w:rPr>
              <w:tab/>
            </w:r>
            <w:r w:rsidRPr="0006268B">
              <w:rPr>
                <w:rFonts w:eastAsia="SimHei"/>
                <w:b/>
                <w:bCs/>
                <w:color w:val="000000"/>
              </w:rPr>
              <w:tab/>
            </w:r>
            <w:proofErr w:type="spellStart"/>
            <w:r w:rsidRPr="0006268B">
              <w:rPr>
                <w:rFonts w:eastAsia="SimHei"/>
                <w:b/>
                <w:bCs/>
                <w:color w:val="000000"/>
              </w:rPr>
              <w:t>固定</w:t>
            </w:r>
            <w:proofErr w:type="spellEnd"/>
          </w:p>
          <w:p w14:paraId="68F10262" w14:textId="77777777" w:rsidR="00C3020F" w:rsidRPr="0006268B" w:rsidRDefault="000A3BF1" w:rsidP="00211A5F">
            <w:pPr>
              <w:pStyle w:val="TableTextS5"/>
              <w:tabs>
                <w:tab w:val="clear" w:pos="431"/>
                <w:tab w:val="clear" w:pos="3119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rStyle w:val="Tablefreq"/>
                <w:lang w:val="fr-CH"/>
              </w:rPr>
            </w:pPr>
            <w:r w:rsidRPr="0006268B">
              <w:rPr>
                <w:rFonts w:eastAsia="SimHei"/>
                <w:b/>
                <w:bCs/>
                <w:color w:val="000000"/>
              </w:rPr>
              <w:tab/>
            </w:r>
            <w:r w:rsidRPr="0006268B">
              <w:rPr>
                <w:rFonts w:eastAsia="SimHei"/>
                <w:b/>
                <w:bCs/>
                <w:color w:val="000000"/>
              </w:rPr>
              <w:tab/>
            </w:r>
            <w:proofErr w:type="spellStart"/>
            <w:r w:rsidRPr="0006268B">
              <w:rPr>
                <w:rFonts w:eastAsia="SimHei"/>
                <w:b/>
                <w:bCs/>
                <w:color w:val="000000"/>
              </w:rPr>
              <w:t>移动</w:t>
            </w:r>
            <w:proofErr w:type="spellEnd"/>
          </w:p>
        </w:tc>
      </w:tr>
      <w:tr w:rsidR="00C3020F" w:rsidRPr="0006268B" w14:paraId="72C1B969" w14:textId="77777777" w:rsidTr="00211A5F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8D87AF" w14:textId="77777777" w:rsidR="00C3020F" w:rsidRPr="0006268B" w:rsidRDefault="000A3BF1" w:rsidP="00211A5F">
            <w:pPr>
              <w:pStyle w:val="TableTextS5"/>
              <w:keepNext/>
              <w:spacing w:before="12" w:after="12"/>
              <w:rPr>
                <w:rStyle w:val="Tablefreq"/>
                <w:color w:val="000000"/>
              </w:rPr>
            </w:pPr>
            <w:r w:rsidRPr="0006268B">
              <w:rPr>
                <w:rStyle w:val="Artref"/>
                <w:color w:val="000000"/>
              </w:rPr>
              <w:t>5.226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9B380B" w14:textId="4EEE1AF7" w:rsidR="00C3020F" w:rsidRPr="0006268B" w:rsidRDefault="000A3BF1" w:rsidP="008B62D0">
            <w:pPr>
              <w:pStyle w:val="TableTextS5"/>
              <w:keepNext/>
              <w:tabs>
                <w:tab w:val="clear" w:pos="431"/>
                <w:tab w:val="left" w:pos="459"/>
                <w:tab w:val="left" w:pos="595"/>
              </w:tabs>
              <w:spacing w:before="12" w:after="12"/>
              <w:rPr>
                <w:rStyle w:val="Tablefreq"/>
                <w:color w:val="000000"/>
              </w:rPr>
            </w:pPr>
            <w:r w:rsidRPr="0006268B">
              <w:rPr>
                <w:rStyle w:val="Artref"/>
                <w:color w:val="000000"/>
              </w:rPr>
              <w:tab/>
            </w:r>
            <w:r w:rsidR="008B62D0" w:rsidRPr="0006268B">
              <w:rPr>
                <w:rFonts w:eastAsia="SimHei"/>
                <w:b/>
                <w:bCs/>
                <w:color w:val="000000"/>
              </w:rPr>
              <w:tab/>
            </w:r>
            <w:r w:rsidRPr="0006268B">
              <w:rPr>
                <w:rStyle w:val="Artref"/>
                <w:color w:val="000000"/>
              </w:rPr>
              <w:t>5.226</w:t>
            </w:r>
          </w:p>
        </w:tc>
      </w:tr>
    </w:tbl>
    <w:p w14:paraId="0CF2F2EC" w14:textId="77777777" w:rsidR="000D5E6F" w:rsidRDefault="000D5E6F"/>
    <w:p w14:paraId="301C841F" w14:textId="58B38E5D" w:rsidR="006C6C3B" w:rsidRPr="006C6C3B" w:rsidRDefault="000A3BF1" w:rsidP="006C6C3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D7923" w:rsidRPr="000D7923">
        <w:rPr>
          <w:lang w:eastAsia="zh-CN"/>
        </w:rPr>
        <w:t>进行的研究表明，当在海岸电台上工作时，具有</w:t>
      </w:r>
      <w:r w:rsidR="000D7923" w:rsidRPr="000D7923">
        <w:rPr>
          <w:lang w:eastAsia="zh-CN"/>
        </w:rPr>
        <w:t>ITU-R M.2092</w:t>
      </w:r>
      <w:proofErr w:type="gramStart"/>
      <w:r w:rsidR="000D7923" w:rsidRPr="000D7923">
        <w:rPr>
          <w:lang w:eastAsia="zh-CN"/>
        </w:rPr>
        <w:t>建议书中所述特征</w:t>
      </w:r>
      <w:r w:rsidR="00004B1E">
        <w:rPr>
          <w:rFonts w:hint="eastAsia"/>
          <w:lang w:eastAsia="zh-CN"/>
        </w:rPr>
        <w:t>“</w:t>
      </w:r>
      <w:proofErr w:type="gramEnd"/>
      <w:r w:rsidR="00004B1E" w:rsidRPr="000A3BF1">
        <w:rPr>
          <w:rFonts w:cstheme="majorBidi" w:hint="eastAsia"/>
          <w:szCs w:val="24"/>
          <w:lang w:eastAsia="zh-CN"/>
        </w:rPr>
        <w:t>VHF</w:t>
      </w:r>
      <w:r w:rsidR="00004B1E" w:rsidRPr="000A3BF1">
        <w:rPr>
          <w:rFonts w:cstheme="majorBidi" w:hint="eastAsia"/>
          <w:szCs w:val="24"/>
          <w:lang w:eastAsia="zh-CN"/>
        </w:rPr>
        <w:t>水上移动频段内的</w:t>
      </w:r>
      <w:r w:rsidR="00004B1E" w:rsidRPr="000A3BF1">
        <w:rPr>
          <w:rFonts w:cstheme="majorBidi" w:hint="eastAsia"/>
          <w:szCs w:val="24"/>
          <w:lang w:eastAsia="zh-CN"/>
        </w:rPr>
        <w:t>VHF</w:t>
      </w:r>
      <w:r w:rsidR="00004B1E" w:rsidRPr="000A3BF1">
        <w:rPr>
          <w:rFonts w:cstheme="majorBidi" w:hint="eastAsia"/>
          <w:szCs w:val="24"/>
          <w:lang w:eastAsia="zh-CN"/>
        </w:rPr>
        <w:t>数据交换系统的技术特性</w:t>
      </w:r>
      <w:r w:rsidR="00004B1E">
        <w:rPr>
          <w:rFonts w:hint="eastAsia"/>
          <w:lang w:eastAsia="zh-CN"/>
        </w:rPr>
        <w:t>”</w:t>
      </w:r>
      <w:r w:rsidR="000D7923" w:rsidRPr="000D7923">
        <w:rPr>
          <w:lang w:eastAsia="zh-CN"/>
        </w:rPr>
        <w:t>的</w:t>
      </w:r>
      <w:r w:rsidR="000D7923" w:rsidRPr="000D7923">
        <w:rPr>
          <w:lang w:eastAsia="zh-CN"/>
        </w:rPr>
        <w:t>VDE</w:t>
      </w:r>
      <w:r w:rsidR="000D7923" w:rsidRPr="000D7923">
        <w:rPr>
          <w:lang w:eastAsia="zh-CN"/>
        </w:rPr>
        <w:t>卫星部分与</w:t>
      </w:r>
      <w:r w:rsidR="009005B9" w:rsidRPr="003B7E29">
        <w:rPr>
          <w:lang w:eastAsia="zh-CN"/>
        </w:rPr>
        <w:t>156.8375</w:t>
      </w:r>
      <w:r w:rsidR="009005B9">
        <w:rPr>
          <w:rFonts w:hint="eastAsia"/>
          <w:lang w:eastAsia="zh-CN"/>
        </w:rPr>
        <w:t>到</w:t>
      </w:r>
      <w:r w:rsidR="009005B9" w:rsidRPr="003B7E29">
        <w:rPr>
          <w:lang w:eastAsia="zh-CN"/>
        </w:rPr>
        <w:t>161.9375 MHz</w:t>
      </w:r>
      <w:r w:rsidR="009005B9">
        <w:rPr>
          <w:rFonts w:hint="eastAsia"/>
          <w:lang w:eastAsia="zh-CN"/>
        </w:rPr>
        <w:t>频率范围内以主要业务划分的固定和陆地移动业务的系统</w:t>
      </w:r>
      <w:r w:rsidR="000D7923" w:rsidRPr="000D7923">
        <w:rPr>
          <w:lang w:eastAsia="zh-CN"/>
        </w:rPr>
        <w:t>不兼容。</w:t>
      </w:r>
      <w:r w:rsidRPr="00C42C8B">
        <w:rPr>
          <w:lang w:eastAsia="zh-CN"/>
        </w:rPr>
        <w:br/>
      </w:r>
      <w:r w:rsidR="007B5EE0">
        <w:rPr>
          <w:rFonts w:hint="eastAsia"/>
          <w:lang w:eastAsia="zh-CN"/>
        </w:rPr>
        <w:t>没有</w:t>
      </w:r>
      <w:r w:rsidR="007B5EE0">
        <w:rPr>
          <w:rFonts w:hint="eastAsia"/>
          <w:lang w:eastAsia="zh-CN"/>
        </w:rPr>
        <w:t>I</w:t>
      </w:r>
      <w:r w:rsidR="007B5EE0">
        <w:rPr>
          <w:lang w:eastAsia="zh-CN"/>
        </w:rPr>
        <w:t>TU-R</w:t>
      </w:r>
      <w:r w:rsidR="007B5EE0">
        <w:rPr>
          <w:rFonts w:hint="eastAsia"/>
          <w:lang w:eastAsia="zh-CN"/>
        </w:rPr>
        <w:t>的研究，也没有建议的规则行动来确保如第</w:t>
      </w:r>
      <w:r w:rsidR="007B5EE0" w:rsidRPr="001A16B0">
        <w:rPr>
          <w:rFonts w:hint="eastAsia"/>
          <w:b/>
          <w:bCs/>
          <w:lang w:eastAsia="zh-CN"/>
        </w:rPr>
        <w:t>360</w:t>
      </w:r>
      <w:r w:rsidR="007B5EE0">
        <w:rPr>
          <w:rFonts w:hint="eastAsia"/>
          <w:lang w:eastAsia="zh-CN"/>
        </w:rPr>
        <w:t>号决议</w:t>
      </w:r>
      <w:r w:rsidR="007B5EE0" w:rsidRPr="001A16B0">
        <w:rPr>
          <w:rFonts w:hint="eastAsia"/>
          <w:b/>
          <w:bCs/>
          <w:lang w:eastAsia="zh-CN"/>
        </w:rPr>
        <w:t>（</w:t>
      </w:r>
      <w:r w:rsidR="007B5EE0" w:rsidRPr="001A16B0">
        <w:rPr>
          <w:rFonts w:hint="eastAsia"/>
          <w:b/>
          <w:bCs/>
          <w:lang w:eastAsia="zh-CN"/>
        </w:rPr>
        <w:t>W</w:t>
      </w:r>
      <w:r w:rsidR="007B5EE0" w:rsidRPr="001A16B0">
        <w:rPr>
          <w:b/>
          <w:bCs/>
          <w:lang w:eastAsia="zh-CN"/>
        </w:rPr>
        <w:t>RC</w:t>
      </w:r>
      <w:r w:rsidR="007B5EE0" w:rsidRPr="001A16B0">
        <w:rPr>
          <w:rFonts w:hint="eastAsia"/>
          <w:b/>
          <w:bCs/>
          <w:lang w:eastAsia="zh-CN"/>
        </w:rPr>
        <w:t>-15</w:t>
      </w:r>
      <w:r w:rsidR="007B5EE0" w:rsidRPr="001A16B0">
        <w:rPr>
          <w:rFonts w:hint="eastAsia"/>
          <w:b/>
          <w:bCs/>
          <w:lang w:eastAsia="zh-CN"/>
        </w:rPr>
        <w:t>，修订版）</w:t>
      </w:r>
      <w:r w:rsidR="007B5EE0">
        <w:rPr>
          <w:rFonts w:hint="eastAsia"/>
          <w:lang w:eastAsia="zh-CN"/>
        </w:rPr>
        <w:t>要求的，一个主管部门的</w:t>
      </w:r>
      <w:r w:rsidR="007B5EE0">
        <w:rPr>
          <w:rFonts w:hint="eastAsia"/>
          <w:lang w:eastAsia="zh-CN"/>
        </w:rPr>
        <w:t>V</w:t>
      </w:r>
      <w:r w:rsidR="007B5EE0">
        <w:rPr>
          <w:lang w:eastAsia="zh-CN"/>
        </w:rPr>
        <w:t>DES</w:t>
      </w:r>
      <w:r w:rsidR="007B5EE0">
        <w:rPr>
          <w:rFonts w:hint="eastAsia"/>
          <w:lang w:eastAsia="zh-CN"/>
        </w:rPr>
        <w:t>卫星部分和另一个主管部门的</w:t>
      </w:r>
      <w:r w:rsidR="007B5EE0">
        <w:rPr>
          <w:rFonts w:hint="eastAsia"/>
          <w:lang w:eastAsia="zh-CN"/>
        </w:rPr>
        <w:t>V</w:t>
      </w:r>
      <w:r w:rsidR="007B5EE0">
        <w:rPr>
          <w:lang w:eastAsia="zh-CN"/>
        </w:rPr>
        <w:t>DES</w:t>
      </w:r>
      <w:r w:rsidR="007B5EE0">
        <w:rPr>
          <w:rFonts w:hint="eastAsia"/>
          <w:lang w:eastAsia="zh-CN"/>
        </w:rPr>
        <w:t>地面部分、</w:t>
      </w:r>
      <w:r w:rsidR="007B5EE0">
        <w:rPr>
          <w:rFonts w:hint="eastAsia"/>
          <w:lang w:eastAsia="zh-CN"/>
        </w:rPr>
        <w:t>A</w:t>
      </w:r>
      <w:r w:rsidR="007B5EE0">
        <w:rPr>
          <w:lang w:eastAsia="zh-CN"/>
        </w:rPr>
        <w:t>SM</w:t>
      </w:r>
      <w:r w:rsidR="007B5EE0">
        <w:rPr>
          <w:rFonts w:hint="eastAsia"/>
          <w:lang w:eastAsia="zh-CN"/>
        </w:rPr>
        <w:t>和</w:t>
      </w:r>
      <w:r w:rsidR="007B5EE0">
        <w:rPr>
          <w:rFonts w:hint="eastAsia"/>
          <w:lang w:eastAsia="zh-CN"/>
        </w:rPr>
        <w:t>A</w:t>
      </w:r>
      <w:r w:rsidR="007B5EE0">
        <w:rPr>
          <w:lang w:eastAsia="zh-CN"/>
        </w:rPr>
        <w:t>IS</w:t>
      </w:r>
      <w:r w:rsidR="007B5EE0">
        <w:rPr>
          <w:rFonts w:hint="eastAsia"/>
          <w:lang w:eastAsia="zh-CN"/>
        </w:rPr>
        <w:t>运行的兼容性。</w:t>
      </w:r>
      <w:r w:rsidRPr="00C42C8B">
        <w:rPr>
          <w:lang w:eastAsia="zh-CN"/>
        </w:rPr>
        <w:br/>
      </w:r>
      <w:r w:rsidR="006C6C3B" w:rsidRPr="006C6C3B">
        <w:rPr>
          <w:lang w:eastAsia="zh-CN"/>
        </w:rPr>
        <w:t>因此，没有足够的理由修改有关频率范围内对无线电业务的</w:t>
      </w:r>
      <w:r w:rsidR="00F73929">
        <w:rPr>
          <w:rFonts w:hint="eastAsia"/>
          <w:lang w:eastAsia="zh-CN"/>
        </w:rPr>
        <w:t>已有划分</w:t>
      </w:r>
      <w:r w:rsidR="006C6C3B" w:rsidRPr="006C6C3B">
        <w:rPr>
          <w:lang w:eastAsia="zh-CN"/>
        </w:rPr>
        <w:t>。</w:t>
      </w:r>
    </w:p>
    <w:p w14:paraId="36F07075" w14:textId="77777777" w:rsidR="000D5E6F" w:rsidRDefault="000A3BF1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RCC/12A9A2/2</w:t>
      </w:r>
      <w:r>
        <w:rPr>
          <w:vanish/>
          <w:color w:val="7F7F7F" w:themeColor="text1" w:themeTint="80"/>
          <w:vertAlign w:val="superscript"/>
          <w:lang w:eastAsia="zh-CN"/>
        </w:rPr>
        <w:t>#50294</w:t>
      </w:r>
    </w:p>
    <w:p w14:paraId="41170E99" w14:textId="77777777" w:rsidR="00C3020F" w:rsidRPr="003C7493" w:rsidRDefault="000A3BF1" w:rsidP="00C3020F">
      <w:pPr>
        <w:pStyle w:val="ResNo"/>
        <w:rPr>
          <w:lang w:eastAsia="zh-CN"/>
        </w:rPr>
      </w:pPr>
      <w:r w:rsidRPr="003C7493">
        <w:rPr>
          <w:rFonts w:hint="eastAsia"/>
          <w:lang w:eastAsia="zh-CN"/>
        </w:rPr>
        <w:t>第</w:t>
      </w:r>
      <w:r w:rsidRPr="003C7493">
        <w:rPr>
          <w:rStyle w:val="href"/>
          <w:rFonts w:hint="eastAsia"/>
          <w:lang w:eastAsia="zh-CN"/>
        </w:rPr>
        <w:t>360</w:t>
      </w:r>
      <w:r w:rsidRPr="003C7493">
        <w:rPr>
          <w:rFonts w:hint="eastAsia"/>
          <w:lang w:eastAsia="zh-CN"/>
        </w:rPr>
        <w:t>号决议（</w:t>
      </w:r>
      <w:r w:rsidRPr="003C7493">
        <w:rPr>
          <w:lang w:eastAsia="zh-CN"/>
        </w:rPr>
        <w:t>WRC</w:t>
      </w:r>
      <w:r w:rsidRPr="003C7493">
        <w:rPr>
          <w:lang w:eastAsia="zh-CN"/>
        </w:rPr>
        <w:noBreakHyphen/>
        <w:t>15</w:t>
      </w:r>
      <w:r w:rsidRPr="003C7493">
        <w:rPr>
          <w:rFonts w:hint="eastAsia"/>
          <w:lang w:eastAsia="zh-CN"/>
        </w:rPr>
        <w:t>，</w:t>
      </w:r>
      <w:r w:rsidRPr="003C7493">
        <w:rPr>
          <w:lang w:eastAsia="zh-CN"/>
        </w:rPr>
        <w:t>修订版</w:t>
      </w:r>
      <w:r w:rsidRPr="003C7493">
        <w:rPr>
          <w:rFonts w:hint="eastAsia"/>
          <w:lang w:eastAsia="zh-CN"/>
        </w:rPr>
        <w:t>）</w:t>
      </w:r>
    </w:p>
    <w:p w14:paraId="2C97D21C" w14:textId="77777777" w:rsidR="00C3020F" w:rsidRPr="0006268B" w:rsidRDefault="000A3BF1" w:rsidP="00C3020F">
      <w:pPr>
        <w:pStyle w:val="Restitle"/>
        <w:rPr>
          <w:lang w:val="sv-SE" w:eastAsia="zh-CN"/>
        </w:rPr>
      </w:pPr>
      <w:r w:rsidRPr="0006268B">
        <w:rPr>
          <w:rFonts w:hint="eastAsia"/>
          <w:lang w:eastAsia="zh-CN"/>
        </w:rPr>
        <w:t>审议卫星水上移动业务的规则性条款与频谱</w:t>
      </w:r>
      <w:bookmarkStart w:id="9" w:name="_GoBack"/>
      <w:bookmarkEnd w:id="9"/>
      <w:r w:rsidRPr="0006268B">
        <w:rPr>
          <w:rFonts w:hint="eastAsia"/>
          <w:lang w:eastAsia="zh-CN"/>
        </w:rPr>
        <w:t>划分</w:t>
      </w:r>
      <w:r w:rsidRPr="0006268B">
        <w:rPr>
          <w:rFonts w:hint="eastAsia"/>
          <w:lang w:val="sv-SE" w:eastAsia="zh-CN"/>
        </w:rPr>
        <w:t>，</w:t>
      </w:r>
      <w:r w:rsidRPr="0006268B">
        <w:rPr>
          <w:lang w:val="sv-SE" w:eastAsia="zh-CN"/>
        </w:rPr>
        <w:br/>
      </w:r>
      <w:r w:rsidRPr="0006268B">
        <w:rPr>
          <w:rFonts w:hint="eastAsia"/>
          <w:lang w:eastAsia="zh-CN"/>
        </w:rPr>
        <w:t>以实现</w:t>
      </w:r>
      <w:r w:rsidRPr="0006268B">
        <w:rPr>
          <w:lang w:val="sv-SE" w:eastAsia="zh-CN"/>
        </w:rPr>
        <w:t>VHF</w:t>
      </w:r>
      <w:r w:rsidRPr="0006268B">
        <w:rPr>
          <w:rFonts w:hint="eastAsia"/>
          <w:lang w:eastAsia="zh-CN"/>
        </w:rPr>
        <w:t>数据交换系统</w:t>
      </w:r>
      <w:r w:rsidRPr="0006268B">
        <w:rPr>
          <w:rFonts w:hint="eastAsia"/>
          <w:lang w:val="sv-SE" w:eastAsia="zh-CN"/>
        </w:rPr>
        <w:t>的卫星部分</w:t>
      </w:r>
      <w:r w:rsidRPr="0006268B">
        <w:rPr>
          <w:lang w:val="sv-SE" w:eastAsia="zh-CN"/>
        </w:rPr>
        <w:br/>
      </w:r>
      <w:r w:rsidRPr="0006268B">
        <w:rPr>
          <w:rFonts w:hint="eastAsia"/>
          <w:lang w:val="sv-SE" w:eastAsia="zh-CN"/>
        </w:rPr>
        <w:t>和</w:t>
      </w:r>
      <w:r w:rsidRPr="0006268B">
        <w:rPr>
          <w:rFonts w:hint="eastAsia"/>
          <w:lang w:eastAsia="zh-CN"/>
        </w:rPr>
        <w:t>增强型水上无线电通信</w:t>
      </w:r>
    </w:p>
    <w:p w14:paraId="15DD2636" w14:textId="7819ADB0" w:rsidR="000B59A8" w:rsidRPr="000B59A8" w:rsidRDefault="000A3BF1" w:rsidP="000B59A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E922A3">
        <w:rPr>
          <w:rFonts w:hint="eastAsia"/>
          <w:lang w:eastAsia="zh-CN"/>
        </w:rPr>
        <w:t>建议删除</w:t>
      </w:r>
      <w:r w:rsidR="000B59A8" w:rsidRPr="000B59A8">
        <w:rPr>
          <w:lang w:eastAsia="zh-CN"/>
        </w:rPr>
        <w:t>第</w:t>
      </w:r>
      <w:r w:rsidR="000B59A8" w:rsidRPr="004E63C5">
        <w:rPr>
          <w:b/>
          <w:bCs/>
          <w:lang w:eastAsia="zh-CN"/>
        </w:rPr>
        <w:t>360</w:t>
      </w:r>
      <w:r w:rsidR="000B59A8" w:rsidRPr="000B59A8">
        <w:rPr>
          <w:lang w:eastAsia="zh-CN"/>
        </w:rPr>
        <w:t>号决议</w:t>
      </w:r>
      <w:r w:rsidR="000B59A8" w:rsidRPr="004E63C5">
        <w:rPr>
          <w:b/>
          <w:bCs/>
          <w:lang w:eastAsia="zh-CN"/>
        </w:rPr>
        <w:t>（</w:t>
      </w:r>
      <w:r w:rsidR="000B59A8" w:rsidRPr="004E63C5">
        <w:rPr>
          <w:b/>
          <w:bCs/>
          <w:lang w:eastAsia="zh-CN"/>
        </w:rPr>
        <w:t>WRC-15</w:t>
      </w:r>
      <w:r w:rsidR="000B59A8" w:rsidRPr="004E63C5">
        <w:rPr>
          <w:b/>
          <w:bCs/>
          <w:lang w:eastAsia="zh-CN"/>
        </w:rPr>
        <w:t>，修订版）</w:t>
      </w:r>
      <w:r w:rsidR="000B59A8" w:rsidRPr="000B59A8">
        <w:rPr>
          <w:lang w:eastAsia="zh-CN"/>
        </w:rPr>
        <w:t>，因为进行的研究表明，</w:t>
      </w:r>
      <w:r w:rsidR="000B59A8" w:rsidRPr="00621A64">
        <w:rPr>
          <w:lang w:eastAsia="zh-CN"/>
        </w:rPr>
        <w:t>不可能为引入</w:t>
      </w:r>
      <w:r w:rsidR="000B59A8" w:rsidRPr="000B59A8">
        <w:rPr>
          <w:lang w:eastAsia="zh-CN"/>
        </w:rPr>
        <w:t>VDE</w:t>
      </w:r>
      <w:r w:rsidR="000B59A8" w:rsidRPr="000B59A8">
        <w:rPr>
          <w:lang w:eastAsia="zh-CN"/>
        </w:rPr>
        <w:t>卫星</w:t>
      </w:r>
      <w:r w:rsidR="00DC64FF">
        <w:rPr>
          <w:rFonts w:hint="eastAsia"/>
          <w:lang w:eastAsia="zh-CN"/>
        </w:rPr>
        <w:t>部分</w:t>
      </w:r>
      <w:r w:rsidR="000B59A8" w:rsidRPr="000B59A8">
        <w:rPr>
          <w:lang w:eastAsia="zh-CN"/>
        </w:rPr>
        <w:t>而</w:t>
      </w:r>
      <w:r w:rsidR="00954146">
        <w:rPr>
          <w:rFonts w:hint="eastAsia"/>
          <w:lang w:eastAsia="zh-CN"/>
        </w:rPr>
        <w:t>划分</w:t>
      </w:r>
      <w:r w:rsidR="000B59A8" w:rsidRPr="000B59A8">
        <w:rPr>
          <w:lang w:eastAsia="zh-CN"/>
        </w:rPr>
        <w:t>频谱。</w:t>
      </w:r>
    </w:p>
    <w:p w14:paraId="16F8D01C" w14:textId="77777777" w:rsidR="000A3BF1" w:rsidRDefault="000A3BF1" w:rsidP="008B62D0">
      <w:pPr>
        <w:rPr>
          <w:lang w:eastAsia="zh-CN"/>
        </w:rPr>
      </w:pPr>
    </w:p>
    <w:p w14:paraId="0F9FB27D" w14:textId="1FF862F3" w:rsidR="000A3BF1" w:rsidRDefault="000A3BF1" w:rsidP="000A3BF1">
      <w:pPr>
        <w:jc w:val="center"/>
      </w:pPr>
      <w:r>
        <w:t>______________</w:t>
      </w:r>
    </w:p>
    <w:sectPr w:rsidR="000A3BF1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099E0" w14:textId="77777777" w:rsidR="00B6115E" w:rsidRDefault="00B6115E">
      <w:r>
        <w:separator/>
      </w:r>
    </w:p>
  </w:endnote>
  <w:endnote w:type="continuationSeparator" w:id="0">
    <w:p w14:paraId="5AF12034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EA9D8" w14:textId="593D28D3" w:rsidR="00B851D4" w:rsidRPr="000A3BF1" w:rsidRDefault="000A3BF1" w:rsidP="000A3BF1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03FD1">
      <w:rPr>
        <w:lang w:val="en-US"/>
      </w:rPr>
      <w:t>P:\CHI\ITU-R\CONF-R\CMR19\000\012ADD09ADD02C.docx</w:t>
    </w:r>
    <w:r>
      <w:fldChar w:fldCharType="end"/>
    </w:r>
    <w:r>
      <w:t xml:space="preserve"> (461761)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68E4" w14:textId="26559469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03FD1">
      <w:rPr>
        <w:lang w:val="en-US"/>
      </w:rPr>
      <w:t>P:\CHI\ITU-R\CONF-R\CMR19\000\012ADD09ADD02C.docx</w:t>
    </w:r>
    <w:r>
      <w:fldChar w:fldCharType="end"/>
    </w:r>
    <w:r w:rsidR="000A3BF1">
      <w:t xml:space="preserve"> (461761)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77F27" w14:textId="77777777" w:rsidR="00B6115E" w:rsidRDefault="00B6115E">
      <w:r>
        <w:t>____________________</w:t>
      </w:r>
    </w:p>
  </w:footnote>
  <w:footnote w:type="continuationSeparator" w:id="0">
    <w:p w14:paraId="6A6E1078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1AB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DAED5E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</w:t>
    </w:r>
    <w:proofErr w:type="gramStart"/>
    <w:r w:rsidR="00C929E0">
      <w:t>9)(</w:t>
    </w:r>
    <w:proofErr w:type="gramEnd"/>
    <w:r w:rsidR="00C929E0">
      <w:t>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04B1E"/>
    <w:rsid w:val="000264C2"/>
    <w:rsid w:val="000273B7"/>
    <w:rsid w:val="00037C90"/>
    <w:rsid w:val="00053F67"/>
    <w:rsid w:val="00060B2F"/>
    <w:rsid w:val="00090A1B"/>
    <w:rsid w:val="000A3BF1"/>
    <w:rsid w:val="000B59A8"/>
    <w:rsid w:val="000C0212"/>
    <w:rsid w:val="000C09BA"/>
    <w:rsid w:val="000C1F1E"/>
    <w:rsid w:val="000C6AA7"/>
    <w:rsid w:val="000D5E6F"/>
    <w:rsid w:val="000D7923"/>
    <w:rsid w:val="000E26F6"/>
    <w:rsid w:val="00106535"/>
    <w:rsid w:val="00123C07"/>
    <w:rsid w:val="00166859"/>
    <w:rsid w:val="001765EC"/>
    <w:rsid w:val="001853E8"/>
    <w:rsid w:val="001A16B0"/>
    <w:rsid w:val="001A4E73"/>
    <w:rsid w:val="001B6360"/>
    <w:rsid w:val="001F328E"/>
    <w:rsid w:val="001F4EA6"/>
    <w:rsid w:val="00214959"/>
    <w:rsid w:val="0022272C"/>
    <w:rsid w:val="002260A6"/>
    <w:rsid w:val="0023592E"/>
    <w:rsid w:val="00252347"/>
    <w:rsid w:val="00261B81"/>
    <w:rsid w:val="002742B3"/>
    <w:rsid w:val="002A4C9C"/>
    <w:rsid w:val="002B509B"/>
    <w:rsid w:val="002E2A59"/>
    <w:rsid w:val="002E4507"/>
    <w:rsid w:val="00305254"/>
    <w:rsid w:val="003169D2"/>
    <w:rsid w:val="00330EEF"/>
    <w:rsid w:val="00374891"/>
    <w:rsid w:val="00395B0C"/>
    <w:rsid w:val="003B4BEF"/>
    <w:rsid w:val="003B6399"/>
    <w:rsid w:val="003C6B45"/>
    <w:rsid w:val="003E48E2"/>
    <w:rsid w:val="003E5931"/>
    <w:rsid w:val="0041282E"/>
    <w:rsid w:val="00423746"/>
    <w:rsid w:val="00437869"/>
    <w:rsid w:val="00437AB2"/>
    <w:rsid w:val="00465A34"/>
    <w:rsid w:val="00467204"/>
    <w:rsid w:val="00475751"/>
    <w:rsid w:val="00484255"/>
    <w:rsid w:val="004B4C76"/>
    <w:rsid w:val="004C4554"/>
    <w:rsid w:val="004D2DEC"/>
    <w:rsid w:val="004E63C5"/>
    <w:rsid w:val="004F2BE6"/>
    <w:rsid w:val="00527E8A"/>
    <w:rsid w:val="005371BE"/>
    <w:rsid w:val="00542E85"/>
    <w:rsid w:val="00557BDE"/>
    <w:rsid w:val="00562479"/>
    <w:rsid w:val="005642E0"/>
    <w:rsid w:val="00566EA6"/>
    <w:rsid w:val="00574F9E"/>
    <w:rsid w:val="00576849"/>
    <w:rsid w:val="005A0ACB"/>
    <w:rsid w:val="005E08D2"/>
    <w:rsid w:val="005E7FD8"/>
    <w:rsid w:val="00615048"/>
    <w:rsid w:val="00621A64"/>
    <w:rsid w:val="00622560"/>
    <w:rsid w:val="00644391"/>
    <w:rsid w:val="00647712"/>
    <w:rsid w:val="00662E12"/>
    <w:rsid w:val="00666618"/>
    <w:rsid w:val="00691142"/>
    <w:rsid w:val="006B67CE"/>
    <w:rsid w:val="006C38ED"/>
    <w:rsid w:val="006C4713"/>
    <w:rsid w:val="006C6C3B"/>
    <w:rsid w:val="006E21E3"/>
    <w:rsid w:val="006E6182"/>
    <w:rsid w:val="006E6997"/>
    <w:rsid w:val="006F3C60"/>
    <w:rsid w:val="00736415"/>
    <w:rsid w:val="00770D2A"/>
    <w:rsid w:val="0077465A"/>
    <w:rsid w:val="00774834"/>
    <w:rsid w:val="007864F6"/>
    <w:rsid w:val="007B5EE0"/>
    <w:rsid w:val="007B7C4B"/>
    <w:rsid w:val="007E6C92"/>
    <w:rsid w:val="007F0FC5"/>
    <w:rsid w:val="007F3EF1"/>
    <w:rsid w:val="007F5C36"/>
    <w:rsid w:val="008047DB"/>
    <w:rsid w:val="00810D7E"/>
    <w:rsid w:val="008129A9"/>
    <w:rsid w:val="00815B77"/>
    <w:rsid w:val="008221A4"/>
    <w:rsid w:val="00824BD6"/>
    <w:rsid w:val="0082679E"/>
    <w:rsid w:val="008347BF"/>
    <w:rsid w:val="0083672D"/>
    <w:rsid w:val="00844734"/>
    <w:rsid w:val="00846897"/>
    <w:rsid w:val="00865DFB"/>
    <w:rsid w:val="008957D5"/>
    <w:rsid w:val="00896A79"/>
    <w:rsid w:val="008A7416"/>
    <w:rsid w:val="008B62D0"/>
    <w:rsid w:val="008B6852"/>
    <w:rsid w:val="008C26FF"/>
    <w:rsid w:val="008D1D14"/>
    <w:rsid w:val="008D6D9C"/>
    <w:rsid w:val="008E1785"/>
    <w:rsid w:val="008E7127"/>
    <w:rsid w:val="008E7C8E"/>
    <w:rsid w:val="009005B9"/>
    <w:rsid w:val="00912959"/>
    <w:rsid w:val="00954146"/>
    <w:rsid w:val="00960F86"/>
    <w:rsid w:val="009657F9"/>
    <w:rsid w:val="0099525B"/>
    <w:rsid w:val="009952DA"/>
    <w:rsid w:val="009C72B7"/>
    <w:rsid w:val="009E651C"/>
    <w:rsid w:val="00A0052C"/>
    <w:rsid w:val="00A03FD1"/>
    <w:rsid w:val="00A10DD3"/>
    <w:rsid w:val="00A31B14"/>
    <w:rsid w:val="00A323DC"/>
    <w:rsid w:val="00A466E6"/>
    <w:rsid w:val="00A7104B"/>
    <w:rsid w:val="00A81060"/>
    <w:rsid w:val="00A815BE"/>
    <w:rsid w:val="00A93295"/>
    <w:rsid w:val="00AA5DA1"/>
    <w:rsid w:val="00AC2C94"/>
    <w:rsid w:val="00AE369F"/>
    <w:rsid w:val="00B026CB"/>
    <w:rsid w:val="00B1042B"/>
    <w:rsid w:val="00B206A2"/>
    <w:rsid w:val="00B3461E"/>
    <w:rsid w:val="00B50377"/>
    <w:rsid w:val="00B6115E"/>
    <w:rsid w:val="00B711CC"/>
    <w:rsid w:val="00B851D4"/>
    <w:rsid w:val="00B868FC"/>
    <w:rsid w:val="00B95072"/>
    <w:rsid w:val="00BB26CD"/>
    <w:rsid w:val="00C00995"/>
    <w:rsid w:val="00C07239"/>
    <w:rsid w:val="00C364B1"/>
    <w:rsid w:val="00C3788A"/>
    <w:rsid w:val="00C47D87"/>
    <w:rsid w:val="00C627F9"/>
    <w:rsid w:val="00C6584D"/>
    <w:rsid w:val="00C91927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C64FF"/>
    <w:rsid w:val="00DD13B7"/>
    <w:rsid w:val="00DD33E9"/>
    <w:rsid w:val="00DF3B0C"/>
    <w:rsid w:val="00E14984"/>
    <w:rsid w:val="00E21AD8"/>
    <w:rsid w:val="00E22A25"/>
    <w:rsid w:val="00E560F1"/>
    <w:rsid w:val="00E73BD2"/>
    <w:rsid w:val="00E922A3"/>
    <w:rsid w:val="00E92319"/>
    <w:rsid w:val="00E9782D"/>
    <w:rsid w:val="00ED2840"/>
    <w:rsid w:val="00F7392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B68DC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0A3BF1"/>
    <w:rPr>
      <w:color w:val="0000FF" w:themeColor="hyperlink"/>
      <w:u w:val="single"/>
    </w:rPr>
  </w:style>
  <w:style w:type="character" w:customStyle="1" w:styleId="alt-edited">
    <w:name w:val="alt-edited"/>
    <w:basedOn w:val="DefaultParagraphFont"/>
    <w:rsid w:val="00E9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eb1f7bb-b221-47f8-86d8-5829d5b3aec5" targetNamespace="http://schemas.microsoft.com/office/2006/metadata/properties" ma:root="true" ma:fieldsID="d41af5c836d734370eb92e7ee5f83852" ns2:_="" ns3:_="">
    <xsd:import namespace="996b2e75-67fd-4955-a3b0-5ab9934cb50b"/>
    <xsd:import namespace="6eb1f7bb-b221-47f8-86d8-5829d5b3aec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7bb-b221-47f8-86d8-5829d5b3aec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eb1f7bb-b221-47f8-86d8-5829d5b3aec5">DPM</DPM_x0020_Author>
    <DPM_x0020_File_x0020_name xmlns="6eb1f7bb-b221-47f8-86d8-5829d5b3aec5">R16-WRC19-C-0012!A9-A2!MSW-C</DPM_x0020_File_x0020_name>
    <DPM_x0020_Version xmlns="6eb1f7bb-b221-47f8-86d8-5829d5b3aec5">DPM_2019.10.01.01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eb1f7bb-b221-47f8-86d8-5829d5b3a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eb1f7bb-b221-47f8-86d8-5829d5b3aec5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859</Words>
  <Characters>1194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R16-WRC19-C-0012!A9-A2!MSW-C</vt:lpstr>
    </vt:vector>
  </TitlesOfParts>
  <Manager>General Secretariat - Pool</Manager>
  <Company>International Telecommunication Union (ITU)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R16-WRC19-C-0012!A9-A2!MSW-C</dc:title>
  <dc:subject>World Radiocommunication Conference - 2019</dc:subject>
  <dc:creator>Documents Proposals Manager (DPM)</dc:creator>
  <cp:keywords>DPM_v2019.10.15.2_prod</cp:keywords>
  <dc:description/>
  <cp:lastModifiedBy>Kong, Hongli</cp:lastModifiedBy>
  <cp:revision>7</cp:revision>
  <cp:lastPrinted>2019-10-26T11:08:00Z</cp:lastPrinted>
  <dcterms:created xsi:type="dcterms:W3CDTF">2019-10-26T10:57:00Z</dcterms:created>
  <dcterms:modified xsi:type="dcterms:W3CDTF">2019-10-26T11:08:00Z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