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1B515411" w14:textId="77777777" w:rsidTr="00F55E63">
        <w:trPr>
          <w:cantSplit/>
          <w:trHeight w:val="20"/>
        </w:trPr>
        <w:tc>
          <w:tcPr>
            <w:tcW w:w="6619" w:type="dxa"/>
          </w:tcPr>
          <w:p w14:paraId="06DC73EE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52582A0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EB4501F" wp14:editId="767288F5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29E03BBB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A12DDE1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60D6C213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26BB33DE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A602CD5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76A4AE2F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C54508" w:rsidRPr="00F545E4" w14:paraId="35FDE5D8" w14:textId="77777777" w:rsidTr="00F55E63">
        <w:trPr>
          <w:cantSplit/>
        </w:trPr>
        <w:tc>
          <w:tcPr>
            <w:tcW w:w="6619" w:type="dxa"/>
          </w:tcPr>
          <w:p w14:paraId="76C1899C" w14:textId="77777777" w:rsidR="00C54508" w:rsidRPr="00F545E4" w:rsidRDefault="00C54508" w:rsidP="00C54508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79C92E30" w14:textId="5DD58BAC" w:rsidR="00C54508" w:rsidRPr="00F545E4" w:rsidRDefault="00EE7C1D" w:rsidP="00C54508">
            <w:pPr>
              <w:pStyle w:val="Adress"/>
              <w:framePr w:hSpace="0" w:wrap="auto" w:xAlign="left" w:yAlign="inline"/>
              <w:spacing w:before="0"/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>
              <w:rPr>
                <w:rFonts w:ascii="Verdana" w:hAnsi="Verdana"/>
                <w:szCs w:val="19"/>
              </w:rPr>
              <w:t>2</w:t>
            </w:r>
            <w:r w:rsidR="00C54508" w:rsidRPr="00A627AB"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12(Add.</w:t>
            </w:r>
            <w:proofErr w:type="gramStart"/>
            <w:r>
              <w:rPr>
                <w:rFonts w:ascii="Verdana" w:eastAsia="SimSun" w:hAnsi="Verdana"/>
              </w:rPr>
              <w:t>9)</w:t>
            </w:r>
            <w:r w:rsidRPr="00A627AB">
              <w:rPr>
                <w:rFonts w:ascii="Verdana" w:eastAsia="SimSun" w:hAnsi="Verdana"/>
              </w:rPr>
              <w:t>-</w:t>
            </w:r>
            <w:proofErr w:type="gramEnd"/>
            <w:r w:rsidRPr="00A627AB">
              <w:rPr>
                <w:rFonts w:ascii="Verdana" w:eastAsia="SimSun" w:hAnsi="Verdana"/>
              </w:rPr>
              <w:t>A</w:t>
            </w:r>
          </w:p>
        </w:tc>
      </w:tr>
      <w:tr w:rsidR="00C54508" w:rsidRPr="00F545E4" w14:paraId="7C65C6D3" w14:textId="77777777" w:rsidTr="00F55E63">
        <w:trPr>
          <w:cantSplit/>
        </w:trPr>
        <w:tc>
          <w:tcPr>
            <w:tcW w:w="6619" w:type="dxa"/>
          </w:tcPr>
          <w:p w14:paraId="6867536D" w14:textId="77777777" w:rsidR="00C54508" w:rsidRPr="00F545E4" w:rsidRDefault="00C54508" w:rsidP="00C5450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EF87322" w14:textId="6765BFA8" w:rsidR="00C54508" w:rsidRPr="00F545E4" w:rsidRDefault="00C54508" w:rsidP="00C54508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2</w:t>
            </w:r>
            <w:r w:rsidRPr="00A627AB">
              <w:rPr>
                <w:rFonts w:ascii="Verdana" w:eastAsia="SimSun" w:hAnsi="Verdana"/>
                <w:rtl/>
              </w:rPr>
              <w:t xml:space="preserve"> أكتوبر </w:t>
            </w:r>
            <w:r w:rsidRPr="00A627AB">
              <w:rPr>
                <w:rFonts w:ascii="Verdana" w:eastAsia="SimSun" w:hAnsi="Verdana"/>
              </w:rPr>
              <w:t>2019</w:t>
            </w:r>
          </w:p>
        </w:tc>
      </w:tr>
      <w:tr w:rsidR="00A809E8" w:rsidRPr="00F545E4" w14:paraId="047C2677" w14:textId="77777777" w:rsidTr="00F55E63">
        <w:trPr>
          <w:cantSplit/>
        </w:trPr>
        <w:tc>
          <w:tcPr>
            <w:tcW w:w="6619" w:type="dxa"/>
          </w:tcPr>
          <w:p w14:paraId="678986EF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220A6973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بالروسية</w:t>
            </w:r>
          </w:p>
        </w:tc>
      </w:tr>
      <w:tr w:rsidR="00764079" w14:paraId="0489F458" w14:textId="77777777" w:rsidTr="00F55E63">
        <w:trPr>
          <w:cantSplit/>
        </w:trPr>
        <w:tc>
          <w:tcPr>
            <w:tcW w:w="9672" w:type="dxa"/>
            <w:gridSpan w:val="2"/>
          </w:tcPr>
          <w:p w14:paraId="29DC53D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41136D6E" w14:textId="77777777" w:rsidTr="00F55E63">
        <w:trPr>
          <w:cantSplit/>
        </w:trPr>
        <w:tc>
          <w:tcPr>
            <w:tcW w:w="9672" w:type="dxa"/>
            <w:gridSpan w:val="2"/>
          </w:tcPr>
          <w:p w14:paraId="3B6F8A24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14:paraId="12DD3821" w14:textId="77777777" w:rsidTr="00F55E63">
        <w:trPr>
          <w:cantSplit/>
        </w:trPr>
        <w:tc>
          <w:tcPr>
            <w:tcW w:w="9672" w:type="dxa"/>
            <w:gridSpan w:val="2"/>
          </w:tcPr>
          <w:p w14:paraId="2159F373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7AF17A2C" w14:textId="77777777" w:rsidTr="00F55E63">
        <w:trPr>
          <w:cantSplit/>
        </w:trPr>
        <w:tc>
          <w:tcPr>
            <w:tcW w:w="9672" w:type="dxa"/>
            <w:gridSpan w:val="2"/>
          </w:tcPr>
          <w:p w14:paraId="4BBF0A0D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2E16C911" w14:textId="77777777" w:rsidTr="00F55E63">
        <w:trPr>
          <w:cantSplit/>
        </w:trPr>
        <w:tc>
          <w:tcPr>
            <w:tcW w:w="9672" w:type="dxa"/>
            <w:gridSpan w:val="2"/>
          </w:tcPr>
          <w:p w14:paraId="1CE8E7F1" w14:textId="6EE440D0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5361D7">
              <w:rPr>
                <w:rFonts w:hint="cs"/>
                <w:rtl/>
                <w:lang w:val="en-US"/>
              </w:rPr>
              <w:t xml:space="preserve"> </w:t>
            </w:r>
            <w:r w:rsidR="005361D7">
              <w:rPr>
                <w:lang w:val="en-US"/>
              </w:rPr>
              <w:t>2.9.1</w:t>
            </w:r>
          </w:p>
        </w:tc>
      </w:tr>
    </w:tbl>
    <w:p w14:paraId="3B2C53B6" w14:textId="77777777" w:rsidR="00413EC1" w:rsidRPr="00B00551" w:rsidRDefault="00413EC1" w:rsidP="00413EC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9.1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 xml:space="preserve">النظر </w:t>
      </w:r>
      <w:r w:rsidRPr="00723691">
        <w:rPr>
          <w:rFonts w:eastAsia="SimSun" w:hint="cs"/>
          <w:rtl/>
          <w:lang w:eastAsia="zh-CN"/>
        </w:rPr>
        <w:t>استناداً إلى نتائج دراسات قطاع الاتصالات الراديوية، فيما يلي:</w:t>
      </w:r>
    </w:p>
    <w:p w14:paraId="2E945259" w14:textId="7B130F14" w:rsidR="00413EC1" w:rsidRPr="00B00551" w:rsidRDefault="00413EC1" w:rsidP="00413EC1">
      <w:pPr>
        <w:rPr>
          <w:rFonts w:eastAsia="SimSun"/>
          <w:szCs w:val="22"/>
          <w:rtl/>
        </w:rPr>
      </w:pPr>
      <w:r w:rsidRPr="00723691">
        <w:rPr>
          <w:rFonts w:eastAsia="SimSun"/>
          <w:lang w:eastAsia="zh-CN" w:bidi="ar-SY"/>
        </w:rPr>
        <w:t>2.9.1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إدخال تعديلات على لوائح الراديو، بما</w:t>
      </w:r>
      <w:r w:rsidRPr="00723691">
        <w:rPr>
          <w:rFonts w:eastAsia="SimSun" w:hint="eastAsia"/>
          <w:rtl/>
          <w:lang w:eastAsia="zh-CN"/>
        </w:rPr>
        <w:t xml:space="preserve"> في </w:t>
      </w:r>
      <w:r w:rsidRPr="00723691">
        <w:rPr>
          <w:rFonts w:eastAsia="SimSun" w:hint="cs"/>
          <w:rtl/>
          <w:lang w:eastAsia="zh-CN"/>
        </w:rPr>
        <w:t xml:space="preserve">ذلك توزيعات جديدة للطيف للخدمة المتنقلة البحرية </w:t>
      </w:r>
      <w:proofErr w:type="spellStart"/>
      <w:r w:rsidRPr="00723691">
        <w:rPr>
          <w:rFonts w:eastAsia="SimSun" w:hint="cs"/>
          <w:rtl/>
          <w:lang w:eastAsia="zh-CN"/>
        </w:rPr>
        <w:t>الساتلية</w:t>
      </w:r>
      <w:proofErr w:type="spellEnd"/>
      <w:r w:rsidR="00DC1191">
        <w:rPr>
          <w:rFonts w:eastAsia="SimSun" w:hint="eastAsia"/>
          <w:rtl/>
          <w:lang w:eastAsia="zh-CN"/>
        </w:rPr>
        <w:t> </w:t>
      </w:r>
      <w:r w:rsidRPr="00723691">
        <w:rPr>
          <w:rFonts w:eastAsia="SimSun" w:hint="cs"/>
          <w:rtl/>
          <w:lang w:eastAsia="zh-CN"/>
        </w:rPr>
        <w:t>(أرض</w:t>
      </w:r>
      <w:r w:rsidR="00DC1191">
        <w:rPr>
          <w:rFonts w:eastAsia="SimSun"/>
          <w:rtl/>
          <w:lang w:eastAsia="zh-CN"/>
        </w:rPr>
        <w:noBreakHyphen/>
      </w:r>
      <w:r w:rsidRPr="00723691">
        <w:rPr>
          <w:rFonts w:eastAsia="SimSun" w:hint="cs"/>
          <w:rtl/>
          <w:lang w:eastAsia="zh-CN"/>
        </w:rPr>
        <w:t>فضاء وفضاء-أرض) ويفضل أن يكون ذلك ضمن نطاقي التردد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MHz 157,4375</w:t>
      </w:r>
      <w:r w:rsidRPr="00723691">
        <w:rPr>
          <w:rFonts w:eastAsia="SimSun"/>
          <w:lang w:eastAsia="zh-CN" w:bidi="ar-SY"/>
        </w:rPr>
        <w:noBreakHyphen/>
        <w:t>156,0125</w:t>
      </w:r>
      <w:r w:rsidRPr="00723691">
        <w:rPr>
          <w:rFonts w:eastAsia="SimSun" w:hint="cs"/>
          <w:rtl/>
          <w:lang w:eastAsia="zh-CN"/>
        </w:rPr>
        <w:t xml:space="preserve"> و</w:t>
      </w:r>
      <w:r w:rsidRPr="00723691">
        <w:rPr>
          <w:rFonts w:eastAsia="SimSun"/>
          <w:lang w:eastAsia="zh-CN" w:bidi="ar-SY"/>
        </w:rPr>
        <w:t>MHz 162,0375</w:t>
      </w:r>
      <w:r w:rsidRPr="00723691">
        <w:rPr>
          <w:rFonts w:eastAsia="SimSun"/>
          <w:lang w:eastAsia="zh-CN" w:bidi="ar-SY"/>
        </w:rPr>
        <w:noBreakHyphen/>
        <w:t>160,6125</w:t>
      </w:r>
      <w:r w:rsidRPr="00723691">
        <w:rPr>
          <w:rFonts w:eastAsia="SimSun" w:hint="cs"/>
          <w:rtl/>
          <w:lang w:eastAsia="zh-CN"/>
        </w:rPr>
        <w:t xml:space="preserve"> في التذييل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b/>
          <w:bCs/>
          <w:lang w:eastAsia="zh-CN" w:bidi="ar-SY"/>
        </w:rPr>
        <w:t>18</w:t>
      </w:r>
      <w:r w:rsidRPr="00723691">
        <w:rPr>
          <w:rFonts w:eastAsia="SimSun" w:hint="cs"/>
          <w:rtl/>
          <w:lang w:eastAsia="zh-CN"/>
        </w:rPr>
        <w:t xml:space="preserve">، لإتاحة المكوّنة الساتلية لأنظمة تبادل البيانات بالموجات المترية </w:t>
      </w:r>
      <w:r w:rsidRPr="00723691">
        <w:rPr>
          <w:rFonts w:eastAsia="SimSun"/>
          <w:lang w:eastAsia="zh-CN" w:bidi="ar-SY"/>
        </w:rPr>
        <w:t>(VDES)</w:t>
      </w:r>
      <w:r w:rsidRPr="00723691">
        <w:rPr>
          <w:rFonts w:eastAsia="SimSun" w:hint="cs"/>
          <w:rtl/>
          <w:lang w:eastAsia="zh-CN"/>
        </w:rPr>
        <w:t>، مع ضمان ألاَّ تؤدي هذه المكوّنة في الوقت ذاته إلى تردّي المكوّنات الأرضية الحالية لنظام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VDES</w:t>
      </w:r>
      <w:r w:rsidRPr="00723691">
        <w:rPr>
          <w:rFonts w:eastAsia="SimSun" w:hint="cs"/>
          <w:rtl/>
          <w:lang w:eastAsia="zh-CN"/>
        </w:rPr>
        <w:t>، وعمليات الرسائل الخاصة بالتطبيق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(ASM)</w:t>
      </w:r>
      <w:r w:rsidRPr="00723691">
        <w:rPr>
          <w:rFonts w:eastAsia="SimSun" w:hint="cs"/>
          <w:rtl/>
          <w:lang w:eastAsia="zh-CN"/>
        </w:rPr>
        <w:t>، ونظام التعرف الأوتوماتي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(AIS)</w:t>
      </w:r>
      <w:r w:rsidRPr="00723691">
        <w:rPr>
          <w:rFonts w:eastAsia="SimSun" w:hint="cs"/>
          <w:rtl/>
          <w:lang w:eastAsia="zh-CN"/>
        </w:rPr>
        <w:t xml:space="preserve"> وألاَّ يفرض قيوداً إضافية على الخدمات القائمة في هذه النطاقات وفي نطاقات التردد المجاورة المشار إليها في الفقرتين </w:t>
      </w:r>
      <w:r w:rsidRPr="00723691">
        <w:rPr>
          <w:rFonts w:eastAsia="SimSun" w:hint="cs"/>
          <w:i/>
          <w:iCs/>
          <w:rtl/>
          <w:lang w:eastAsia="zh-CN"/>
        </w:rPr>
        <w:t xml:space="preserve">د) </w:t>
      </w:r>
      <w:r w:rsidRPr="00723691">
        <w:rPr>
          <w:rFonts w:eastAsia="SimSun" w:hint="cs"/>
          <w:rtl/>
          <w:lang w:eastAsia="zh-CN"/>
        </w:rPr>
        <w:t>و</w:t>
      </w:r>
      <w:r w:rsidRPr="00723691">
        <w:rPr>
          <w:rFonts w:eastAsia="SimSun" w:hint="cs"/>
          <w:i/>
          <w:iCs/>
          <w:rtl/>
          <w:lang w:eastAsia="zh-CN"/>
        </w:rPr>
        <w:t xml:space="preserve">ه‍) </w:t>
      </w:r>
      <w:r w:rsidRPr="00723691">
        <w:rPr>
          <w:rFonts w:eastAsia="SimSun" w:hint="eastAsia"/>
          <w:rtl/>
          <w:lang w:eastAsia="zh-CN"/>
        </w:rPr>
        <w:t>من</w:t>
      </w:r>
      <w:r w:rsidRPr="00723691">
        <w:rPr>
          <w:rFonts w:eastAsia="SimSun" w:hint="cs"/>
          <w:i/>
          <w:iCs/>
          <w:rtl/>
          <w:lang w:eastAsia="zh-CN"/>
        </w:rPr>
        <w:t xml:space="preserve"> "إذ يدرك" </w:t>
      </w:r>
      <w:r w:rsidRPr="00723691">
        <w:rPr>
          <w:rFonts w:eastAsia="SimSun" w:hint="cs"/>
          <w:rtl/>
          <w:lang w:eastAsia="zh-CN"/>
        </w:rPr>
        <w:t xml:space="preserve">من </w:t>
      </w:r>
      <w:r w:rsidRPr="00694BC8">
        <w:rPr>
          <w:rFonts w:eastAsia="SimSun" w:hint="cs"/>
          <w:rtl/>
          <w:lang w:eastAsia="zh-CN"/>
        </w:rPr>
        <w:t xml:space="preserve">القرار </w:t>
      </w:r>
      <w:r w:rsidRPr="00694BC8">
        <w:rPr>
          <w:rFonts w:eastAsia="SimSun"/>
          <w:b/>
          <w:bCs/>
          <w:iCs/>
          <w:lang w:eastAsia="zh-CN" w:bidi="ar-SY"/>
        </w:rPr>
        <w:t>360 (Rev.WRC</w:t>
      </w:r>
      <w:r w:rsidRPr="00694BC8">
        <w:rPr>
          <w:rFonts w:eastAsia="SimSun"/>
          <w:b/>
          <w:bCs/>
          <w:iCs/>
          <w:lang w:eastAsia="zh-CN" w:bidi="ar-SY"/>
        </w:rPr>
        <w:noBreakHyphen/>
        <w:t>15)</w:t>
      </w:r>
      <w:r w:rsidRPr="00723691">
        <w:rPr>
          <w:rFonts w:eastAsia="SimSun" w:hint="cs"/>
          <w:rtl/>
          <w:lang w:eastAsia="zh-CN"/>
        </w:rPr>
        <w:t>؛</w:t>
      </w:r>
    </w:p>
    <w:p w14:paraId="0B27E306" w14:textId="170509F6" w:rsidR="002F3E46" w:rsidRDefault="00A14E44" w:rsidP="00A14E44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14:paraId="46264ADF" w14:textId="6A43FB9A" w:rsidR="00EB4F4C" w:rsidRDefault="00EB4F4C" w:rsidP="00BF3EB5">
      <w:pPr>
        <w:rPr>
          <w:rtl/>
          <w:lang w:bidi="ar-EG"/>
        </w:rPr>
      </w:pPr>
      <w:r>
        <w:rPr>
          <w:rtl/>
          <w:lang w:bidi="ar-EG"/>
        </w:rPr>
        <w:t>تعارض إدارات الكومنولث الإقليمي</w:t>
      </w:r>
      <w:r>
        <w:rPr>
          <w:rFonts w:hint="cs"/>
          <w:rtl/>
          <w:lang w:bidi="ar-EG"/>
        </w:rPr>
        <w:t xml:space="preserve"> </w:t>
      </w:r>
      <w:r w:rsidR="00D27F35">
        <w:rPr>
          <w:rFonts w:hint="cs"/>
          <w:rtl/>
          <w:lang w:val="fr-CH" w:bidi="ar-SY"/>
        </w:rPr>
        <w:t>في مجال ا</w:t>
      </w:r>
      <w:r>
        <w:rPr>
          <w:rFonts w:hint="cs"/>
          <w:rtl/>
          <w:lang w:bidi="ar-EG"/>
        </w:rPr>
        <w:t>لاتصالات</w:t>
      </w:r>
      <w:r w:rsidR="00577605">
        <w:rPr>
          <w:rFonts w:hint="cs"/>
          <w:rtl/>
          <w:lang w:bidi="ar-SY"/>
        </w:rPr>
        <w:t xml:space="preserve"> </w:t>
      </w:r>
      <w:r w:rsidR="00577605">
        <w:rPr>
          <w:lang w:bidi="ar-SY"/>
        </w:rPr>
        <w:t>(RCC)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توزيعات </w:t>
      </w:r>
      <w:r>
        <w:rPr>
          <w:rFonts w:hint="cs"/>
          <w:rtl/>
          <w:lang w:bidi="ar-EG"/>
        </w:rPr>
        <w:t>ال</w:t>
      </w:r>
      <w:r>
        <w:rPr>
          <w:rtl/>
          <w:lang w:bidi="ar-EG"/>
        </w:rPr>
        <w:t xml:space="preserve">جديدة للخدمة المتنقلة </w:t>
      </w:r>
      <w:proofErr w:type="spellStart"/>
      <w:r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 البحرية </w:t>
      </w:r>
      <w:r w:rsidR="00DC1191">
        <w:rPr>
          <w:lang w:bidi="ar-EG"/>
        </w:rPr>
        <w:t>(MMSS)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من أجل </w:t>
      </w:r>
      <w:r w:rsidR="000D70FB">
        <w:rPr>
          <w:rFonts w:hint="cs"/>
          <w:rtl/>
          <w:lang w:bidi="ar-EG"/>
        </w:rPr>
        <w:t>ال</w:t>
      </w:r>
      <w:r>
        <w:rPr>
          <w:rtl/>
          <w:lang w:bidi="ar-EG"/>
        </w:rPr>
        <w:t>مكون</w:t>
      </w:r>
      <w:r w:rsidR="000D70FB">
        <w:rPr>
          <w:rFonts w:hint="cs"/>
          <w:rtl/>
          <w:lang w:bidi="ar-EG"/>
        </w:rPr>
        <w:t xml:space="preserve"> </w:t>
      </w:r>
      <w:proofErr w:type="spellStart"/>
      <w:r w:rsidR="000D70FB">
        <w:rPr>
          <w:rFonts w:hint="cs"/>
          <w:rtl/>
          <w:lang w:bidi="ar-EG"/>
        </w:rPr>
        <w:t>الساتلي</w:t>
      </w:r>
      <w:proofErr w:type="spellEnd"/>
      <w:r>
        <w:rPr>
          <w:rtl/>
          <w:lang w:bidi="ar-EG"/>
        </w:rPr>
        <w:t xml:space="preserve"> </w:t>
      </w:r>
      <w:r w:rsidR="000D70FB" w:rsidRPr="000D70FB">
        <w:rPr>
          <w:rtl/>
          <w:lang w:bidi="ar-EG"/>
        </w:rPr>
        <w:t xml:space="preserve">لنظام تبادل البيانات في الموجات المترية </w:t>
      </w:r>
      <w:r w:rsidR="00DC1191">
        <w:rPr>
          <w:lang w:bidi="ar-EG"/>
        </w:rPr>
        <w:t>(VDES)</w:t>
      </w:r>
      <w:r w:rsidR="000D70FB" w:rsidRPr="000D70FB">
        <w:rPr>
          <w:rtl/>
          <w:lang w:bidi="ar-EG"/>
        </w:rPr>
        <w:t xml:space="preserve"> </w:t>
      </w:r>
      <w:r>
        <w:rPr>
          <w:rtl/>
          <w:lang w:bidi="ar-EG"/>
        </w:rPr>
        <w:t xml:space="preserve">ضمن مدى التردد </w:t>
      </w:r>
      <w:r>
        <w:rPr>
          <w:lang w:bidi="ar-EG"/>
        </w:rPr>
        <w:t>MHz 162-152</w:t>
      </w:r>
      <w:r>
        <w:rPr>
          <w:rtl/>
          <w:lang w:bidi="ar-EG"/>
        </w:rPr>
        <w:t>، لأن الدراسات التي أ</w:t>
      </w:r>
      <w:r w:rsidR="00577605">
        <w:rPr>
          <w:rFonts w:hint="cs"/>
          <w:rtl/>
          <w:lang w:bidi="ar-EG"/>
        </w:rPr>
        <w:t>ُ</w:t>
      </w:r>
      <w:r>
        <w:rPr>
          <w:rtl/>
          <w:lang w:bidi="ar-EG"/>
        </w:rPr>
        <w:t xml:space="preserve">جريت على أساس توصيات قطاع الاتصالات الراديوية </w:t>
      </w:r>
      <w:r w:rsidR="00577605">
        <w:rPr>
          <w:rFonts w:hint="cs"/>
          <w:rtl/>
          <w:lang w:val="fr-CH" w:bidi="ar-SY"/>
        </w:rPr>
        <w:t xml:space="preserve">قد </w:t>
      </w:r>
      <w:r>
        <w:rPr>
          <w:rtl/>
          <w:lang w:bidi="ar-EG"/>
        </w:rPr>
        <w:t xml:space="preserve">أظهرت أن في </w:t>
      </w:r>
      <w:r w:rsidR="000D70FB">
        <w:rPr>
          <w:rFonts w:hint="cs"/>
          <w:rtl/>
          <w:lang w:bidi="ar-EG"/>
        </w:rPr>
        <w:t>مجال</w:t>
      </w:r>
      <w:r>
        <w:rPr>
          <w:rtl/>
          <w:lang w:bidi="ar-EG"/>
        </w:rPr>
        <w:t xml:space="preserve"> الخدمة العامة لا تتوافق المحطات الفضائية </w:t>
      </w:r>
      <w:r w:rsidR="000D70FB">
        <w:rPr>
          <w:rFonts w:hint="cs"/>
          <w:rtl/>
          <w:lang w:bidi="ar-EG"/>
        </w:rPr>
        <w:t>ل</w:t>
      </w:r>
      <w:r w:rsidR="000D70FB" w:rsidRPr="000D70FB">
        <w:rPr>
          <w:rtl/>
          <w:lang w:bidi="ar-EG"/>
        </w:rPr>
        <w:t xml:space="preserve">لمكون </w:t>
      </w:r>
      <w:proofErr w:type="spellStart"/>
      <w:r w:rsidR="000D70FB" w:rsidRPr="000D70FB">
        <w:rPr>
          <w:rtl/>
          <w:lang w:bidi="ar-EG"/>
        </w:rPr>
        <w:t>الساتلي</w:t>
      </w:r>
      <w:proofErr w:type="spellEnd"/>
      <w:r w:rsidR="000D70FB" w:rsidRPr="000D70FB">
        <w:rPr>
          <w:rtl/>
          <w:lang w:bidi="ar-EG"/>
        </w:rPr>
        <w:t xml:space="preserve"> لنظام تبادل البيانات في الموجات المترية </w:t>
      </w:r>
      <w:r w:rsidR="00DC1191">
        <w:rPr>
          <w:lang w:bidi="ar-EG"/>
        </w:rPr>
        <w:t>(VDES)</w:t>
      </w:r>
      <w:r w:rsidR="000D70FB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>مع المحطات في الخدم</w:t>
      </w:r>
      <w:r w:rsidR="000D70FB">
        <w:rPr>
          <w:rFonts w:hint="cs"/>
          <w:rtl/>
          <w:lang w:bidi="ar-EG"/>
        </w:rPr>
        <w:t>تين</w:t>
      </w:r>
      <w:r>
        <w:rPr>
          <w:rtl/>
          <w:lang w:bidi="ar-EG"/>
        </w:rPr>
        <w:t xml:space="preserve"> الثابتة والمتنقلة </w:t>
      </w:r>
      <w:r w:rsidR="000D70FB">
        <w:rPr>
          <w:rFonts w:hint="cs"/>
          <w:rtl/>
          <w:lang w:bidi="ar-EG"/>
        </w:rPr>
        <w:t>اللتين لديهما توزيع</w:t>
      </w:r>
      <w:r w:rsidR="00577605">
        <w:rPr>
          <w:rFonts w:hint="cs"/>
          <w:rtl/>
          <w:lang w:bidi="ar-EG"/>
        </w:rPr>
        <w:t>ات</w:t>
      </w:r>
      <w:r w:rsidR="000D70FB">
        <w:rPr>
          <w:rFonts w:hint="cs"/>
          <w:rtl/>
          <w:lang w:bidi="ar-EG"/>
        </w:rPr>
        <w:t xml:space="preserve"> </w:t>
      </w:r>
      <w:r>
        <w:rPr>
          <w:rtl/>
          <w:lang w:bidi="ar-EG"/>
        </w:rPr>
        <w:t xml:space="preserve">على أساس أولي. وعلاوة على ذلك، لم تجر أي دراسات لقطاع الاتصالات الراديوية ولم يُقترح أي إجراء تنظيمي يضمن توافق مكون </w:t>
      </w:r>
      <w:proofErr w:type="spellStart"/>
      <w:r>
        <w:rPr>
          <w:rtl/>
          <w:lang w:bidi="ar-EG"/>
        </w:rPr>
        <w:t>ساتلي</w:t>
      </w:r>
      <w:proofErr w:type="spellEnd"/>
      <w:r>
        <w:rPr>
          <w:rtl/>
          <w:lang w:bidi="ar-EG"/>
        </w:rPr>
        <w:t xml:space="preserve"> لنظام </w:t>
      </w:r>
      <w:r w:rsidR="000D70FB" w:rsidRPr="000D70FB">
        <w:rPr>
          <w:rtl/>
          <w:lang w:bidi="ar-EG"/>
        </w:rPr>
        <w:t xml:space="preserve">تبادل البيانات في الموجات المترية </w:t>
      </w:r>
      <w:r w:rsidR="00BF3EB5">
        <w:rPr>
          <w:lang w:bidi="ar-EG"/>
        </w:rPr>
        <w:t>(VDES)</w:t>
      </w:r>
      <w:r w:rsidR="000D70FB" w:rsidRPr="000D70FB">
        <w:rPr>
          <w:rtl/>
          <w:lang w:bidi="ar-EG"/>
        </w:rPr>
        <w:t xml:space="preserve"> </w:t>
      </w:r>
      <w:r>
        <w:rPr>
          <w:rtl/>
          <w:lang w:bidi="ar-EG"/>
        </w:rPr>
        <w:t>خاص بإدارة ما مع مكون</w:t>
      </w:r>
      <w:r w:rsidR="00577605">
        <w:rPr>
          <w:rFonts w:hint="cs"/>
          <w:rtl/>
          <w:lang w:bidi="ar-EG"/>
        </w:rPr>
        <w:t>ات</w:t>
      </w:r>
      <w:r w:rsidR="000D70FB">
        <w:rPr>
          <w:rFonts w:hint="cs"/>
          <w:rtl/>
          <w:lang w:bidi="ar-EG"/>
        </w:rPr>
        <w:t xml:space="preserve"> أرضي</w:t>
      </w:r>
      <w:r w:rsidR="00577605">
        <w:rPr>
          <w:rFonts w:hint="cs"/>
          <w:rtl/>
          <w:lang w:bidi="ar-EG"/>
        </w:rPr>
        <w:t>ة</w:t>
      </w:r>
      <w:r w:rsidR="000D70FB">
        <w:rPr>
          <w:rFonts w:hint="cs"/>
          <w:rtl/>
          <w:lang w:bidi="ar-EG"/>
        </w:rPr>
        <w:t xml:space="preserve"> </w:t>
      </w:r>
      <w:r w:rsidR="00577605">
        <w:rPr>
          <w:rFonts w:hint="cs"/>
          <w:rtl/>
          <w:lang w:bidi="ar-EG"/>
        </w:rPr>
        <w:t>ل</w:t>
      </w:r>
      <w:r w:rsidR="000D70FB">
        <w:rPr>
          <w:rFonts w:hint="cs"/>
          <w:rtl/>
          <w:lang w:bidi="ar-EG"/>
        </w:rPr>
        <w:t>لنظام</w:t>
      </w:r>
      <w:r w:rsidR="00577605">
        <w:rPr>
          <w:rFonts w:hint="cs"/>
          <w:rtl/>
          <w:lang w:bidi="ar-EG"/>
        </w:rPr>
        <w:t xml:space="preserve"> ذاته</w:t>
      </w:r>
      <w:r w:rsidR="000D70FB">
        <w:rPr>
          <w:rFonts w:hint="cs"/>
          <w:rtl/>
          <w:lang w:bidi="ar-EG"/>
        </w:rPr>
        <w:t xml:space="preserve">، </w:t>
      </w:r>
      <w:r w:rsidR="000D70FB" w:rsidRPr="000D70FB">
        <w:rPr>
          <w:rtl/>
          <w:lang w:bidi="ar-EG"/>
        </w:rPr>
        <w:t xml:space="preserve">وعمليات الرسائل الخاصة بالتطبيق </w:t>
      </w:r>
      <w:r w:rsidR="00BF3EB5">
        <w:rPr>
          <w:lang w:bidi="ar-EG"/>
        </w:rPr>
        <w:t>(ASM)</w:t>
      </w:r>
      <w:r w:rsidR="000D70FB" w:rsidRPr="000D70FB">
        <w:rPr>
          <w:rtl/>
          <w:lang w:bidi="ar-EG"/>
        </w:rPr>
        <w:t xml:space="preserve"> ونظام التعرف </w:t>
      </w:r>
      <w:proofErr w:type="spellStart"/>
      <w:r w:rsidR="000D70FB" w:rsidRPr="000D70FB">
        <w:rPr>
          <w:rtl/>
          <w:lang w:bidi="ar-EG"/>
        </w:rPr>
        <w:t>الأوتوماتي</w:t>
      </w:r>
      <w:proofErr w:type="spellEnd"/>
      <w:r w:rsidR="000D70FB" w:rsidRPr="000D70FB">
        <w:rPr>
          <w:rtl/>
          <w:lang w:bidi="ar-EG"/>
        </w:rPr>
        <w:t xml:space="preserve"> </w:t>
      </w:r>
      <w:r w:rsidR="00BF3EB5">
        <w:rPr>
          <w:lang w:bidi="ar-EG"/>
        </w:rPr>
        <w:t>(AIS)</w:t>
      </w:r>
      <w:r>
        <w:rPr>
          <w:rtl/>
          <w:lang w:bidi="ar-EG"/>
        </w:rPr>
        <w:t xml:space="preserve">، على النحو المطلوب في القرار </w:t>
      </w:r>
      <w:r w:rsidR="00BF3EB5" w:rsidRPr="00BF3EB5">
        <w:rPr>
          <w:b/>
          <w:bCs/>
          <w:lang w:val="en-GB" w:bidi="ar-EG"/>
        </w:rPr>
        <w:t>360 (Rev.WRC-15)</w:t>
      </w:r>
      <w:r>
        <w:rPr>
          <w:rtl/>
          <w:lang w:bidi="ar-EG"/>
        </w:rPr>
        <w:t>.</w:t>
      </w:r>
    </w:p>
    <w:p w14:paraId="401C1B5F" w14:textId="4F8786AD" w:rsidR="00A14E44" w:rsidRDefault="00EB4F4C" w:rsidP="00EB4F4C">
      <w:pPr>
        <w:rPr>
          <w:rtl/>
          <w:lang w:bidi="ar-EG"/>
        </w:rPr>
      </w:pPr>
      <w:r>
        <w:rPr>
          <w:rtl/>
          <w:lang w:bidi="ar-EG"/>
        </w:rPr>
        <w:t>لذلك، ترى إدارات الكومنولث الإقليمي في مجال الاتصالات</w:t>
      </w:r>
      <w:r w:rsidR="00577605">
        <w:rPr>
          <w:rFonts w:hint="cs"/>
          <w:rtl/>
          <w:lang w:bidi="ar-EG"/>
        </w:rPr>
        <w:t xml:space="preserve"> </w:t>
      </w:r>
      <w:r w:rsidR="00577605">
        <w:rPr>
          <w:lang w:bidi="ar-EG"/>
        </w:rPr>
        <w:t>(RCC)</w:t>
      </w:r>
      <w:r>
        <w:rPr>
          <w:rtl/>
          <w:lang w:bidi="ar-EG"/>
        </w:rPr>
        <w:t xml:space="preserve"> أنه ينبغي استخدام </w:t>
      </w:r>
      <w:r w:rsidR="00D27F35">
        <w:rPr>
          <w:rFonts w:hint="cs"/>
          <w:rtl/>
          <w:lang w:bidi="ar-EG"/>
        </w:rPr>
        <w:t>الأسلوب</w:t>
      </w:r>
      <w:r>
        <w:rPr>
          <w:rtl/>
          <w:lang w:bidi="ar-EG"/>
        </w:rPr>
        <w:t xml:space="preserve"> </w:t>
      </w:r>
      <w:r>
        <w:rPr>
          <w:lang w:bidi="ar-EG"/>
        </w:rPr>
        <w:t>A</w:t>
      </w:r>
      <w:r>
        <w:rPr>
          <w:rtl/>
          <w:lang w:bidi="ar-EG"/>
        </w:rPr>
        <w:t xml:space="preserve"> </w:t>
      </w:r>
      <w:r w:rsidR="00D27F35">
        <w:rPr>
          <w:rFonts w:hint="cs"/>
          <w:rtl/>
          <w:lang w:bidi="ar-EG"/>
        </w:rPr>
        <w:t>الوارد في</w:t>
      </w:r>
      <w:r>
        <w:rPr>
          <w:rtl/>
          <w:lang w:bidi="ar-EG"/>
        </w:rPr>
        <w:t xml:space="preserve"> تقرير الاجتماع التحضيري للمؤتمر (</w:t>
      </w:r>
      <w:r w:rsidR="00D27F35">
        <w:rPr>
          <w:rFonts w:hint="cs"/>
          <w:rtl/>
          <w:lang w:bidi="ar-EG"/>
        </w:rPr>
        <w:t>عدم إجراء تغيير</w:t>
      </w:r>
      <w:r>
        <w:rPr>
          <w:rtl/>
          <w:lang w:bidi="ar-EG"/>
        </w:rPr>
        <w:t xml:space="preserve"> في لوائح الراديو) لمعالجة البند </w:t>
      </w:r>
      <w:r w:rsidR="00D27F35">
        <w:rPr>
          <w:lang w:bidi="ar-EG"/>
        </w:rPr>
        <w:t>2.9.1</w:t>
      </w:r>
      <w:r>
        <w:rPr>
          <w:rtl/>
          <w:lang w:bidi="ar-EG"/>
        </w:rPr>
        <w:t xml:space="preserve"> من جدول أعمال المؤتمر </w:t>
      </w:r>
      <w:r>
        <w:rPr>
          <w:lang w:bidi="ar-EG"/>
        </w:rPr>
        <w:t>WRC-19</w:t>
      </w:r>
      <w:r>
        <w:rPr>
          <w:rtl/>
          <w:lang w:bidi="ar-EG"/>
        </w:rPr>
        <w:t>.</w:t>
      </w:r>
    </w:p>
    <w:p w14:paraId="5B4FD77C" w14:textId="71A99E84" w:rsidR="00A14E44" w:rsidRDefault="00A14E44" w:rsidP="00A14E44">
      <w:pPr>
        <w:pStyle w:val="Headingb"/>
        <w:rPr>
          <w:rtl/>
        </w:rPr>
      </w:pPr>
      <w:r>
        <w:rPr>
          <w:rFonts w:hint="cs"/>
          <w:rtl/>
        </w:rPr>
        <w:lastRenderedPageBreak/>
        <w:t>المقترح</w:t>
      </w:r>
    </w:p>
    <w:p w14:paraId="34DED819" w14:textId="1CD832DB" w:rsidR="00A14E44" w:rsidRPr="00A14E44" w:rsidRDefault="00A14E44" w:rsidP="00A14E44">
      <w:pPr>
        <w:tabs>
          <w:tab w:val="clear" w:pos="1871"/>
          <w:tab w:val="clear" w:pos="2268"/>
        </w:tabs>
        <w:rPr>
          <w:rtl/>
        </w:rPr>
      </w:pPr>
      <w:r w:rsidRPr="002609C0">
        <w:rPr>
          <w:rtl/>
        </w:rPr>
        <w:t xml:space="preserve">يُقترح استخدام النص التنظيمي </w:t>
      </w:r>
      <w:r w:rsidRPr="002609C0">
        <w:rPr>
          <w:rFonts w:hint="cs"/>
          <w:rtl/>
        </w:rPr>
        <w:t xml:space="preserve">الوارد </w:t>
      </w:r>
      <w:r w:rsidRPr="002609C0">
        <w:rPr>
          <w:rtl/>
        </w:rPr>
        <w:t>في الم</w:t>
      </w:r>
      <w:r w:rsidRPr="002609C0">
        <w:rPr>
          <w:rFonts w:hint="cs"/>
          <w:rtl/>
        </w:rPr>
        <w:t>لح</w:t>
      </w:r>
      <w:r w:rsidRPr="002609C0">
        <w:rPr>
          <w:rtl/>
        </w:rPr>
        <w:t>ق بهذه الوثيقة لمعالجة البند</w:t>
      </w:r>
      <w:r w:rsidR="002609C0" w:rsidRPr="002609C0">
        <w:rPr>
          <w:rFonts w:hint="cs"/>
          <w:rtl/>
        </w:rPr>
        <w:t xml:space="preserve"> </w:t>
      </w:r>
      <w:r w:rsidR="002609C0" w:rsidRPr="002609C0">
        <w:rPr>
          <w:lang w:val="en-GB"/>
        </w:rPr>
        <w:t>2.9.1</w:t>
      </w:r>
      <w:r w:rsidRPr="002609C0">
        <w:rPr>
          <w:rFonts w:hint="cs"/>
          <w:rtl/>
        </w:rPr>
        <w:t xml:space="preserve"> </w:t>
      </w:r>
      <w:r w:rsidRPr="002609C0">
        <w:rPr>
          <w:rtl/>
        </w:rPr>
        <w:t xml:space="preserve">من جدول أعمال المؤتمر </w:t>
      </w:r>
      <w:r w:rsidRPr="002609C0">
        <w:t>WRC-19</w:t>
      </w:r>
      <w:r w:rsidRPr="002609C0">
        <w:rPr>
          <w:rtl/>
        </w:rPr>
        <w:t>.</w:t>
      </w:r>
    </w:p>
    <w:p w14:paraId="143D039F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rtl/>
        </w:rPr>
      </w:pPr>
      <w:r>
        <w:rPr>
          <w:rtl/>
        </w:rPr>
        <w:br w:type="page"/>
      </w:r>
    </w:p>
    <w:p w14:paraId="227F8DC7" w14:textId="77777777" w:rsidR="00413EC1" w:rsidRDefault="00413EC1" w:rsidP="00413EC1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>
        <w:rPr>
          <w:rStyle w:val="href"/>
        </w:rPr>
        <w:t>5</w:t>
      </w:r>
      <w:bookmarkEnd w:id="1"/>
    </w:p>
    <w:p w14:paraId="126EDA92" w14:textId="77777777" w:rsidR="00413EC1" w:rsidRDefault="00413EC1" w:rsidP="00413EC1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41C3CD42" w14:textId="587384F9" w:rsidR="00413EC1" w:rsidRDefault="00413EC1" w:rsidP="00413EC1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 w:rsidR="005361D7">
        <w:rPr>
          <w:b w:val="0"/>
          <w:bCs w:val="0"/>
          <w:sz w:val="22"/>
          <w:szCs w:val="30"/>
        </w:rPr>
        <w:br/>
      </w:r>
      <w:r w:rsidR="005361D7">
        <w:rPr>
          <w:b w:val="0"/>
          <w:bCs w:val="0"/>
          <w:sz w:val="22"/>
          <w:szCs w:val="30"/>
        </w:rPr>
        <w:br/>
      </w:r>
    </w:p>
    <w:p w14:paraId="0FA63BFD" w14:textId="77777777" w:rsidR="008432A3" w:rsidRDefault="00413EC1">
      <w:pPr>
        <w:pStyle w:val="Proposal"/>
      </w:pPr>
      <w:r>
        <w:rPr>
          <w:u w:val="single"/>
        </w:rPr>
        <w:t>NOC</w:t>
      </w:r>
      <w:r>
        <w:tab/>
        <w:t>RCC/12A9A2/1</w:t>
      </w:r>
      <w:r>
        <w:rPr>
          <w:vanish/>
          <w:color w:val="7F7F7F" w:themeColor="text1" w:themeTint="80"/>
          <w:vertAlign w:val="superscript"/>
        </w:rPr>
        <w:t>#50293</w:t>
      </w:r>
    </w:p>
    <w:p w14:paraId="775818AC" w14:textId="77777777" w:rsidR="00413EC1" w:rsidRPr="00640DE9" w:rsidRDefault="00413EC1" w:rsidP="00413EC1">
      <w:pPr>
        <w:pStyle w:val="Tabletitle"/>
        <w:rPr>
          <w:b w:val="0"/>
          <w:bCs w:val="0"/>
        </w:rPr>
      </w:pPr>
      <w:r w:rsidRPr="00640DE9">
        <w:rPr>
          <w:b w:val="0"/>
          <w:bCs w:val="0"/>
        </w:rPr>
        <w:t>MHz 161,9375-148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11"/>
        <w:gridCol w:w="3210"/>
        <w:gridCol w:w="3208"/>
      </w:tblGrid>
      <w:tr w:rsidR="00413EC1" w:rsidRPr="00640DE9" w14:paraId="5D1433D2" w14:textId="77777777" w:rsidTr="00413EC1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6E6E" w14:textId="77777777" w:rsidR="00413EC1" w:rsidRPr="00640DE9" w:rsidRDefault="00413EC1" w:rsidP="00413EC1">
            <w:pPr>
              <w:pStyle w:val="Tablehead"/>
              <w:rPr>
                <w:rtl/>
              </w:rPr>
            </w:pPr>
            <w:r w:rsidRPr="00640DE9">
              <w:rPr>
                <w:rtl/>
              </w:rPr>
              <w:t>التو</w:t>
            </w:r>
            <w:bookmarkStart w:id="4" w:name="_GoBack"/>
            <w:bookmarkEnd w:id="4"/>
            <w:r w:rsidRPr="00640DE9">
              <w:rPr>
                <w:rtl/>
              </w:rPr>
              <w:t>زيع على الخدمات</w:t>
            </w:r>
          </w:p>
        </w:tc>
      </w:tr>
      <w:tr w:rsidR="00413EC1" w:rsidRPr="00640DE9" w14:paraId="177B55DB" w14:textId="77777777" w:rsidTr="00413EC1">
        <w:trPr>
          <w:cantSplit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F287" w14:textId="77777777" w:rsidR="00413EC1" w:rsidRPr="00640DE9" w:rsidRDefault="00413EC1" w:rsidP="00413EC1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640DE9">
              <w:t>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0CD2" w14:textId="77777777" w:rsidR="00413EC1" w:rsidRPr="00640DE9" w:rsidRDefault="00413EC1" w:rsidP="00413EC1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640DE9"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9DCA" w14:textId="77777777" w:rsidR="00413EC1" w:rsidRPr="00640DE9" w:rsidRDefault="00413EC1" w:rsidP="00413EC1">
            <w:pPr>
              <w:pStyle w:val="Tablehead"/>
            </w:pPr>
            <w:r w:rsidRPr="00640DE9">
              <w:rPr>
                <w:rtl/>
              </w:rPr>
              <w:t xml:space="preserve">الإقليم </w:t>
            </w:r>
            <w:r w:rsidRPr="00640DE9">
              <w:t>3</w:t>
            </w:r>
          </w:p>
        </w:tc>
      </w:tr>
      <w:tr w:rsidR="00413EC1" w:rsidRPr="00640DE9" w14:paraId="23801DFE" w14:textId="77777777" w:rsidTr="00413EC1">
        <w:trPr>
          <w:cantSplit/>
          <w:trHeight w:val="375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199759E" w14:textId="77777777" w:rsidR="00413EC1" w:rsidRPr="00640DE9" w:rsidRDefault="00413EC1" w:rsidP="00413EC1">
            <w:pPr>
              <w:keepNext/>
              <w:keepLines/>
              <w:rPr>
                <w:rStyle w:val="Tablefreq"/>
              </w:rPr>
            </w:pPr>
            <w:r w:rsidRPr="00640DE9">
              <w:rPr>
                <w:rStyle w:val="Tablefreq"/>
              </w:rPr>
              <w:t>161,9375-156,8375</w:t>
            </w:r>
          </w:p>
          <w:p w14:paraId="27421E0B" w14:textId="77777777" w:rsidR="00413EC1" w:rsidRPr="00640DE9" w:rsidRDefault="00413EC1" w:rsidP="00413EC1">
            <w:pPr>
              <w:pStyle w:val="TabletextS5"/>
              <w:keepNext/>
              <w:keepLines/>
              <w:rPr>
                <w:b/>
                <w:bCs/>
                <w:rtl/>
              </w:rPr>
            </w:pPr>
            <w:r w:rsidRPr="00640DE9">
              <w:rPr>
                <w:b/>
                <w:bCs/>
                <w:rtl/>
              </w:rPr>
              <w:t>ثابتة</w:t>
            </w:r>
          </w:p>
          <w:p w14:paraId="2E875859" w14:textId="77777777" w:rsidR="00413EC1" w:rsidRPr="00640DE9" w:rsidRDefault="00413EC1" w:rsidP="00413EC1">
            <w:pPr>
              <w:pStyle w:val="TabletextS5"/>
              <w:keepNext/>
              <w:keepLines/>
              <w:rPr>
                <w:rtl/>
              </w:rPr>
            </w:pPr>
            <w:r w:rsidRPr="00640DE9">
              <w:rPr>
                <w:b/>
                <w:bCs/>
                <w:rtl/>
              </w:rPr>
              <w:t>متنقلة</w:t>
            </w:r>
            <w:r w:rsidRPr="00640DE9">
              <w:rPr>
                <w:rtl/>
              </w:rPr>
              <w:t xml:space="preserve"> باستثناء المتنقلة للطيران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552BB2" w14:textId="77777777" w:rsidR="00413EC1" w:rsidRPr="00640DE9" w:rsidRDefault="00413EC1" w:rsidP="00413EC1">
            <w:pPr>
              <w:keepNext/>
              <w:keepLines/>
              <w:tabs>
                <w:tab w:val="left" w:pos="170"/>
                <w:tab w:val="left" w:pos="567"/>
                <w:tab w:val="left" w:pos="737"/>
              </w:tabs>
              <w:rPr>
                <w:rStyle w:val="Tablefreq"/>
              </w:rPr>
            </w:pPr>
            <w:r w:rsidRPr="00640DE9">
              <w:rPr>
                <w:rStyle w:val="Tablefreq"/>
              </w:rPr>
              <w:t>161,9375-156,8375</w:t>
            </w:r>
          </w:p>
          <w:p w14:paraId="737A0B93" w14:textId="77777777" w:rsidR="00413EC1" w:rsidRPr="00640DE9" w:rsidRDefault="00413EC1" w:rsidP="00413EC1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b/>
                <w:bCs/>
                <w:rtl/>
              </w:rPr>
            </w:pPr>
            <w:r w:rsidRPr="00640DE9">
              <w:tab/>
            </w:r>
            <w:r w:rsidRPr="00640DE9">
              <w:tab/>
            </w:r>
            <w:r w:rsidRPr="00640DE9">
              <w:rPr>
                <w:b/>
                <w:bCs/>
                <w:rtl/>
              </w:rPr>
              <w:t>ثابتة</w:t>
            </w:r>
          </w:p>
          <w:p w14:paraId="2C1B0449" w14:textId="77777777" w:rsidR="00413EC1" w:rsidRPr="00640DE9" w:rsidRDefault="00413EC1" w:rsidP="00413EC1">
            <w:pPr>
              <w:pStyle w:val="TabletextS5"/>
              <w:keepNext/>
              <w:keepLines/>
              <w:tabs>
                <w:tab w:val="left" w:pos="170"/>
                <w:tab w:val="left" w:pos="567"/>
                <w:tab w:val="left" w:pos="737"/>
                <w:tab w:val="left" w:pos="1134"/>
              </w:tabs>
              <w:ind w:left="782" w:hanging="782"/>
              <w:rPr>
                <w:b/>
                <w:bCs/>
                <w:rtl/>
              </w:rPr>
            </w:pPr>
            <w:r w:rsidRPr="00640DE9">
              <w:tab/>
            </w:r>
            <w:r w:rsidRPr="00640DE9">
              <w:tab/>
            </w:r>
            <w:r w:rsidRPr="00640DE9">
              <w:rPr>
                <w:b/>
                <w:bCs/>
                <w:rtl/>
              </w:rPr>
              <w:t>متنقلة</w:t>
            </w:r>
          </w:p>
        </w:tc>
      </w:tr>
      <w:tr w:rsidR="00413EC1" w:rsidRPr="00640DE9" w14:paraId="5D72FBCD" w14:textId="77777777" w:rsidTr="00413EC1">
        <w:trPr>
          <w:cantSplit/>
          <w:trHeight w:val="20"/>
          <w:jc w:val="center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58F7" w14:textId="77777777" w:rsidR="00413EC1" w:rsidRPr="00640DE9" w:rsidRDefault="00413EC1" w:rsidP="00413EC1">
            <w:pPr>
              <w:keepNext/>
              <w:keepLines/>
              <w:rPr>
                <w:rStyle w:val="Artref"/>
                <w:b/>
                <w:bCs/>
                <w:sz w:val="20"/>
                <w:szCs w:val="20"/>
                <w:rtl/>
              </w:rPr>
            </w:pPr>
            <w:r w:rsidRPr="00640DE9">
              <w:rPr>
                <w:rStyle w:val="Artref"/>
                <w:sz w:val="20"/>
                <w:szCs w:val="20"/>
              </w:rPr>
              <w:t>226.5</w:t>
            </w:r>
          </w:p>
        </w:tc>
        <w:tc>
          <w:tcPr>
            <w:tcW w:w="33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BE58" w14:textId="77777777" w:rsidR="00413EC1" w:rsidRPr="00640DE9" w:rsidRDefault="00413EC1" w:rsidP="00413EC1">
            <w:pPr>
              <w:keepNext/>
              <w:keepLines/>
              <w:tabs>
                <w:tab w:val="left" w:pos="170"/>
                <w:tab w:val="left" w:pos="567"/>
                <w:tab w:val="left" w:pos="737"/>
                <w:tab w:val="left" w:pos="782"/>
              </w:tabs>
              <w:rPr>
                <w:rStyle w:val="Artref"/>
                <w:b/>
                <w:bCs/>
                <w:sz w:val="20"/>
                <w:szCs w:val="20"/>
              </w:rPr>
            </w:pPr>
            <w:r w:rsidRPr="00640DE9">
              <w:rPr>
                <w:rStyle w:val="Artref"/>
                <w:sz w:val="20"/>
                <w:szCs w:val="20"/>
              </w:rPr>
              <w:tab/>
            </w:r>
            <w:r w:rsidRPr="00640DE9">
              <w:rPr>
                <w:rStyle w:val="Artref"/>
                <w:sz w:val="20"/>
                <w:szCs w:val="20"/>
              </w:rPr>
              <w:tab/>
              <w:t>226.5</w:t>
            </w:r>
          </w:p>
        </w:tc>
      </w:tr>
    </w:tbl>
    <w:p w14:paraId="7AD85897" w14:textId="03B1433B" w:rsidR="008432A3" w:rsidRPr="00886C37" w:rsidRDefault="00413EC1" w:rsidP="0080354E">
      <w:pPr>
        <w:pStyle w:val="Reasons"/>
        <w:rPr>
          <w:rFonts w:ascii="Times New Roman" w:hAnsi="Times New Roman"/>
          <w:b w:val="0"/>
          <w:bCs w:val="0"/>
        </w:rPr>
      </w:pPr>
      <w:r>
        <w:rPr>
          <w:rtl/>
        </w:rPr>
        <w:t>الأسباب:</w:t>
      </w:r>
      <w:r>
        <w:tab/>
      </w:r>
      <w:r w:rsidR="00D51C60">
        <w:rPr>
          <w:rFonts w:ascii="Times New Roman" w:hAnsi="Times New Roman" w:hint="cs"/>
          <w:b w:val="0"/>
          <w:bCs w:val="0"/>
          <w:rtl/>
        </w:rPr>
        <w:t xml:space="preserve">أظهرت الدراسات </w:t>
      </w:r>
      <w:proofErr w:type="spellStart"/>
      <w:r w:rsidR="00D51C60">
        <w:rPr>
          <w:rFonts w:ascii="Times New Roman" w:hAnsi="Times New Roman" w:hint="cs"/>
          <w:b w:val="0"/>
          <w:bCs w:val="0"/>
          <w:rtl/>
        </w:rPr>
        <w:t>المضطلع</w:t>
      </w:r>
      <w:proofErr w:type="spellEnd"/>
      <w:r w:rsidR="00D51C60">
        <w:rPr>
          <w:rFonts w:ascii="Times New Roman" w:hAnsi="Times New Roman" w:hint="cs"/>
          <w:b w:val="0"/>
          <w:bCs w:val="0"/>
          <w:rtl/>
        </w:rPr>
        <w:t xml:space="preserve"> بها أنه عند التشغيل مع المحطات الساحلية، لا يتوافق المكون </w:t>
      </w:r>
      <w:proofErr w:type="spellStart"/>
      <w:r w:rsidR="00D51C60">
        <w:rPr>
          <w:rFonts w:ascii="Times New Roman" w:hAnsi="Times New Roman" w:hint="cs"/>
          <w:b w:val="0"/>
          <w:bCs w:val="0"/>
          <w:rtl/>
        </w:rPr>
        <w:t>الساتلي</w:t>
      </w:r>
      <w:proofErr w:type="spellEnd"/>
      <w:r w:rsidR="00D51C60">
        <w:rPr>
          <w:rFonts w:ascii="Times New Roman" w:hAnsi="Times New Roman" w:hint="cs"/>
          <w:b w:val="0"/>
          <w:bCs w:val="0"/>
          <w:rtl/>
        </w:rPr>
        <w:t xml:space="preserve"> لنظام </w:t>
      </w:r>
      <w:r w:rsidR="00D51C60" w:rsidRPr="00886C37">
        <w:rPr>
          <w:bCs w:val="0"/>
          <w:rtl/>
          <w:lang w:bidi="ar-EG"/>
        </w:rPr>
        <w:t xml:space="preserve">تبادل البيانات في الموجات المترية </w:t>
      </w:r>
      <w:r w:rsidR="00DF6922">
        <w:rPr>
          <w:rFonts w:ascii="Times New Roman" w:hAnsi="Times New Roman"/>
          <w:b w:val="0"/>
          <w:bCs w:val="0"/>
          <w:lang w:bidi="ar-EG"/>
        </w:rPr>
        <w:t>(VDES)</w:t>
      </w:r>
      <w:r w:rsidR="00D51C60">
        <w:rPr>
          <w:rFonts w:hint="cs"/>
          <w:rtl/>
          <w:lang w:bidi="ar-EG"/>
        </w:rPr>
        <w:t xml:space="preserve"> </w:t>
      </w:r>
      <w:r w:rsidR="00D51C60">
        <w:rPr>
          <w:rFonts w:ascii="Times New Roman" w:hAnsi="Times New Roman" w:hint="cs"/>
          <w:b w:val="0"/>
          <w:bCs w:val="0"/>
          <w:rtl/>
          <w:lang w:bidi="ar-EG"/>
        </w:rPr>
        <w:t xml:space="preserve">ذي </w:t>
      </w:r>
      <w:r w:rsidR="00A14E44" w:rsidRPr="00A14E44">
        <w:rPr>
          <w:rFonts w:ascii="Times New Roman" w:hAnsi="Times New Roman"/>
          <w:b w:val="0"/>
          <w:bCs w:val="0"/>
          <w:rtl/>
        </w:rPr>
        <w:t xml:space="preserve">الخصائص </w:t>
      </w:r>
      <w:r w:rsidR="00D51C60">
        <w:rPr>
          <w:rFonts w:ascii="Times New Roman" w:hAnsi="Times New Roman" w:hint="cs"/>
          <w:b w:val="0"/>
          <w:bCs w:val="0"/>
          <w:rtl/>
        </w:rPr>
        <w:t xml:space="preserve">الواردة في </w:t>
      </w:r>
      <w:r w:rsidR="00886C37">
        <w:rPr>
          <w:rFonts w:ascii="Times New Roman" w:hAnsi="Times New Roman" w:hint="cs"/>
          <w:b w:val="0"/>
          <w:bCs w:val="0"/>
          <w:rtl/>
        </w:rPr>
        <w:t xml:space="preserve">التوصية </w:t>
      </w:r>
      <w:r w:rsidR="00886C37">
        <w:rPr>
          <w:rFonts w:ascii="Times New Roman" w:hAnsi="Times New Roman"/>
          <w:b w:val="0"/>
          <w:bCs w:val="0"/>
        </w:rPr>
        <w:t>ITU-R M.202</w:t>
      </w:r>
      <w:r w:rsidR="00A14E44" w:rsidRPr="00A14E44">
        <w:rPr>
          <w:rFonts w:ascii="Times New Roman" w:hAnsi="Times New Roman"/>
          <w:b w:val="0"/>
          <w:bCs w:val="0"/>
          <w:rtl/>
        </w:rPr>
        <w:t xml:space="preserve"> </w:t>
      </w:r>
      <w:r w:rsidR="00886C37">
        <w:rPr>
          <w:rFonts w:ascii="Times New Roman" w:hAnsi="Times New Roman" w:hint="cs"/>
          <w:b w:val="0"/>
          <w:bCs w:val="0"/>
          <w:rtl/>
        </w:rPr>
        <w:t>"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</w:t>
      </w:r>
      <w:r w:rsidR="00886C37">
        <w:rPr>
          <w:rFonts w:ascii="Times New Roman" w:hAnsi="Times New Roman" w:hint="cs"/>
          <w:b w:val="0"/>
          <w:bCs w:val="0"/>
          <w:rtl/>
        </w:rPr>
        <w:t xml:space="preserve">الخصائص </w:t>
      </w:r>
      <w:r w:rsidR="00886C37" w:rsidRPr="00A14E44">
        <w:rPr>
          <w:rFonts w:ascii="Times New Roman" w:hAnsi="Times New Roman"/>
          <w:b w:val="0"/>
          <w:bCs w:val="0"/>
          <w:rtl/>
        </w:rPr>
        <w:t>التقنية</w:t>
      </w:r>
      <w:r w:rsidR="00886C37">
        <w:rPr>
          <w:rFonts w:ascii="Times New Roman" w:hAnsi="Times New Roman" w:hint="cs"/>
          <w:b w:val="0"/>
          <w:bCs w:val="0"/>
          <w:rtl/>
        </w:rPr>
        <w:t xml:space="preserve"> </w:t>
      </w:r>
      <w:r w:rsidR="00A14E44" w:rsidRPr="00A14E44">
        <w:rPr>
          <w:rFonts w:ascii="Times New Roman" w:hAnsi="Times New Roman"/>
          <w:b w:val="0"/>
          <w:bCs w:val="0"/>
          <w:rtl/>
        </w:rPr>
        <w:t xml:space="preserve">لنظام تبادل البيانات في نطاق الموجات المترية </w:t>
      </w:r>
      <w:r w:rsidR="0080354E">
        <w:rPr>
          <w:rFonts w:ascii="Times New Roman" w:hAnsi="Times New Roman"/>
          <w:b w:val="0"/>
          <w:bCs w:val="0"/>
        </w:rPr>
        <w:t>(VHF)</w:t>
      </w:r>
      <w:r w:rsidR="00A14E44" w:rsidRPr="00A14E44">
        <w:rPr>
          <w:rFonts w:ascii="Times New Roman" w:hAnsi="Times New Roman"/>
          <w:b w:val="0"/>
          <w:bCs w:val="0"/>
          <w:rtl/>
        </w:rPr>
        <w:t xml:space="preserve"> في نطاق الخدمة المتنقلة البحرية في ال</w:t>
      </w:r>
      <w:r w:rsidR="00577605">
        <w:rPr>
          <w:rFonts w:ascii="Times New Roman" w:hAnsi="Times New Roman" w:hint="cs"/>
          <w:b w:val="0"/>
          <w:bCs w:val="0"/>
          <w:rtl/>
        </w:rPr>
        <w:t>نظام</w:t>
      </w:r>
      <w:r w:rsidR="00A14E44" w:rsidRPr="00A14E44">
        <w:rPr>
          <w:rFonts w:ascii="Times New Roman" w:hAnsi="Times New Roman"/>
          <w:b w:val="0"/>
          <w:bCs w:val="0"/>
          <w:rtl/>
        </w:rPr>
        <w:t xml:space="preserve"> </w:t>
      </w:r>
      <w:r w:rsidR="00A14E44" w:rsidRPr="00A14E44">
        <w:rPr>
          <w:rFonts w:ascii="Times New Roman" w:hAnsi="Times New Roman"/>
          <w:b w:val="0"/>
          <w:bCs w:val="0"/>
        </w:rPr>
        <w:t>VHF</w:t>
      </w:r>
      <w:r w:rsidR="00886C37">
        <w:rPr>
          <w:rFonts w:ascii="Times New Roman" w:hAnsi="Times New Roman" w:hint="cs"/>
          <w:b w:val="0"/>
          <w:bCs w:val="0"/>
          <w:rtl/>
        </w:rPr>
        <w:t>"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مع الأنظمة في </w:t>
      </w:r>
      <w:r w:rsidR="00886C37">
        <w:rPr>
          <w:rFonts w:ascii="Times New Roman" w:hAnsi="Times New Roman" w:hint="cs"/>
          <w:b w:val="0"/>
          <w:bCs w:val="0"/>
          <w:rtl/>
        </w:rPr>
        <w:t>الخدمتين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الثابتة والمتنقلة </w:t>
      </w:r>
      <w:r w:rsidR="00886C37" w:rsidRPr="00886C37">
        <w:rPr>
          <w:rFonts w:ascii="Times New Roman" w:hAnsi="Times New Roman" w:hint="cs"/>
          <w:b w:val="0"/>
          <w:bCs w:val="0"/>
          <w:rtl/>
        </w:rPr>
        <w:t>الأرضية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</w:t>
      </w:r>
      <w:r w:rsidR="00886C37" w:rsidRPr="00886C37">
        <w:rPr>
          <w:rFonts w:ascii="Times New Roman" w:hAnsi="Times New Roman" w:hint="cs"/>
          <w:b w:val="0"/>
          <w:bCs w:val="0"/>
          <w:rtl/>
        </w:rPr>
        <w:t>التي ل</w:t>
      </w:r>
      <w:r w:rsidR="00577605">
        <w:rPr>
          <w:rFonts w:ascii="Times New Roman" w:hAnsi="Times New Roman" w:hint="cs"/>
          <w:b w:val="0"/>
          <w:bCs w:val="0"/>
          <w:rtl/>
        </w:rPr>
        <w:t>ديها</w:t>
      </w:r>
      <w:r w:rsidR="00886C37" w:rsidRPr="00886C37">
        <w:rPr>
          <w:rFonts w:ascii="Times New Roman" w:hAnsi="Times New Roman" w:hint="cs"/>
          <w:b w:val="0"/>
          <w:bCs w:val="0"/>
          <w:rtl/>
        </w:rPr>
        <w:t xml:space="preserve"> توزيعات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ضمن مدى الترددات </w:t>
      </w:r>
      <w:r w:rsidR="00886C37" w:rsidRPr="00886C37">
        <w:rPr>
          <w:rFonts w:ascii="Times New Roman" w:hAnsi="Times New Roman"/>
          <w:b w:val="0"/>
          <w:bCs w:val="0"/>
        </w:rPr>
        <w:t>156.8375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إلى </w:t>
      </w:r>
      <w:r w:rsidR="00886C37" w:rsidRPr="00886C37">
        <w:rPr>
          <w:rFonts w:ascii="Times New Roman" w:hAnsi="Times New Roman"/>
          <w:b w:val="0"/>
          <w:bCs w:val="0"/>
        </w:rPr>
        <w:t>161.9375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</w:t>
      </w:r>
      <w:r w:rsidR="00886C37" w:rsidRPr="00886C37">
        <w:rPr>
          <w:rFonts w:ascii="Times New Roman" w:hAnsi="Times New Roman"/>
          <w:b w:val="0"/>
          <w:bCs w:val="0"/>
        </w:rPr>
        <w:t>MHz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 على أساس أولي.</w:t>
      </w:r>
      <w:r w:rsidR="00886C37" w:rsidRPr="00886C37">
        <w:rPr>
          <w:rFonts w:ascii="Times New Roman" w:hAnsi="Times New Roman" w:hint="cs"/>
          <w:b w:val="0"/>
          <w:bCs w:val="0"/>
          <w:rtl/>
        </w:rPr>
        <w:t xml:space="preserve"> 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وعلاوة على ذلك، </w:t>
      </w:r>
      <w:r w:rsidR="00886C37" w:rsidRPr="00886C37">
        <w:rPr>
          <w:b w:val="0"/>
          <w:bCs w:val="0"/>
          <w:rtl/>
          <w:lang w:bidi="ar-EG"/>
        </w:rPr>
        <w:t xml:space="preserve">لم تجر أي دراسات لقطاع الاتصالات الراديوية ولم يُقترح أي إجراء تنظيمي يضمن توافق مكون </w:t>
      </w:r>
      <w:proofErr w:type="spellStart"/>
      <w:r w:rsidR="00886C37" w:rsidRPr="00886C37">
        <w:rPr>
          <w:b w:val="0"/>
          <w:bCs w:val="0"/>
          <w:rtl/>
          <w:lang w:bidi="ar-EG"/>
        </w:rPr>
        <w:t>ساتلي</w:t>
      </w:r>
      <w:proofErr w:type="spellEnd"/>
      <w:r w:rsidR="00886C37" w:rsidRPr="00886C37">
        <w:rPr>
          <w:b w:val="0"/>
          <w:bCs w:val="0"/>
          <w:rtl/>
          <w:lang w:bidi="ar-EG"/>
        </w:rPr>
        <w:t xml:space="preserve"> لنظام تبادل البيانات في الموجات المترية</w:t>
      </w:r>
      <w:r w:rsidR="00886C37" w:rsidRPr="00886C37">
        <w:rPr>
          <w:rFonts w:ascii="Times New Roman" w:hAnsi="Times New Roman"/>
          <w:b w:val="0"/>
          <w:bCs w:val="0"/>
          <w:rtl/>
          <w:lang w:bidi="ar-EG"/>
        </w:rPr>
        <w:t xml:space="preserve"> </w:t>
      </w:r>
      <w:r w:rsidR="0080354E">
        <w:rPr>
          <w:rFonts w:ascii="Times New Roman" w:hAnsi="Times New Roman"/>
          <w:b w:val="0"/>
          <w:bCs w:val="0"/>
          <w:lang w:bidi="ar-EG"/>
        </w:rPr>
        <w:t>(VDES)</w:t>
      </w:r>
      <w:r w:rsidR="00886C37" w:rsidRPr="00886C37">
        <w:rPr>
          <w:b w:val="0"/>
          <w:bCs w:val="0"/>
          <w:rtl/>
          <w:lang w:bidi="ar-EG"/>
        </w:rPr>
        <w:t xml:space="preserve"> خاص بإدارة ما مع مكون</w:t>
      </w:r>
      <w:r w:rsidR="00577605">
        <w:rPr>
          <w:rFonts w:hint="cs"/>
          <w:b w:val="0"/>
          <w:bCs w:val="0"/>
          <w:rtl/>
          <w:lang w:bidi="ar-EG"/>
        </w:rPr>
        <w:t>ات</w:t>
      </w:r>
      <w:r w:rsidR="00886C37" w:rsidRPr="00886C37">
        <w:rPr>
          <w:rFonts w:hint="cs"/>
          <w:b w:val="0"/>
          <w:bCs w:val="0"/>
          <w:rtl/>
          <w:lang w:bidi="ar-EG"/>
        </w:rPr>
        <w:t xml:space="preserve"> أرضي</w:t>
      </w:r>
      <w:r w:rsidR="00577605">
        <w:rPr>
          <w:rFonts w:hint="cs"/>
          <w:b w:val="0"/>
          <w:bCs w:val="0"/>
          <w:rtl/>
          <w:lang w:bidi="ar-EG"/>
        </w:rPr>
        <w:t>ة</w:t>
      </w:r>
      <w:r w:rsidR="00886C37" w:rsidRPr="00886C37">
        <w:rPr>
          <w:rFonts w:hint="cs"/>
          <w:b w:val="0"/>
          <w:bCs w:val="0"/>
          <w:rtl/>
          <w:lang w:bidi="ar-EG"/>
        </w:rPr>
        <w:t xml:space="preserve"> </w:t>
      </w:r>
      <w:r w:rsidR="00577605">
        <w:rPr>
          <w:rFonts w:hint="cs"/>
          <w:b w:val="0"/>
          <w:bCs w:val="0"/>
          <w:rtl/>
          <w:lang w:bidi="ar-EG"/>
        </w:rPr>
        <w:t>ل</w:t>
      </w:r>
      <w:r w:rsidR="00886C37" w:rsidRPr="00886C37">
        <w:rPr>
          <w:rFonts w:hint="cs"/>
          <w:b w:val="0"/>
          <w:bCs w:val="0"/>
          <w:rtl/>
          <w:lang w:bidi="ar-EG"/>
        </w:rPr>
        <w:t>لنظام</w:t>
      </w:r>
      <w:r w:rsidR="00577605">
        <w:rPr>
          <w:rFonts w:hint="cs"/>
          <w:b w:val="0"/>
          <w:bCs w:val="0"/>
          <w:rtl/>
          <w:lang w:bidi="ar-EG"/>
        </w:rPr>
        <w:t xml:space="preserve"> ذاته</w:t>
      </w:r>
      <w:r w:rsidR="00886C37" w:rsidRPr="00886C37">
        <w:rPr>
          <w:rFonts w:hint="cs"/>
          <w:b w:val="0"/>
          <w:bCs w:val="0"/>
          <w:rtl/>
          <w:lang w:bidi="ar-EG"/>
        </w:rPr>
        <w:t xml:space="preserve">، </w:t>
      </w:r>
      <w:r w:rsidR="00886C37" w:rsidRPr="00886C37">
        <w:rPr>
          <w:b w:val="0"/>
          <w:bCs w:val="0"/>
          <w:rtl/>
          <w:lang w:bidi="ar-EG"/>
        </w:rPr>
        <w:t xml:space="preserve">وعمليات الرسائل الخاصة بالتطبيق </w:t>
      </w:r>
      <w:r w:rsidR="0080354E">
        <w:rPr>
          <w:rFonts w:ascii="Times New Roman" w:hAnsi="Times New Roman"/>
          <w:b w:val="0"/>
          <w:bCs w:val="0"/>
          <w:lang w:bidi="ar-EG"/>
        </w:rPr>
        <w:t>(AMS)</w:t>
      </w:r>
      <w:r w:rsidR="00886C37" w:rsidRPr="00886C37">
        <w:rPr>
          <w:b w:val="0"/>
          <w:bCs w:val="0"/>
          <w:rtl/>
          <w:lang w:bidi="ar-EG"/>
        </w:rPr>
        <w:t xml:space="preserve"> ونظام التعرف </w:t>
      </w:r>
      <w:proofErr w:type="spellStart"/>
      <w:r w:rsidR="00886C37" w:rsidRPr="00886C37">
        <w:rPr>
          <w:b w:val="0"/>
          <w:bCs w:val="0"/>
          <w:rtl/>
          <w:lang w:bidi="ar-EG"/>
        </w:rPr>
        <w:t>الأوتوماتي</w:t>
      </w:r>
      <w:proofErr w:type="spellEnd"/>
      <w:r w:rsidR="00886C37" w:rsidRPr="00886C37">
        <w:rPr>
          <w:b w:val="0"/>
          <w:bCs w:val="0"/>
          <w:rtl/>
          <w:lang w:bidi="ar-EG"/>
        </w:rPr>
        <w:t xml:space="preserve"> </w:t>
      </w:r>
      <w:r w:rsidR="0080354E">
        <w:rPr>
          <w:rFonts w:ascii="Times New Roman" w:hAnsi="Times New Roman"/>
          <w:b w:val="0"/>
          <w:bCs w:val="0"/>
          <w:lang w:bidi="ar-EG"/>
        </w:rPr>
        <w:t>(AIS)</w:t>
      </w:r>
      <w:r w:rsidR="00886C37" w:rsidRPr="00886C37">
        <w:rPr>
          <w:rFonts w:hint="cs"/>
          <w:b w:val="0"/>
          <w:bCs w:val="0"/>
          <w:rtl/>
          <w:lang w:bidi="ar-EG"/>
        </w:rPr>
        <w:t xml:space="preserve">، </w:t>
      </w:r>
      <w:r w:rsidR="00886C37" w:rsidRPr="00886C37">
        <w:rPr>
          <w:rFonts w:ascii="Times New Roman" w:hAnsi="Times New Roman"/>
          <w:b w:val="0"/>
          <w:bCs w:val="0"/>
          <w:rtl/>
        </w:rPr>
        <w:t xml:space="preserve">على النحو المطلوب في القرار </w:t>
      </w:r>
      <w:r w:rsidR="0080354E" w:rsidRPr="0080354E">
        <w:rPr>
          <w:rFonts w:ascii="Times New Roman" w:hAnsi="Times New Roman"/>
          <w:lang w:val="en-GB"/>
        </w:rPr>
        <w:t>360 (Rev.WRC-15)</w:t>
      </w:r>
      <w:r w:rsidR="00886C37" w:rsidRPr="00886C37">
        <w:rPr>
          <w:rFonts w:ascii="Times New Roman" w:hAnsi="Times New Roman"/>
          <w:b w:val="0"/>
          <w:bCs w:val="0"/>
          <w:rtl/>
        </w:rPr>
        <w:t>.</w:t>
      </w:r>
      <w:r w:rsidR="00886C37" w:rsidRPr="00886C37">
        <w:rPr>
          <w:rFonts w:ascii="Times New Roman" w:hAnsi="Times New Roman" w:hint="cs"/>
          <w:b w:val="0"/>
          <w:bCs w:val="0"/>
          <w:rtl/>
        </w:rPr>
        <w:t xml:space="preserve"> </w:t>
      </w:r>
      <w:r w:rsidR="00886C37" w:rsidRPr="00886C37">
        <w:rPr>
          <w:rFonts w:ascii="Times New Roman" w:hAnsi="Times New Roman"/>
          <w:b w:val="0"/>
          <w:bCs w:val="0"/>
          <w:rtl/>
        </w:rPr>
        <w:t>ونتيجة لذلك، لا توجد أسباب كافية لتعديل التوزيعات الحالية للخدمات الراديوية في مدى التردد المعني.</w:t>
      </w:r>
    </w:p>
    <w:p w14:paraId="58CB9C81" w14:textId="77777777" w:rsidR="008432A3" w:rsidRDefault="00413EC1">
      <w:pPr>
        <w:pStyle w:val="Proposal"/>
      </w:pPr>
      <w:r>
        <w:t>SUP</w:t>
      </w:r>
      <w:r>
        <w:tab/>
        <w:t>RCC/12A9A2/2</w:t>
      </w:r>
      <w:r>
        <w:rPr>
          <w:vanish/>
          <w:color w:val="7F7F7F" w:themeColor="text1" w:themeTint="80"/>
          <w:vertAlign w:val="superscript"/>
        </w:rPr>
        <w:t>#50294</w:t>
      </w:r>
    </w:p>
    <w:p w14:paraId="163FE040" w14:textId="77777777" w:rsidR="00413EC1" w:rsidRPr="00640DE9" w:rsidRDefault="00413EC1" w:rsidP="00413EC1">
      <w:pPr>
        <w:pStyle w:val="ResNo"/>
        <w:rPr>
          <w:rtl/>
        </w:rPr>
      </w:pPr>
      <w:r w:rsidRPr="00640DE9">
        <w:rPr>
          <w:rFonts w:hint="cs"/>
          <w:rtl/>
          <w:lang w:bidi="ar-SA"/>
        </w:rPr>
        <w:t xml:space="preserve">القـرار </w:t>
      </w:r>
      <w:r w:rsidRPr="009B5531">
        <w:rPr>
          <w:rStyle w:val="href"/>
          <w:bCs/>
        </w:rPr>
        <w:t>360</w:t>
      </w:r>
      <w:r w:rsidRPr="00640DE9">
        <w:rPr>
          <w:lang w:val="en-GB"/>
        </w:rPr>
        <w:t xml:space="preserve"> (REV.WRC</w:t>
      </w:r>
      <w:r w:rsidRPr="00640DE9">
        <w:rPr>
          <w:lang w:val="en-GB"/>
        </w:rPr>
        <w:noBreakHyphen/>
        <w:t>15)</w:t>
      </w:r>
    </w:p>
    <w:p w14:paraId="2B8AB37E" w14:textId="77777777" w:rsidR="00413EC1" w:rsidRPr="00640DE9" w:rsidRDefault="00413EC1" w:rsidP="00413EC1">
      <w:pPr>
        <w:pStyle w:val="Restitle"/>
      </w:pPr>
      <w:r w:rsidRPr="00640DE9">
        <w:rPr>
          <w:rFonts w:hint="cs"/>
          <w:rtl/>
        </w:rPr>
        <w:t>النظر في أحكام تنظيمية وتوزيعات الطيف ل</w:t>
      </w:r>
      <w:r w:rsidRPr="00640DE9">
        <w:rPr>
          <w:rtl/>
        </w:rPr>
        <w:t>لخدمة المتنقلة البحرية الساتلية</w:t>
      </w:r>
      <w:r w:rsidRPr="00640DE9">
        <w:rPr>
          <w:rtl/>
        </w:rPr>
        <w:br/>
      </w:r>
      <w:r w:rsidRPr="00640DE9">
        <w:rPr>
          <w:rFonts w:hint="cs"/>
          <w:rtl/>
        </w:rPr>
        <w:t xml:space="preserve">لتمكين المكوِّن الساتلي من </w:t>
      </w:r>
      <w:r w:rsidRPr="00640DE9">
        <w:rPr>
          <w:rtl/>
        </w:rPr>
        <w:t>نظام تبادل البيانات في نطاق الموجات المترية</w:t>
      </w:r>
      <w:r w:rsidRPr="00640DE9">
        <w:rPr>
          <w:rFonts w:hint="eastAsia"/>
          <w:rtl/>
        </w:rPr>
        <w:t> </w:t>
      </w:r>
      <w:r w:rsidRPr="00640DE9">
        <w:t>(VDES)</w:t>
      </w:r>
      <w:r w:rsidRPr="00640DE9">
        <w:rPr>
          <w:rtl/>
        </w:rPr>
        <w:br/>
      </w:r>
      <w:r w:rsidRPr="00640DE9">
        <w:rPr>
          <w:rFonts w:hint="cs"/>
          <w:rtl/>
        </w:rPr>
        <w:t>والاتصالات الراديوية البحرية</w:t>
      </w:r>
      <w:r w:rsidRPr="00640DE9">
        <w:rPr>
          <w:rFonts w:hint="eastAsia"/>
          <w:rtl/>
        </w:rPr>
        <w:t> </w:t>
      </w:r>
      <w:r w:rsidRPr="00640DE9">
        <w:rPr>
          <w:rFonts w:hint="cs"/>
          <w:rtl/>
        </w:rPr>
        <w:t>المعززة</w:t>
      </w:r>
    </w:p>
    <w:p w14:paraId="38735282" w14:textId="07AD3A22" w:rsidR="008503C5" w:rsidRPr="008503C5" w:rsidRDefault="00413EC1" w:rsidP="0080354E">
      <w:pPr>
        <w:pStyle w:val="Reasons"/>
      </w:pPr>
      <w:r>
        <w:rPr>
          <w:rtl/>
        </w:rPr>
        <w:t>الأسباب:</w:t>
      </w:r>
      <w:r>
        <w:tab/>
      </w:r>
      <w:r w:rsidR="002609C0" w:rsidRPr="003D7130">
        <w:rPr>
          <w:rFonts w:ascii="Times New Roman" w:hAnsi="Times New Roman"/>
          <w:b w:val="0"/>
          <w:bCs w:val="0"/>
          <w:rtl/>
        </w:rPr>
        <w:t xml:space="preserve">يُقترح إلغاء القرار </w:t>
      </w:r>
      <w:r w:rsidR="0080354E" w:rsidRPr="0080354E">
        <w:rPr>
          <w:rFonts w:ascii="Times New Roman" w:hAnsi="Times New Roman"/>
          <w:lang w:val="en-GB"/>
        </w:rPr>
        <w:t>360 (Rev.WRC-15)</w:t>
      </w:r>
      <w:r w:rsidR="002609C0" w:rsidRPr="003D7130">
        <w:rPr>
          <w:rFonts w:ascii="Times New Roman" w:hAnsi="Times New Roman"/>
          <w:b w:val="0"/>
          <w:bCs w:val="0"/>
          <w:rtl/>
        </w:rPr>
        <w:t xml:space="preserve">، </w:t>
      </w:r>
      <w:r w:rsidR="003D7130">
        <w:rPr>
          <w:rFonts w:ascii="Times New Roman" w:hAnsi="Times New Roman" w:hint="cs"/>
          <w:b w:val="0"/>
          <w:bCs w:val="0"/>
          <w:rtl/>
          <w:lang w:val="fr-CH"/>
        </w:rPr>
        <w:t>نظراً</w:t>
      </w:r>
      <w:r w:rsidR="002609C0" w:rsidRPr="003D7130">
        <w:rPr>
          <w:rFonts w:ascii="Times New Roman" w:hAnsi="Times New Roman"/>
          <w:b w:val="0"/>
          <w:bCs w:val="0"/>
          <w:rtl/>
        </w:rPr>
        <w:t xml:space="preserve"> </w:t>
      </w:r>
      <w:r w:rsidR="003D7130">
        <w:rPr>
          <w:rFonts w:ascii="Times New Roman" w:hAnsi="Times New Roman" w:hint="cs"/>
          <w:b w:val="0"/>
          <w:bCs w:val="0"/>
          <w:rtl/>
        </w:rPr>
        <w:t>ل</w:t>
      </w:r>
      <w:r w:rsidR="002609C0" w:rsidRPr="003D7130">
        <w:rPr>
          <w:rFonts w:ascii="Times New Roman" w:hAnsi="Times New Roman"/>
          <w:b w:val="0"/>
          <w:bCs w:val="0"/>
          <w:rtl/>
        </w:rPr>
        <w:t xml:space="preserve">أن الدراسات التي أجريت قد أظهرت أنه لا يمكن تخصيص الطيف </w:t>
      </w:r>
      <w:r w:rsidR="00577605">
        <w:rPr>
          <w:rFonts w:ascii="Times New Roman" w:hAnsi="Times New Roman" w:hint="cs"/>
          <w:b w:val="0"/>
          <w:bCs w:val="0"/>
          <w:rtl/>
        </w:rPr>
        <w:t>لوضع</w:t>
      </w:r>
      <w:r w:rsidR="002609C0" w:rsidRPr="003D7130">
        <w:rPr>
          <w:rFonts w:ascii="Times New Roman" w:hAnsi="Times New Roman"/>
          <w:b w:val="0"/>
          <w:bCs w:val="0"/>
          <w:rtl/>
        </w:rPr>
        <w:t xml:space="preserve"> المكون </w:t>
      </w:r>
      <w:proofErr w:type="spellStart"/>
      <w:r w:rsidR="002609C0" w:rsidRPr="003D7130">
        <w:rPr>
          <w:rFonts w:ascii="Times New Roman" w:hAnsi="Times New Roman"/>
          <w:b w:val="0"/>
          <w:bCs w:val="0"/>
          <w:rtl/>
        </w:rPr>
        <w:t>الساتلي</w:t>
      </w:r>
      <w:proofErr w:type="spellEnd"/>
      <w:r w:rsidR="00EB4F4C">
        <w:rPr>
          <w:rFonts w:ascii="Times New Roman" w:hAnsi="Times New Roman" w:hint="cs"/>
          <w:b w:val="0"/>
          <w:bCs w:val="0"/>
          <w:rtl/>
        </w:rPr>
        <w:t xml:space="preserve"> </w:t>
      </w:r>
      <w:r w:rsidR="00EB4F4C" w:rsidRPr="00EB4F4C">
        <w:rPr>
          <w:rFonts w:ascii="Times New Roman" w:hAnsi="Times New Roman"/>
          <w:b w:val="0"/>
          <w:bCs w:val="0"/>
          <w:rtl/>
        </w:rPr>
        <w:t xml:space="preserve">لنظام تبادل البيانات في الموجات المترية </w:t>
      </w:r>
      <w:r w:rsidR="0080354E">
        <w:rPr>
          <w:rFonts w:ascii="Times New Roman" w:hAnsi="Times New Roman"/>
          <w:b w:val="0"/>
          <w:bCs w:val="0"/>
        </w:rPr>
        <w:t>(VDES)</w:t>
      </w:r>
      <w:r w:rsidR="002609C0" w:rsidRPr="003D7130">
        <w:rPr>
          <w:rFonts w:ascii="Times New Roman" w:hAnsi="Times New Roman"/>
          <w:b w:val="0"/>
          <w:bCs w:val="0"/>
          <w:rtl/>
        </w:rPr>
        <w:t>.</w:t>
      </w:r>
      <w:bookmarkStart w:id="5" w:name="_Hlk22465063"/>
    </w:p>
    <w:bookmarkEnd w:id="5"/>
    <w:p w14:paraId="62034175" w14:textId="595453D4" w:rsidR="008503C5" w:rsidRPr="008503C5" w:rsidRDefault="008503C5" w:rsidP="00CE1ED2">
      <w:pPr>
        <w:spacing w:before="600"/>
        <w:jc w:val="center"/>
        <w:rPr>
          <w:lang w:bidi="ar-EG"/>
        </w:rPr>
      </w:pPr>
      <w:r w:rsidRPr="00EB2078">
        <w:rPr>
          <w:rFonts w:hint="cs"/>
          <w:rtl/>
        </w:rPr>
        <w:t>___________</w:t>
      </w:r>
    </w:p>
    <w:sectPr w:rsidR="008503C5" w:rsidRPr="008503C5">
      <w:headerReference w:type="even" r:id="rId13"/>
      <w:headerReference w:type="default" r:id="rId14"/>
      <w:footerReference w:type="default" r:id="rId15"/>
      <w:footerReference w:type="first" r:id="rId16"/>
      <w:pgSz w:w="11907" w:h="16840" w:code="9"/>
      <w:pgMar w:top="1134" w:right="1134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8260E" w14:textId="77777777" w:rsidR="00EA5D25" w:rsidRDefault="00EA5D25" w:rsidP="002919E1">
      <w:r>
        <w:separator/>
      </w:r>
    </w:p>
    <w:p w14:paraId="4418B264" w14:textId="77777777" w:rsidR="00EA5D25" w:rsidRDefault="00EA5D25" w:rsidP="002919E1"/>
    <w:p w14:paraId="02806EDD" w14:textId="77777777" w:rsidR="00EA5D25" w:rsidRDefault="00EA5D25" w:rsidP="002919E1"/>
    <w:p w14:paraId="1429C12C" w14:textId="77777777" w:rsidR="00EA5D25" w:rsidRDefault="00EA5D25"/>
  </w:endnote>
  <w:endnote w:type="continuationSeparator" w:id="0">
    <w:p w14:paraId="74660C9A" w14:textId="77777777" w:rsidR="00EA5D25" w:rsidRDefault="00EA5D25" w:rsidP="002919E1">
      <w:r>
        <w:continuationSeparator/>
      </w:r>
    </w:p>
    <w:p w14:paraId="09FE60DE" w14:textId="77777777" w:rsidR="00EA5D25" w:rsidRDefault="00EA5D25" w:rsidP="002919E1"/>
    <w:p w14:paraId="7ED6CDEE" w14:textId="77777777" w:rsidR="00EA5D25" w:rsidRDefault="00EA5D25" w:rsidP="002919E1"/>
    <w:p w14:paraId="11A726E3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39591" w14:textId="4ED5027A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33B13">
      <w:rPr>
        <w:noProof/>
      </w:rPr>
      <w:t>P:\ARA\ITU-R\CONF-R\CMR19\000\012ADD09ADD02A.docx</w:t>
    </w:r>
    <w:r>
      <w:fldChar w:fldCharType="end"/>
    </w:r>
    <w:proofErr w:type="gramStart"/>
    <w:r w:rsidRPr="00A809E8">
      <w:t xml:space="preserve">   (</w:t>
    </w:r>
    <w:proofErr w:type="gramEnd"/>
    <w:r w:rsidR="005361D7">
      <w:t>461761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2FFD" w14:textId="3D4BBE5B" w:rsidR="00281F5F" w:rsidRPr="005361D7" w:rsidRDefault="005361D7" w:rsidP="005361D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233B13">
      <w:rPr>
        <w:noProof/>
      </w:rPr>
      <w:t>P:\ARA\ITU-R\CONF-R\CMR19\000\012ADD09ADD02A.docx</w:t>
    </w:r>
    <w:r>
      <w:fldChar w:fldCharType="end"/>
    </w:r>
    <w:proofErr w:type="gramStart"/>
    <w:r w:rsidRPr="00A809E8">
      <w:t xml:space="preserve">   (</w:t>
    </w:r>
    <w:proofErr w:type="gramEnd"/>
    <w:r>
      <w:t>461761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D0BBA" w14:textId="77777777" w:rsidR="00EA5D25" w:rsidRDefault="00EA5D25" w:rsidP="002919E1">
      <w:r>
        <w:t>___________________</w:t>
      </w:r>
    </w:p>
  </w:footnote>
  <w:footnote w:type="continuationSeparator" w:id="0">
    <w:p w14:paraId="00A682CA" w14:textId="77777777" w:rsidR="00EA5D25" w:rsidRDefault="00EA5D25" w:rsidP="002919E1">
      <w:r>
        <w:continuationSeparator/>
      </w:r>
    </w:p>
    <w:p w14:paraId="0EF434CF" w14:textId="77777777" w:rsidR="00EA5D25" w:rsidRDefault="00EA5D25" w:rsidP="002919E1"/>
    <w:p w14:paraId="499AB03B" w14:textId="77777777" w:rsidR="00EA5D25" w:rsidRDefault="00EA5D25" w:rsidP="002919E1"/>
    <w:p w14:paraId="4E67B444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39865" w14:textId="77777777" w:rsidR="00281F5F" w:rsidRDefault="00281F5F" w:rsidP="002919E1"/>
  <w:p w14:paraId="09CA0A6D" w14:textId="77777777" w:rsidR="00281F5F" w:rsidRDefault="00281F5F" w:rsidP="002919E1"/>
  <w:p w14:paraId="26FE9FC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704D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12(Add.</w:t>
    </w:r>
    <w:proofErr w:type="gramStart"/>
    <w:r>
      <w:rPr>
        <w:rStyle w:val="PageNumber"/>
      </w:rPr>
      <w:t>9)(</w:t>
    </w:r>
    <w:proofErr w:type="gramEnd"/>
    <w:r>
      <w:rPr>
        <w:rStyle w:val="PageNumber"/>
      </w:rPr>
      <w:t>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8EE7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1C3D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029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3607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D70FB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33B13"/>
    <w:rsid w:val="002543CF"/>
    <w:rsid w:val="0026062E"/>
    <w:rsid w:val="002609C0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D7130"/>
    <w:rsid w:val="003E02EF"/>
    <w:rsid w:val="003E1D90"/>
    <w:rsid w:val="00400CD4"/>
    <w:rsid w:val="00413EC1"/>
    <w:rsid w:val="004147B9"/>
    <w:rsid w:val="00422C04"/>
    <w:rsid w:val="00423A40"/>
    <w:rsid w:val="0042477F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361D7"/>
    <w:rsid w:val="005431B5"/>
    <w:rsid w:val="00546A99"/>
    <w:rsid w:val="00553411"/>
    <w:rsid w:val="00554AE7"/>
    <w:rsid w:val="00564746"/>
    <w:rsid w:val="0056512C"/>
    <w:rsid w:val="00576D0A"/>
    <w:rsid w:val="00576FCC"/>
    <w:rsid w:val="00577605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2127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0354E"/>
    <w:rsid w:val="00810482"/>
    <w:rsid w:val="00817568"/>
    <w:rsid w:val="008204AC"/>
    <w:rsid w:val="008261C2"/>
    <w:rsid w:val="00830D96"/>
    <w:rsid w:val="008432A3"/>
    <w:rsid w:val="00844DE0"/>
    <w:rsid w:val="008503C5"/>
    <w:rsid w:val="0085569D"/>
    <w:rsid w:val="00855B59"/>
    <w:rsid w:val="0085774F"/>
    <w:rsid w:val="008614B8"/>
    <w:rsid w:val="008657CB"/>
    <w:rsid w:val="00873A6F"/>
    <w:rsid w:val="0088384B"/>
    <w:rsid w:val="00886C37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B5531"/>
    <w:rsid w:val="009D6348"/>
    <w:rsid w:val="009E5007"/>
    <w:rsid w:val="009E613F"/>
    <w:rsid w:val="009F042B"/>
    <w:rsid w:val="00A03FD6"/>
    <w:rsid w:val="00A04CF4"/>
    <w:rsid w:val="00A116A8"/>
    <w:rsid w:val="00A14E44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BF3EB5"/>
    <w:rsid w:val="00C1165E"/>
    <w:rsid w:val="00C22074"/>
    <w:rsid w:val="00C2377B"/>
    <w:rsid w:val="00C3693C"/>
    <w:rsid w:val="00C53F6F"/>
    <w:rsid w:val="00C54508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1ED2"/>
    <w:rsid w:val="00CE5BA4"/>
    <w:rsid w:val="00D25120"/>
    <w:rsid w:val="00D27F35"/>
    <w:rsid w:val="00D419CB"/>
    <w:rsid w:val="00D44350"/>
    <w:rsid w:val="00D44E3F"/>
    <w:rsid w:val="00D51BB8"/>
    <w:rsid w:val="00D51C60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1191"/>
    <w:rsid w:val="00DC29DD"/>
    <w:rsid w:val="00DC7C0E"/>
    <w:rsid w:val="00DE7387"/>
    <w:rsid w:val="00DF2A6A"/>
    <w:rsid w:val="00DF3B72"/>
    <w:rsid w:val="00DF692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B4F4C"/>
    <w:rsid w:val="00EC09B9"/>
    <w:rsid w:val="00ED048C"/>
    <w:rsid w:val="00EE60E9"/>
    <w:rsid w:val="00EE7C1D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498A8CBB"/>
  <w15:docId w15:val="{72FC01D7-16C0-46B7-9879-7FD236D5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R16-WRC19-C-0012!A9-A2!MSW-A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2C39-4891-496D-B584-B57B4FBC2C72}">
  <ds:schemaRefs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2a1a8c5-2265-4ebc-b7a0-2071e2c5c9b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94086B-57FA-4315-99D0-8A5F4A2A7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4EABA-31CE-430E-A493-CFC55B4BD2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DB963C-7C89-4738-A755-CB70ED343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2282EE-9E26-40F8-8CA7-ACC244AC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554</Words>
  <Characters>3062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R16-WRC19-C-0012!A9-A2!MSW-A</vt:lpstr>
    </vt:vector>
  </TitlesOfParts>
  <Manager>General Secretariat - Pool</Manager>
  <Company>International Telecommunication Union (ITU)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R16-WRC19-C-0012!A9-A2!MSW-A</dc:title>
  <dc:subject/>
  <dc:creator>Documents Proposals Manager (DPM)</dc:creator>
  <cp:keywords>DPM_v2019.10.15.2_prod</cp:keywords>
  <dc:description/>
  <cp:lastModifiedBy>Riz, Imad</cp:lastModifiedBy>
  <cp:revision>7</cp:revision>
  <cp:lastPrinted>2019-10-25T12:19:00Z</cp:lastPrinted>
  <dcterms:created xsi:type="dcterms:W3CDTF">2019-10-23T18:39:00Z</dcterms:created>
  <dcterms:modified xsi:type="dcterms:W3CDTF">2019-10-25T12:19:00Z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