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horzAnchor="margin" w:tblpY="-675"/>
        <w:tblW w:w="10031" w:type="dxa"/>
        <w:tblLayout w:type="fixed"/>
        <w:tblLook w:val="0000" w:firstRow="0" w:lastRow="0" w:firstColumn="0" w:lastColumn="0" w:noHBand="0" w:noVBand="0"/>
      </w:tblPr>
      <w:tblGrid>
        <w:gridCol w:w="6911"/>
        <w:gridCol w:w="3120"/>
      </w:tblGrid>
      <w:tr w:rsidR="00A066F1">
        <w:trPr>
          <w:cantSplit/>
        </w:trPr>
        <w:tc>
          <w:tcPr>
            <w:tcW w:w="6911" w:type="dxa"/>
          </w:tcPr>
          <w:p w:rsidR="00A066F1" w:rsidRPr="00DF23FC" w:rsidRDefault="00241FA2" w:rsidP="00116C7A">
            <w:pPr>
              <w:spacing w:before="400" w:after="48" w:line="240" w:lineRule="atLeast"/>
              <w:rPr>
                <w:rFonts w:ascii="Verdana" w:hAnsi="Verdana"/>
                <w:position w:val="6"/>
              </w:rPr>
            </w:pPr>
            <w:r w:rsidRPr="00F7284A">
              <w:rPr>
                <w:rFonts w:ascii="Verdana" w:hAnsi="Verdana" w:cs="Times"/>
                <w:b/>
                <w:position w:val="6"/>
                <w:sz w:val="22"/>
                <w:szCs w:val="22"/>
                <w:lang w:val="en-US"/>
              </w:rPr>
              <w:t>World Radiocommunication Conference (WRC-</w:t>
            </w:r>
            <w:r w:rsidRPr="00CF33A5">
              <w:rPr>
                <w:rFonts w:ascii="Verdana" w:hAnsi="Verdana" w:cs="Times"/>
                <w:b/>
                <w:position w:val="6"/>
                <w:sz w:val="22"/>
                <w:szCs w:val="22"/>
                <w:lang w:val="en-US"/>
              </w:rPr>
              <w:t>1</w:t>
            </w:r>
            <w:r w:rsidR="000E463E">
              <w:rPr>
                <w:rFonts w:ascii="Verdana" w:hAnsi="Verdana" w:cs="Times"/>
                <w:b/>
                <w:position w:val="6"/>
                <w:sz w:val="22"/>
                <w:szCs w:val="22"/>
                <w:lang w:val="en-US"/>
              </w:rPr>
              <w:t>9</w:t>
            </w:r>
            <w:r w:rsidRPr="00CF33A5">
              <w:rPr>
                <w:rFonts w:ascii="Verdana" w:hAnsi="Verdana" w:cs="Times"/>
                <w:b/>
                <w:position w:val="6"/>
                <w:sz w:val="22"/>
                <w:szCs w:val="22"/>
                <w:lang w:val="en-US"/>
              </w:rPr>
              <w:t>)</w:t>
            </w:r>
            <w:r w:rsidRPr="00CF33A5">
              <w:rPr>
                <w:rFonts w:ascii="Verdana" w:hAnsi="Verdana" w:cs="Times"/>
                <w:b/>
                <w:position w:val="6"/>
                <w:sz w:val="26"/>
                <w:szCs w:val="26"/>
                <w:lang w:val="en-US"/>
              </w:rPr>
              <w:br/>
            </w:r>
            <w:r w:rsidR="00116C7A" w:rsidRPr="00116C7A">
              <w:rPr>
                <w:rFonts w:ascii="Verdana" w:hAnsi="Verdana"/>
                <w:b/>
                <w:bCs/>
                <w:position w:val="6"/>
                <w:sz w:val="18"/>
                <w:szCs w:val="18"/>
                <w:lang w:val="en-US"/>
              </w:rPr>
              <w:t>Sharm el-Sheikh, Egypt</w:t>
            </w:r>
            <w:r w:rsidRPr="00CF33A5">
              <w:rPr>
                <w:rFonts w:ascii="Verdana" w:hAnsi="Verdana"/>
                <w:b/>
                <w:bCs/>
                <w:position w:val="6"/>
                <w:sz w:val="18"/>
                <w:szCs w:val="18"/>
                <w:lang w:val="en-US"/>
              </w:rPr>
              <w:t xml:space="preserve">, </w:t>
            </w:r>
            <w:r w:rsidR="000E463E">
              <w:rPr>
                <w:rFonts w:ascii="Verdana" w:hAnsi="Verdana"/>
                <w:b/>
                <w:bCs/>
                <w:position w:val="6"/>
                <w:sz w:val="18"/>
                <w:szCs w:val="18"/>
                <w:lang w:val="en-US"/>
              </w:rPr>
              <w:t xml:space="preserve">28 October </w:t>
            </w:r>
            <w:r w:rsidRPr="00CF33A5">
              <w:rPr>
                <w:rFonts w:ascii="Verdana" w:hAnsi="Verdana"/>
                <w:b/>
                <w:bCs/>
                <w:position w:val="6"/>
                <w:sz w:val="18"/>
                <w:szCs w:val="18"/>
                <w:lang w:val="en-US"/>
              </w:rPr>
              <w:t>–</w:t>
            </w:r>
            <w:r w:rsidR="000E463E">
              <w:rPr>
                <w:rFonts w:ascii="Verdana" w:hAnsi="Verdana"/>
                <w:b/>
                <w:bCs/>
                <w:position w:val="6"/>
                <w:sz w:val="18"/>
                <w:szCs w:val="18"/>
                <w:lang w:val="en-US"/>
              </w:rPr>
              <w:t xml:space="preserve"> </w:t>
            </w:r>
            <w:r>
              <w:rPr>
                <w:rFonts w:ascii="Verdana" w:hAnsi="Verdana"/>
                <w:b/>
                <w:bCs/>
                <w:position w:val="6"/>
                <w:sz w:val="18"/>
                <w:szCs w:val="18"/>
                <w:lang w:val="en-US"/>
              </w:rPr>
              <w:t>2</w:t>
            </w:r>
            <w:r w:rsidR="000E463E">
              <w:rPr>
                <w:rFonts w:ascii="Verdana" w:hAnsi="Verdana"/>
                <w:b/>
                <w:bCs/>
                <w:position w:val="6"/>
                <w:sz w:val="18"/>
                <w:szCs w:val="18"/>
                <w:lang w:val="en-US"/>
              </w:rPr>
              <w:t>2</w:t>
            </w:r>
            <w:r w:rsidRPr="00CF33A5">
              <w:rPr>
                <w:rFonts w:ascii="Verdana" w:hAnsi="Verdana"/>
                <w:b/>
                <w:bCs/>
                <w:position w:val="6"/>
                <w:sz w:val="18"/>
                <w:szCs w:val="18"/>
                <w:lang w:val="en-US"/>
              </w:rPr>
              <w:t xml:space="preserve"> </w:t>
            </w:r>
            <w:r>
              <w:rPr>
                <w:rFonts w:ascii="Verdana" w:hAnsi="Verdana"/>
                <w:b/>
                <w:bCs/>
                <w:position w:val="6"/>
                <w:sz w:val="18"/>
                <w:szCs w:val="18"/>
                <w:lang w:val="en-US"/>
              </w:rPr>
              <w:t>November</w:t>
            </w:r>
            <w:r w:rsidRPr="00CF33A5">
              <w:rPr>
                <w:rFonts w:ascii="Verdana" w:hAnsi="Verdana"/>
                <w:b/>
                <w:bCs/>
                <w:position w:val="6"/>
                <w:sz w:val="18"/>
                <w:szCs w:val="18"/>
                <w:lang w:val="en-US"/>
              </w:rPr>
              <w:t xml:space="preserve"> 201</w:t>
            </w:r>
            <w:r w:rsidR="000E463E">
              <w:rPr>
                <w:rFonts w:ascii="Verdana" w:hAnsi="Verdana"/>
                <w:b/>
                <w:bCs/>
                <w:position w:val="6"/>
                <w:sz w:val="18"/>
                <w:szCs w:val="18"/>
                <w:lang w:val="en-US"/>
              </w:rPr>
              <w:t>9</w:t>
            </w:r>
          </w:p>
        </w:tc>
        <w:tc>
          <w:tcPr>
            <w:tcW w:w="3120" w:type="dxa"/>
          </w:tcPr>
          <w:p w:rsidR="00A066F1" w:rsidRDefault="005F04D8" w:rsidP="003B2284">
            <w:pPr>
              <w:spacing w:before="0" w:line="240" w:lineRule="atLeast"/>
              <w:jc w:val="right"/>
            </w:pPr>
            <w:r>
              <w:rPr>
                <w:noProof/>
                <w:lang w:eastAsia="en-GB"/>
              </w:rPr>
              <w:drawing>
                <wp:inline distT="0" distB="0" distL="0" distR="0">
                  <wp:extent cx="1760220" cy="746760"/>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srcRect/>
                          <a:stretch>
                            <a:fillRect/>
                          </a:stretch>
                        </pic:blipFill>
                        <pic:spPr bwMode="auto">
                          <a:xfrm>
                            <a:off x="0" y="0"/>
                            <a:ext cx="1760220" cy="746760"/>
                          </a:xfrm>
                          <a:prstGeom prst="rect">
                            <a:avLst/>
                          </a:prstGeom>
                          <a:noFill/>
                          <a:ln w="9525">
                            <a:noFill/>
                            <a:miter lim="800000"/>
                            <a:headEnd/>
                            <a:tailEnd/>
                          </a:ln>
                        </pic:spPr>
                      </pic:pic>
                    </a:graphicData>
                  </a:graphic>
                </wp:inline>
              </w:drawing>
            </w:r>
          </w:p>
        </w:tc>
      </w:tr>
      <w:tr w:rsidR="00A066F1" w:rsidRPr="00617BE4">
        <w:trPr>
          <w:cantSplit/>
        </w:trPr>
        <w:tc>
          <w:tcPr>
            <w:tcW w:w="6911" w:type="dxa"/>
            <w:tcBorders>
              <w:bottom w:val="single" w:sz="12" w:space="0" w:color="auto"/>
            </w:tcBorders>
          </w:tcPr>
          <w:p w:rsidR="00A066F1" w:rsidRPr="003B2284" w:rsidRDefault="00A066F1" w:rsidP="00A066F1">
            <w:pPr>
              <w:spacing w:before="0" w:after="48" w:line="240" w:lineRule="atLeast"/>
              <w:rPr>
                <w:rFonts w:ascii="Verdana" w:hAnsi="Verdana"/>
                <w:b/>
                <w:smallCaps/>
                <w:sz w:val="20"/>
              </w:rPr>
            </w:pPr>
            <w:bookmarkStart w:id="0" w:name="dhead"/>
          </w:p>
        </w:tc>
        <w:tc>
          <w:tcPr>
            <w:tcW w:w="3120" w:type="dxa"/>
            <w:tcBorders>
              <w:bottom w:val="single" w:sz="12" w:space="0" w:color="auto"/>
            </w:tcBorders>
          </w:tcPr>
          <w:p w:rsidR="00A066F1" w:rsidRPr="00617BE4" w:rsidRDefault="00A066F1" w:rsidP="00A066F1">
            <w:pPr>
              <w:spacing w:before="0" w:line="240" w:lineRule="atLeast"/>
              <w:rPr>
                <w:rFonts w:ascii="Verdana" w:hAnsi="Verdana"/>
                <w:szCs w:val="24"/>
              </w:rPr>
            </w:pPr>
          </w:p>
        </w:tc>
      </w:tr>
      <w:tr w:rsidR="00A066F1" w:rsidRPr="00C324A8">
        <w:trPr>
          <w:cantSplit/>
        </w:trPr>
        <w:tc>
          <w:tcPr>
            <w:tcW w:w="6911" w:type="dxa"/>
            <w:tcBorders>
              <w:top w:val="single" w:sz="12" w:space="0" w:color="auto"/>
            </w:tcBorders>
          </w:tcPr>
          <w:p w:rsidR="00A066F1" w:rsidRPr="00C324A8" w:rsidRDefault="00A066F1" w:rsidP="00A066F1">
            <w:pPr>
              <w:spacing w:before="0" w:after="48" w:line="240" w:lineRule="atLeast"/>
              <w:rPr>
                <w:rFonts w:ascii="Verdana" w:hAnsi="Verdana"/>
                <w:b/>
                <w:smallCaps/>
                <w:sz w:val="20"/>
              </w:rPr>
            </w:pPr>
          </w:p>
        </w:tc>
        <w:tc>
          <w:tcPr>
            <w:tcW w:w="3120" w:type="dxa"/>
            <w:tcBorders>
              <w:top w:val="single" w:sz="12" w:space="0" w:color="auto"/>
            </w:tcBorders>
          </w:tcPr>
          <w:p w:rsidR="00A066F1" w:rsidRPr="00C324A8" w:rsidRDefault="00A066F1" w:rsidP="00A066F1">
            <w:pPr>
              <w:spacing w:before="0" w:line="240" w:lineRule="atLeast"/>
              <w:rPr>
                <w:rFonts w:ascii="Verdana" w:hAnsi="Verdana"/>
                <w:sz w:val="20"/>
              </w:rPr>
            </w:pPr>
          </w:p>
        </w:tc>
      </w:tr>
      <w:tr w:rsidR="00A066F1" w:rsidRPr="00C324A8">
        <w:trPr>
          <w:cantSplit/>
          <w:trHeight w:val="23"/>
        </w:trPr>
        <w:tc>
          <w:tcPr>
            <w:tcW w:w="6911" w:type="dxa"/>
            <w:shd w:val="clear" w:color="auto" w:fill="auto"/>
          </w:tcPr>
          <w:p w:rsidR="00A066F1" w:rsidRPr="00841216" w:rsidRDefault="00FF5EA8" w:rsidP="004D2BFB">
            <w:pPr>
              <w:pStyle w:val="Committee"/>
              <w:framePr w:hSpace="0" w:wrap="auto" w:hAnchor="text" w:yAlign="inline"/>
              <w:rPr>
                <w:rFonts w:ascii="Verdana" w:hAnsi="Verdana"/>
                <w:sz w:val="20"/>
                <w:szCs w:val="20"/>
              </w:rPr>
            </w:pPr>
            <w:bookmarkStart w:id="1" w:name="dnum" w:colFirst="1" w:colLast="1"/>
            <w:bookmarkStart w:id="2" w:name="dmeeting" w:colFirst="0" w:colLast="0"/>
            <w:bookmarkEnd w:id="0"/>
            <w:r w:rsidRPr="00841216">
              <w:rPr>
                <w:rFonts w:ascii="Verdana" w:hAnsi="Verdana"/>
                <w:sz w:val="20"/>
                <w:szCs w:val="20"/>
              </w:rPr>
              <w:t>PLENARY MEETING</w:t>
            </w:r>
          </w:p>
        </w:tc>
        <w:tc>
          <w:tcPr>
            <w:tcW w:w="3120" w:type="dxa"/>
          </w:tcPr>
          <w:p w:rsidR="00A066F1" w:rsidRPr="00841216" w:rsidRDefault="00E55816" w:rsidP="00AA666F">
            <w:pPr>
              <w:tabs>
                <w:tab w:val="left" w:pos="851"/>
              </w:tabs>
              <w:spacing w:before="0" w:line="240" w:lineRule="atLeast"/>
              <w:rPr>
                <w:rFonts w:ascii="Verdana" w:hAnsi="Verdana"/>
                <w:sz w:val="20"/>
              </w:rPr>
            </w:pPr>
            <w:r>
              <w:rPr>
                <w:rFonts w:ascii="Verdana" w:hAnsi="Verdana"/>
                <w:b/>
                <w:sz w:val="20"/>
              </w:rPr>
              <w:t>Addendum 4 to</w:t>
            </w:r>
            <w:r>
              <w:rPr>
                <w:rFonts w:ascii="Verdana" w:hAnsi="Verdana"/>
                <w:b/>
                <w:sz w:val="20"/>
              </w:rPr>
              <w:br/>
              <w:t>Document 12</w:t>
            </w:r>
            <w:r w:rsidR="00A066F1" w:rsidRPr="00841216">
              <w:rPr>
                <w:rFonts w:ascii="Verdana" w:hAnsi="Verdana"/>
                <w:b/>
                <w:sz w:val="20"/>
              </w:rPr>
              <w:t>-</w:t>
            </w:r>
            <w:r w:rsidR="005E10C9" w:rsidRPr="00841216">
              <w:rPr>
                <w:rFonts w:ascii="Verdana" w:hAnsi="Verdana"/>
                <w:b/>
                <w:sz w:val="20"/>
              </w:rPr>
              <w:t>E</w:t>
            </w:r>
          </w:p>
        </w:tc>
      </w:tr>
      <w:tr w:rsidR="00A066F1" w:rsidRPr="00C324A8">
        <w:trPr>
          <w:cantSplit/>
          <w:trHeight w:val="23"/>
        </w:trPr>
        <w:tc>
          <w:tcPr>
            <w:tcW w:w="6911" w:type="dxa"/>
            <w:shd w:val="clear" w:color="auto" w:fill="auto"/>
          </w:tcPr>
          <w:p w:rsidR="00A066F1" w:rsidRPr="00841216" w:rsidRDefault="00A066F1" w:rsidP="00A066F1">
            <w:pPr>
              <w:tabs>
                <w:tab w:val="left" w:pos="851"/>
              </w:tabs>
              <w:spacing w:before="0" w:line="240" w:lineRule="atLeast"/>
              <w:rPr>
                <w:rFonts w:ascii="Verdana" w:hAnsi="Verdana"/>
                <w:b/>
                <w:sz w:val="20"/>
              </w:rPr>
            </w:pPr>
            <w:bookmarkStart w:id="3" w:name="ddate" w:colFirst="1" w:colLast="1"/>
            <w:bookmarkStart w:id="4" w:name="dblank" w:colFirst="0" w:colLast="0"/>
            <w:bookmarkEnd w:id="1"/>
            <w:bookmarkEnd w:id="2"/>
          </w:p>
        </w:tc>
        <w:tc>
          <w:tcPr>
            <w:tcW w:w="3120" w:type="dxa"/>
          </w:tcPr>
          <w:p w:rsidR="00A066F1" w:rsidRPr="00841216" w:rsidRDefault="00420873" w:rsidP="00A066F1">
            <w:pPr>
              <w:tabs>
                <w:tab w:val="left" w:pos="993"/>
              </w:tabs>
              <w:spacing w:before="0"/>
              <w:rPr>
                <w:rFonts w:ascii="Verdana" w:hAnsi="Verdana"/>
                <w:sz w:val="20"/>
              </w:rPr>
            </w:pPr>
            <w:r w:rsidRPr="00841216">
              <w:rPr>
                <w:rFonts w:ascii="Verdana" w:hAnsi="Verdana"/>
                <w:b/>
                <w:sz w:val="20"/>
              </w:rPr>
              <w:t>2 October 2019</w:t>
            </w:r>
          </w:p>
        </w:tc>
      </w:tr>
      <w:tr w:rsidR="00A066F1" w:rsidRPr="00C324A8">
        <w:trPr>
          <w:cantSplit/>
          <w:trHeight w:val="23"/>
        </w:trPr>
        <w:tc>
          <w:tcPr>
            <w:tcW w:w="6911" w:type="dxa"/>
            <w:shd w:val="clear" w:color="auto" w:fill="auto"/>
          </w:tcPr>
          <w:p w:rsidR="00A066F1" w:rsidRPr="00841216" w:rsidRDefault="00A066F1" w:rsidP="00A066F1">
            <w:pPr>
              <w:tabs>
                <w:tab w:val="left" w:pos="851"/>
              </w:tabs>
              <w:spacing w:before="0" w:line="240" w:lineRule="atLeast"/>
              <w:rPr>
                <w:rFonts w:ascii="Verdana" w:hAnsi="Verdana"/>
                <w:sz w:val="20"/>
              </w:rPr>
            </w:pPr>
            <w:bookmarkStart w:id="5" w:name="dbluepink" w:colFirst="0" w:colLast="0"/>
            <w:bookmarkStart w:id="6" w:name="dorlang" w:colFirst="1" w:colLast="1"/>
            <w:bookmarkEnd w:id="3"/>
            <w:bookmarkEnd w:id="4"/>
          </w:p>
        </w:tc>
        <w:tc>
          <w:tcPr>
            <w:tcW w:w="3120" w:type="dxa"/>
          </w:tcPr>
          <w:p w:rsidR="00A066F1" w:rsidRPr="00841216" w:rsidRDefault="00E55816" w:rsidP="00A066F1">
            <w:pPr>
              <w:tabs>
                <w:tab w:val="left" w:pos="993"/>
              </w:tabs>
              <w:spacing w:before="0"/>
              <w:rPr>
                <w:rFonts w:ascii="Verdana" w:hAnsi="Verdana"/>
                <w:b/>
                <w:sz w:val="20"/>
              </w:rPr>
            </w:pPr>
            <w:r w:rsidRPr="00841216">
              <w:rPr>
                <w:rFonts w:ascii="Verdana" w:hAnsi="Verdana"/>
                <w:b/>
                <w:sz w:val="20"/>
              </w:rPr>
              <w:t>Original: English</w:t>
            </w:r>
          </w:p>
        </w:tc>
      </w:tr>
      <w:tr w:rsidR="00A066F1" w:rsidRPr="00C324A8" w:rsidTr="00025864">
        <w:trPr>
          <w:cantSplit/>
          <w:trHeight w:val="23"/>
        </w:trPr>
        <w:tc>
          <w:tcPr>
            <w:tcW w:w="10031" w:type="dxa"/>
            <w:gridSpan w:val="2"/>
            <w:shd w:val="clear" w:color="auto" w:fill="auto"/>
          </w:tcPr>
          <w:p w:rsidR="00A066F1" w:rsidRPr="00C324A8" w:rsidRDefault="00A066F1" w:rsidP="00A066F1">
            <w:pPr>
              <w:tabs>
                <w:tab w:val="left" w:pos="993"/>
              </w:tabs>
              <w:spacing w:before="0"/>
              <w:rPr>
                <w:rFonts w:ascii="Verdana" w:hAnsi="Verdana"/>
                <w:b/>
                <w:sz w:val="20"/>
              </w:rPr>
            </w:pPr>
          </w:p>
        </w:tc>
      </w:tr>
      <w:tr w:rsidR="00E55816" w:rsidRPr="00C324A8" w:rsidTr="00025864">
        <w:trPr>
          <w:cantSplit/>
          <w:trHeight w:val="23"/>
        </w:trPr>
        <w:tc>
          <w:tcPr>
            <w:tcW w:w="10031" w:type="dxa"/>
            <w:gridSpan w:val="2"/>
            <w:shd w:val="clear" w:color="auto" w:fill="auto"/>
          </w:tcPr>
          <w:p w:rsidR="00E55816" w:rsidRDefault="00884D60" w:rsidP="00E55816">
            <w:pPr>
              <w:pStyle w:val="Source"/>
            </w:pPr>
            <w:r>
              <w:t>Regional Commonwealth in the field of Communications Common Proposals</w:t>
            </w:r>
          </w:p>
        </w:tc>
      </w:tr>
      <w:tr w:rsidR="00E55816" w:rsidRPr="00C324A8" w:rsidTr="00025864">
        <w:trPr>
          <w:cantSplit/>
          <w:trHeight w:val="23"/>
        </w:trPr>
        <w:tc>
          <w:tcPr>
            <w:tcW w:w="10031" w:type="dxa"/>
            <w:gridSpan w:val="2"/>
            <w:shd w:val="clear" w:color="auto" w:fill="auto"/>
          </w:tcPr>
          <w:p w:rsidR="00E55816" w:rsidRDefault="007D5320" w:rsidP="00E55816">
            <w:pPr>
              <w:pStyle w:val="Title1"/>
            </w:pPr>
            <w:r>
              <w:t>Proposals for the work of the conference</w:t>
            </w:r>
          </w:p>
        </w:tc>
      </w:tr>
      <w:tr w:rsidR="00E55816" w:rsidRPr="00C324A8" w:rsidTr="00025864">
        <w:trPr>
          <w:cantSplit/>
          <w:trHeight w:val="23"/>
        </w:trPr>
        <w:tc>
          <w:tcPr>
            <w:tcW w:w="10031" w:type="dxa"/>
            <w:gridSpan w:val="2"/>
            <w:shd w:val="clear" w:color="auto" w:fill="auto"/>
          </w:tcPr>
          <w:p w:rsidR="00E55816" w:rsidRDefault="00E55816" w:rsidP="00E55816">
            <w:pPr>
              <w:pStyle w:val="Title2"/>
            </w:pPr>
          </w:p>
        </w:tc>
      </w:tr>
      <w:tr w:rsidR="00A538A6" w:rsidRPr="00C324A8" w:rsidTr="00025864">
        <w:trPr>
          <w:cantSplit/>
          <w:trHeight w:val="23"/>
        </w:trPr>
        <w:tc>
          <w:tcPr>
            <w:tcW w:w="10031" w:type="dxa"/>
            <w:gridSpan w:val="2"/>
            <w:shd w:val="clear" w:color="auto" w:fill="auto"/>
          </w:tcPr>
          <w:p w:rsidR="00A538A6" w:rsidRDefault="004B13CB" w:rsidP="004B13CB">
            <w:pPr>
              <w:pStyle w:val="Agendaitem"/>
            </w:pPr>
            <w:r>
              <w:t>Agenda item 1.4</w:t>
            </w:r>
          </w:p>
        </w:tc>
      </w:tr>
    </w:tbl>
    <w:bookmarkEnd w:id="5"/>
    <w:bookmarkEnd w:id="6"/>
    <w:p w:rsidR="005118F7" w:rsidRPr="00EC5386" w:rsidRDefault="00CB134E" w:rsidP="00AB5478">
      <w:pPr>
        <w:overflowPunct/>
        <w:autoSpaceDE/>
        <w:autoSpaceDN/>
        <w:adjustRightInd/>
        <w:textAlignment w:val="auto"/>
        <w:rPr>
          <w:lang w:val="en-US"/>
        </w:rPr>
      </w:pPr>
      <w:r w:rsidRPr="00656311">
        <w:rPr>
          <w:lang w:val="en-US"/>
        </w:rPr>
        <w:t>1.4</w:t>
      </w:r>
      <w:r w:rsidRPr="00656311">
        <w:rPr>
          <w:lang w:val="en-US"/>
        </w:rPr>
        <w:tab/>
        <w:t xml:space="preserve">to consider the results of studies in accordance with Resolution </w:t>
      </w:r>
      <w:r w:rsidRPr="00656311">
        <w:rPr>
          <w:b/>
          <w:bCs/>
          <w:lang w:val="en-US"/>
        </w:rPr>
        <w:t>557 (WRC-15)</w:t>
      </w:r>
      <w:r w:rsidRPr="00656311">
        <w:rPr>
          <w:lang w:val="en-US"/>
        </w:rPr>
        <w:t xml:space="preserve">, and review, and revise if necessary, the limitations mentioned in Annex 7 to Appendix </w:t>
      </w:r>
      <w:r w:rsidRPr="00656311">
        <w:rPr>
          <w:b/>
          <w:bCs/>
          <w:lang w:val="en-US"/>
        </w:rPr>
        <w:t>30 (Rev.WRC</w:t>
      </w:r>
      <w:r>
        <w:rPr>
          <w:b/>
          <w:bCs/>
          <w:lang w:val="en-US"/>
        </w:rPr>
        <w:noBreakHyphen/>
        <w:t>15</w:t>
      </w:r>
      <w:r w:rsidRPr="00656311">
        <w:rPr>
          <w:b/>
          <w:bCs/>
          <w:lang w:val="en-US"/>
        </w:rPr>
        <w:t>)</w:t>
      </w:r>
      <w:r w:rsidRPr="00656311">
        <w:rPr>
          <w:lang w:val="en-US"/>
        </w:rPr>
        <w:t>, while ensuring the protection of, and without imposing additional constraints on, assignments in the Plan and the List and the future development of the broadcasting-satellite service within the Plan, and existing and planned fixed-satellite service networks;</w:t>
      </w:r>
    </w:p>
    <w:p w:rsidR="002F64C2" w:rsidRPr="004B192B" w:rsidRDefault="002F64C2" w:rsidP="002F64C2">
      <w:pPr>
        <w:pStyle w:val="Heading1"/>
      </w:pPr>
      <w:r w:rsidRPr="004B192B">
        <w:t>1</w:t>
      </w:r>
      <w:r w:rsidRPr="004B192B">
        <w:tab/>
      </w:r>
      <w:r>
        <w:t>Introduction</w:t>
      </w:r>
    </w:p>
    <w:p w:rsidR="002F64C2" w:rsidRPr="004B192B" w:rsidRDefault="002F64C2" w:rsidP="002F64C2">
      <w:r>
        <w:t xml:space="preserve">The RCC Administrations do not oppose the adoption of Method B in the CPM Report, which provides for the deletion </w:t>
      </w:r>
      <w:r w:rsidRPr="00507CE4">
        <w:t xml:space="preserve">of some </w:t>
      </w:r>
      <w:r>
        <w:t xml:space="preserve">of the </w:t>
      </w:r>
      <w:r w:rsidRPr="00507CE4">
        <w:t xml:space="preserve">limitations </w:t>
      </w:r>
      <w:r>
        <w:t>in</w:t>
      </w:r>
      <w:r w:rsidRPr="00507CE4">
        <w:t xml:space="preserve"> Annex 7</w:t>
      </w:r>
      <w:r>
        <w:t xml:space="preserve">, inasmuch as the deletion of those </w:t>
      </w:r>
      <w:r w:rsidRPr="00507CE4">
        <w:t xml:space="preserve">orbital position limitations </w:t>
      </w:r>
      <w:r>
        <w:t>will</w:t>
      </w:r>
      <w:r w:rsidRPr="00507CE4">
        <w:t xml:space="preserve"> </w:t>
      </w:r>
      <w:r>
        <w:t>provide the broadcasting-satellite service (BSS) with</w:t>
      </w:r>
      <w:r w:rsidRPr="00507CE4">
        <w:t xml:space="preserve"> an additional </w:t>
      </w:r>
      <w:r w:rsidRPr="00B650F4">
        <w:t>orbital resource which can among other things be used by administrations whose national</w:t>
      </w:r>
      <w:r>
        <w:t xml:space="preserve"> assignments in the Regions 1 and 3 Plan have </w:t>
      </w:r>
      <w:r w:rsidRPr="00D14167">
        <w:t xml:space="preserve">equivalent downlink protection margin values equal </w:t>
      </w:r>
      <w:r>
        <w:t xml:space="preserve">to </w:t>
      </w:r>
      <w:r w:rsidRPr="00D14167">
        <w:t>or below −10</w:t>
      </w:r>
      <w:r>
        <w:t> </w:t>
      </w:r>
      <w:r w:rsidRPr="00D14167">
        <w:t>dB</w:t>
      </w:r>
      <w:r>
        <w:t>.</w:t>
      </w:r>
    </w:p>
    <w:p w:rsidR="002F64C2" w:rsidRPr="004B192B" w:rsidRDefault="002F64C2" w:rsidP="002F64C2">
      <w:r>
        <w:t>The following regulatory decisions are proposed in relation to WRC-19 agenda item 1.4:</w:t>
      </w:r>
    </w:p>
    <w:p w:rsidR="002F64C2" w:rsidRPr="004B192B" w:rsidRDefault="002F64C2" w:rsidP="002F64C2">
      <w:pPr>
        <w:pStyle w:val="Headingb"/>
        <w:rPr>
          <w:lang w:val="en-GB"/>
        </w:rPr>
      </w:pPr>
      <w:r>
        <w:rPr>
          <w:lang w:val="en-GB"/>
        </w:rPr>
        <w:t>Limitations (A1) of Section 1) of Annex 7 – the RCC Administrations do not oppose</w:t>
      </w:r>
      <w:r w:rsidRPr="004B192B">
        <w:rPr>
          <w:lang w:val="en-GB"/>
        </w:rPr>
        <w:t>:</w:t>
      </w:r>
    </w:p>
    <w:p w:rsidR="002F64C2" w:rsidRPr="00E8756D" w:rsidRDefault="002F64C2" w:rsidP="002F64C2">
      <w:pPr>
        <w:pStyle w:val="enumlev1"/>
      </w:pPr>
      <w:r w:rsidRPr="004B192B">
        <w:t>–</w:t>
      </w:r>
      <w:r w:rsidRPr="004B192B">
        <w:tab/>
      </w:r>
      <w:r>
        <w:t>the deletion of l</w:t>
      </w:r>
      <w:r w:rsidRPr="00E8756D">
        <w:t>imitation A1a (No assignments in the Region 1 List in the frequency band 11.7-12.2 GHz further west than 37.2°W)</w:t>
      </w:r>
      <w:r>
        <w:t xml:space="preserve">, </w:t>
      </w:r>
      <w:r w:rsidRPr="00E8756D">
        <w:t>accompanied by the use of new Resolution</w:t>
      </w:r>
      <w:r>
        <w:t xml:space="preserve"> </w:t>
      </w:r>
      <w:r w:rsidRPr="00AF54E0">
        <w:rPr>
          <w:b/>
          <w:bCs/>
          <w:szCs w:val="22"/>
        </w:rPr>
        <w:t>[</w:t>
      </w:r>
      <w:r w:rsidRPr="00224032">
        <w:rPr>
          <w:b/>
          <w:lang w:val="en-US"/>
        </w:rPr>
        <w:t>RCC</w:t>
      </w:r>
      <w:r w:rsidRPr="00224032">
        <w:rPr>
          <w:b/>
        </w:rPr>
        <w:t>/</w:t>
      </w:r>
      <w:r w:rsidRPr="00224032">
        <w:rPr>
          <w:b/>
          <w:lang w:val="en-US"/>
        </w:rPr>
        <w:t>C</w:t>
      </w:r>
      <w:r w:rsidRPr="00224032">
        <w:rPr>
          <w:b/>
        </w:rPr>
        <w:t>14-</w:t>
      </w:r>
      <w:r w:rsidRPr="00224032">
        <w:rPr>
          <w:b/>
          <w:lang w:val="en-US"/>
        </w:rPr>
        <w:t>LIMITA</w:t>
      </w:r>
      <w:r w:rsidRPr="00224032">
        <w:rPr>
          <w:b/>
        </w:rPr>
        <w:t>1</w:t>
      </w:r>
      <w:r w:rsidRPr="00224032">
        <w:rPr>
          <w:b/>
          <w:lang w:val="en-US"/>
        </w:rPr>
        <w:t>A</w:t>
      </w:r>
      <w:r w:rsidRPr="00224032">
        <w:rPr>
          <w:b/>
        </w:rPr>
        <w:t>2</w:t>
      </w:r>
      <w:r w:rsidRPr="00AF54E0">
        <w:rPr>
          <w:b/>
          <w:bCs/>
          <w:szCs w:val="22"/>
        </w:rPr>
        <w:t>]</w:t>
      </w:r>
      <w:r>
        <w:rPr>
          <w:szCs w:val="22"/>
        </w:rPr>
        <w:t>,</w:t>
      </w:r>
    </w:p>
    <w:p w:rsidR="002F64C2" w:rsidRPr="004B192B" w:rsidRDefault="002F64C2" w:rsidP="002F64C2">
      <w:pPr>
        <w:pStyle w:val="enumlev1"/>
      </w:pPr>
      <w:r w:rsidRPr="004B192B">
        <w:t>–</w:t>
      </w:r>
      <w:r w:rsidRPr="004B192B">
        <w:tab/>
      </w:r>
      <w:r>
        <w:t>maintaining l</w:t>
      </w:r>
      <w:r w:rsidRPr="00E8756D">
        <w:t>imitation A1b (No assignments in the Region 1 List in the frequency band 11.7-12.2 GHz further east than 146°E</w:t>
      </w:r>
      <w:r>
        <w:t>).</w:t>
      </w:r>
    </w:p>
    <w:p w:rsidR="002F64C2" w:rsidRPr="004B192B" w:rsidRDefault="002F64C2" w:rsidP="002F64C2">
      <w:pPr>
        <w:pStyle w:val="Headingb"/>
        <w:rPr>
          <w:lang w:val="en-GB"/>
        </w:rPr>
      </w:pPr>
      <w:r>
        <w:rPr>
          <w:lang w:val="en-GB"/>
        </w:rPr>
        <w:t>Limitations (A2) of Section 2) of Annex 7 – the RCC Administrations do not oppose</w:t>
      </w:r>
      <w:r w:rsidRPr="004B192B">
        <w:rPr>
          <w:lang w:val="en-GB"/>
        </w:rPr>
        <w:t>:</w:t>
      </w:r>
    </w:p>
    <w:p w:rsidR="002F64C2" w:rsidRDefault="002F64C2" w:rsidP="002F64C2">
      <w:pPr>
        <w:pStyle w:val="enumlev1"/>
        <w:rPr>
          <w:szCs w:val="22"/>
        </w:rPr>
      </w:pPr>
      <w:r w:rsidRPr="004B192B">
        <w:t>–</w:t>
      </w:r>
      <w:r w:rsidRPr="004B192B">
        <w:tab/>
      </w:r>
      <w:r>
        <w:t>the deletion of l</w:t>
      </w:r>
      <w:r w:rsidRPr="008E112A">
        <w:t>imitation A2a (No modification in the Region 2 Plan in the frequency band 12.5-12.7 GHz further east than 54°W), accompanied by the use of new Resolution</w:t>
      </w:r>
      <w:r>
        <w:t xml:space="preserve"> </w:t>
      </w:r>
      <w:r w:rsidRPr="00AF54E0">
        <w:rPr>
          <w:b/>
          <w:bCs/>
          <w:szCs w:val="22"/>
        </w:rPr>
        <w:t>[</w:t>
      </w:r>
      <w:r w:rsidRPr="00224032">
        <w:rPr>
          <w:b/>
          <w:lang w:val="en-US"/>
        </w:rPr>
        <w:t>RCC</w:t>
      </w:r>
      <w:r w:rsidRPr="00224032">
        <w:rPr>
          <w:b/>
        </w:rPr>
        <w:t>/</w:t>
      </w:r>
      <w:r w:rsidRPr="00224032">
        <w:rPr>
          <w:b/>
          <w:lang w:val="en-US"/>
        </w:rPr>
        <w:t>C</w:t>
      </w:r>
      <w:r w:rsidRPr="00224032">
        <w:rPr>
          <w:b/>
        </w:rPr>
        <w:t>14-</w:t>
      </w:r>
      <w:r w:rsidRPr="00224032">
        <w:rPr>
          <w:b/>
          <w:lang w:val="en-US"/>
        </w:rPr>
        <w:t>LIMITA</w:t>
      </w:r>
      <w:r w:rsidRPr="00224032">
        <w:rPr>
          <w:b/>
        </w:rPr>
        <w:t>1</w:t>
      </w:r>
      <w:r w:rsidRPr="00224032">
        <w:rPr>
          <w:b/>
          <w:lang w:val="en-US"/>
        </w:rPr>
        <w:t>A</w:t>
      </w:r>
      <w:r w:rsidRPr="00224032">
        <w:rPr>
          <w:b/>
        </w:rPr>
        <w:t>2</w:t>
      </w:r>
      <w:r w:rsidRPr="00AF54E0">
        <w:rPr>
          <w:b/>
          <w:bCs/>
          <w:szCs w:val="22"/>
        </w:rPr>
        <w:t>]</w:t>
      </w:r>
      <w:r>
        <w:rPr>
          <w:szCs w:val="22"/>
        </w:rPr>
        <w:t>,</w:t>
      </w:r>
    </w:p>
    <w:p w:rsidR="002F64C2" w:rsidRPr="008E112A" w:rsidRDefault="002F64C2" w:rsidP="002F64C2">
      <w:pPr>
        <w:pStyle w:val="enumlev1"/>
      </w:pPr>
      <w:r>
        <w:rPr>
          <w:szCs w:val="22"/>
        </w:rPr>
        <w:t>–</w:t>
      </w:r>
      <w:r>
        <w:rPr>
          <w:szCs w:val="22"/>
        </w:rPr>
        <w:tab/>
        <w:t>the deletion of l</w:t>
      </w:r>
      <w:r w:rsidRPr="008E112A">
        <w:rPr>
          <w:szCs w:val="22"/>
        </w:rPr>
        <w:t>imitation A2b (No modification in the Region 2 Plan in the frequency band 12.2-12.5 GHz further east than 44°W).</w:t>
      </w:r>
    </w:p>
    <w:p w:rsidR="002F64C2" w:rsidRPr="004B192B" w:rsidRDefault="002F64C2" w:rsidP="002F64C2">
      <w:pPr>
        <w:pStyle w:val="Headingb"/>
        <w:rPr>
          <w:lang w:val="en-GB"/>
        </w:rPr>
      </w:pPr>
      <w:r>
        <w:rPr>
          <w:lang w:val="en-GB"/>
        </w:rPr>
        <w:lastRenderedPageBreak/>
        <w:t>Limitation (A2) of Section 2) of Annex 7 – the RCC Administrations support maintaining</w:t>
      </w:r>
      <w:r w:rsidRPr="004B192B">
        <w:rPr>
          <w:lang w:val="en-GB"/>
        </w:rPr>
        <w:t>:</w:t>
      </w:r>
    </w:p>
    <w:p w:rsidR="002F64C2" w:rsidRPr="004B192B" w:rsidRDefault="002F64C2" w:rsidP="002F64C2">
      <w:pPr>
        <w:pStyle w:val="enumlev1"/>
      </w:pPr>
      <w:r w:rsidRPr="004B192B">
        <w:t>–</w:t>
      </w:r>
      <w:r w:rsidRPr="004B192B">
        <w:tab/>
      </w:r>
      <w:r>
        <w:t>l</w:t>
      </w:r>
      <w:r w:rsidRPr="008E112A">
        <w:t>imitation A2c (No modification in the Region 2 Plan in the frequency band 12.2-12.7</w:t>
      </w:r>
      <w:r>
        <w:t> </w:t>
      </w:r>
      <w:r w:rsidRPr="008E112A">
        <w:t>GHz further west than 175.2°W).</w:t>
      </w:r>
    </w:p>
    <w:p w:rsidR="002F64C2" w:rsidRPr="002F64C2" w:rsidRDefault="002F64C2" w:rsidP="002F64C2">
      <w:pPr>
        <w:pStyle w:val="Headingb"/>
        <w:rPr>
          <w:lang w:val="en-GB"/>
        </w:rPr>
      </w:pPr>
      <w:r w:rsidRPr="002F64C2">
        <w:rPr>
          <w:lang w:val="en-GB"/>
        </w:rPr>
        <w:t>Limitations (A3) of Section 3) of Annex 7 – the RCC Administrations support the deletion of:</w:t>
      </w:r>
    </w:p>
    <w:p w:rsidR="002F64C2" w:rsidRPr="002F64C2" w:rsidRDefault="002F64C2" w:rsidP="002F64C2">
      <w:pPr>
        <w:pStyle w:val="enumlev1"/>
      </w:pPr>
      <w:r w:rsidRPr="002F64C2">
        <w:t>–</w:t>
      </w:r>
      <w:r w:rsidRPr="002F64C2">
        <w:tab/>
        <w:t xml:space="preserve">limitation А3а (No assignments in the Regions 1 &amp; 3 List outside specific allowable portions of the orbital arc between 37.2°W and 10°E) provided the existing protection criteria from Annex 1 to RR Appendix </w:t>
      </w:r>
      <w:r w:rsidRPr="002F64C2">
        <w:rPr>
          <w:b/>
          <w:bCs/>
        </w:rPr>
        <w:t>30</w:t>
      </w:r>
      <w:r w:rsidRPr="002F64C2">
        <w:t xml:space="preserve"> are maintained for implemented frequency assignments with an antenna diameter of 40 and 45 cm, accompanied by the use of the new Resolution </w:t>
      </w:r>
      <w:r w:rsidRPr="002F64C2">
        <w:rPr>
          <w:b/>
          <w:bCs/>
          <w:szCs w:val="22"/>
        </w:rPr>
        <w:t>[</w:t>
      </w:r>
      <w:r w:rsidRPr="002F64C2">
        <w:rPr>
          <w:b/>
          <w:lang w:val="en-US"/>
        </w:rPr>
        <w:t>RCC</w:t>
      </w:r>
      <w:r w:rsidRPr="002F64C2">
        <w:rPr>
          <w:b/>
        </w:rPr>
        <w:t>/</w:t>
      </w:r>
      <w:r w:rsidRPr="002F64C2">
        <w:rPr>
          <w:b/>
          <w:lang w:val="en-US"/>
        </w:rPr>
        <w:t>A</w:t>
      </w:r>
      <w:r w:rsidRPr="002F64C2">
        <w:rPr>
          <w:b/>
        </w:rPr>
        <w:t>14-</w:t>
      </w:r>
      <w:r w:rsidRPr="002F64C2">
        <w:rPr>
          <w:b/>
          <w:lang w:val="en-US"/>
        </w:rPr>
        <w:t>LIMITA</w:t>
      </w:r>
      <w:r w:rsidRPr="002F64C2">
        <w:rPr>
          <w:b/>
        </w:rPr>
        <w:t>3</w:t>
      </w:r>
      <w:r w:rsidRPr="002F64C2">
        <w:rPr>
          <w:b/>
          <w:bCs/>
          <w:szCs w:val="22"/>
        </w:rPr>
        <w:t>]</w:t>
      </w:r>
      <w:r w:rsidRPr="002F64C2">
        <w:rPr>
          <w:szCs w:val="22"/>
        </w:rPr>
        <w:t>,</w:t>
      </w:r>
    </w:p>
    <w:p w:rsidR="002F64C2" w:rsidRPr="002F64C2" w:rsidRDefault="002F64C2" w:rsidP="002F64C2">
      <w:pPr>
        <w:pStyle w:val="enumlev1"/>
      </w:pPr>
      <w:r w:rsidRPr="002F64C2">
        <w:t>–</w:t>
      </w:r>
      <w:r w:rsidRPr="002F64C2">
        <w:tab/>
        <w:t>limitation A3b (Max. e.i.r.p. of 56 dBW for assignments in the Regions 1 &amp; 3 List at specific allowable portions of the orbital arc between 37.2°W and 10°E),</w:t>
      </w:r>
    </w:p>
    <w:p w:rsidR="002F64C2" w:rsidRPr="002F64C2" w:rsidRDefault="002F64C2" w:rsidP="002F64C2">
      <w:pPr>
        <w:pStyle w:val="enumlev1"/>
      </w:pPr>
      <w:r w:rsidRPr="002F64C2">
        <w:t>–</w:t>
      </w:r>
      <w:r w:rsidRPr="002F64C2">
        <w:tab/>
        <w:t>limitation A3c (Max. power flux density of −138 dB(W/(m2∙27 MHz)) at any point in Region 2 by assignments in List located at 4°W and 9°E).</w:t>
      </w:r>
    </w:p>
    <w:p w:rsidR="002F64C2" w:rsidRPr="002F64C2" w:rsidRDefault="002F64C2" w:rsidP="002F64C2">
      <w:pPr>
        <w:pStyle w:val="Headingb"/>
        <w:rPr>
          <w:lang w:val="en-GB"/>
        </w:rPr>
      </w:pPr>
      <w:r w:rsidRPr="002F64C2">
        <w:rPr>
          <w:lang w:val="en-GB"/>
        </w:rPr>
        <w:t>Limitation B – the RCC Administrations do not oppose maintaining:</w:t>
      </w:r>
    </w:p>
    <w:p w:rsidR="002F64C2" w:rsidRPr="002F64C2" w:rsidRDefault="002F64C2" w:rsidP="002F64C2">
      <w:pPr>
        <w:pStyle w:val="enumlev1"/>
      </w:pPr>
      <w:r w:rsidRPr="002F64C2">
        <w:t>–</w:t>
      </w:r>
      <w:r w:rsidRPr="002F64C2">
        <w:tab/>
        <w:t>limitation B, associated with the concept of the space stations grouping on which the Region 2 Plan is based.</w:t>
      </w:r>
    </w:p>
    <w:p w:rsidR="002F64C2" w:rsidRPr="002F64C2" w:rsidRDefault="002F64C2" w:rsidP="002F64C2">
      <w:r w:rsidRPr="002F64C2">
        <w:t xml:space="preserve">With the deletion of limitations A1a and A2a for future Regions 2 and 1 FSS networks with respect to new BSS frequency assignments in Regions 1 and 2 filed further west than 37.2°W/further east than 54°W, new Resolution </w:t>
      </w:r>
      <w:r w:rsidRPr="002F64C2">
        <w:rPr>
          <w:b/>
          <w:bCs/>
        </w:rPr>
        <w:t>[RCC/C14-LIMITA1A2]</w:t>
      </w:r>
      <w:r w:rsidRPr="002F64C2">
        <w:t xml:space="preserve"> provides, for FSS and BSS orbital separations of less than 4.2 degrees, for the application of an Annex 4 coordination threshold mask only at the test points of new BSS networks; and, for orbital separations exceeding or equal to 4.2 degrees, throughout the service area of new BSS networks in accordance with the provisions of Annex 4, which will continue to apply for all separations (the value 4.2 degrees is a compromise between the proposed orbital separation values, namely 2 and 10.57 degrees).</w:t>
      </w:r>
    </w:p>
    <w:p w:rsidR="002F64C2" w:rsidRPr="002F64C2" w:rsidRDefault="002F64C2" w:rsidP="002F64C2">
      <w:r w:rsidRPr="002F64C2">
        <w:t xml:space="preserve">With the deletion of limitation A3a to protect “implemented” BSS satellite networks in the frequency band 11.7-12.2 GHz in the orbital arc between 37.2°W and 10°E, with receiving antenna diameters 40 and 45 cm, new Resolution </w:t>
      </w:r>
      <w:r w:rsidRPr="002F64C2">
        <w:rPr>
          <w:b/>
          <w:bCs/>
        </w:rPr>
        <w:t xml:space="preserve">[RCC/A14-LIMITA3] </w:t>
      </w:r>
      <w:r w:rsidRPr="002F64C2">
        <w:t>provides, when determining the need for coordination between such networks and new BSS networks notified in specific segments of the orbital arc between 37.2°W and 10°E, that the only criterion to be taken into account is the change in the equivalent protection margin (EPM) values on the downlink.</w:t>
      </w:r>
    </w:p>
    <w:p w:rsidR="002F64C2" w:rsidRPr="000016B7" w:rsidRDefault="002F64C2" w:rsidP="002F64C2">
      <w:bookmarkStart w:id="7" w:name="_Hlk22115260"/>
      <w:r w:rsidRPr="002F64C2">
        <w:t>Where limitations A1b and A2c are concerned</w:t>
      </w:r>
      <w:bookmarkEnd w:id="7"/>
      <w:r w:rsidRPr="002F64C2">
        <w:t>, despite the fact that the same provisions of RR</w:t>
      </w:r>
      <w:r>
        <w:t xml:space="preserve"> Appendix </w:t>
      </w:r>
      <w:r>
        <w:rPr>
          <w:b/>
          <w:bCs/>
        </w:rPr>
        <w:t>30</w:t>
      </w:r>
      <w:r>
        <w:t xml:space="preserve"> (protecting potentially affected services) apply as in the case of limitations A1a and A2a, the RCC Administrations are not proposing the deletion of these limitations since in these cases there is not </w:t>
      </w:r>
      <w:r w:rsidRPr="000016B7">
        <w:t>sufficient geographical separation between the land territories of Regions 1 and 2</w:t>
      </w:r>
      <w:r>
        <w:t xml:space="preserve"> in terms of the border length between the Regions (Chukotka and Alaska).</w:t>
      </w:r>
    </w:p>
    <w:p w:rsidR="002F64C2" w:rsidRPr="00A44514" w:rsidRDefault="002F64C2" w:rsidP="002F64C2">
      <w:r>
        <w:t xml:space="preserve">Limitation A2b can be deleted in view of the fact that the existing provisions of Appendix </w:t>
      </w:r>
      <w:r>
        <w:rPr>
          <w:b/>
          <w:bCs/>
        </w:rPr>
        <w:t>30</w:t>
      </w:r>
      <w:r>
        <w:t xml:space="preserve"> afford sufficient protection to the potentially affected BSS in Region 1, in addition to which the geographical separation that exists in the Atlantic region, where this limitation applies, ensures additional protection.</w:t>
      </w:r>
    </w:p>
    <w:p w:rsidR="002F64C2" w:rsidRPr="004B192B" w:rsidRDefault="002F64C2" w:rsidP="002F64C2">
      <w:r w:rsidRPr="009227C6">
        <w:t>Where limitations A</w:t>
      </w:r>
      <w:r>
        <w:t>3</w:t>
      </w:r>
      <w:r w:rsidRPr="009227C6">
        <w:t>b and A</w:t>
      </w:r>
      <w:r>
        <w:t>3</w:t>
      </w:r>
      <w:r w:rsidRPr="009227C6">
        <w:t>c are concerned</w:t>
      </w:r>
      <w:r>
        <w:t>, studies have shown that they may be deleted since their deletion has no impact on the potentially affected FSS in Region 2.</w:t>
      </w:r>
    </w:p>
    <w:p w:rsidR="002F64C2" w:rsidRPr="002F64C2" w:rsidRDefault="002F64C2" w:rsidP="002F64C2">
      <w:pPr>
        <w:pStyle w:val="Headingb"/>
        <w:pageBreakBefore/>
        <w:rPr>
          <w:b w:val="0"/>
          <w:bCs/>
          <w:lang w:val="en-GB"/>
        </w:rPr>
      </w:pPr>
      <w:r w:rsidRPr="002F64C2">
        <w:rPr>
          <w:lang w:val="en-GB"/>
        </w:rPr>
        <w:lastRenderedPageBreak/>
        <w:t>Proposals in regard to the entry into force of revised Annex 7 to RR Appendix 30</w:t>
      </w:r>
    </w:p>
    <w:p w:rsidR="002F64C2" w:rsidRPr="002F64C2" w:rsidRDefault="002F64C2" w:rsidP="002F64C2">
      <w:pPr>
        <w:rPr>
          <w:bCs/>
        </w:rPr>
      </w:pPr>
      <w:r w:rsidRPr="002F64C2">
        <w:t xml:space="preserve">The RCC Administrations propose the adoption of new Resolution </w:t>
      </w:r>
      <w:r w:rsidRPr="002F64C2">
        <w:rPr>
          <w:b/>
          <w:szCs w:val="22"/>
        </w:rPr>
        <w:t>[</w:t>
      </w:r>
      <w:r w:rsidRPr="002F64C2">
        <w:rPr>
          <w:b/>
          <w:lang w:val="en-US"/>
        </w:rPr>
        <w:t>RCC</w:t>
      </w:r>
      <w:r w:rsidRPr="002F64C2">
        <w:rPr>
          <w:b/>
        </w:rPr>
        <w:t>/</w:t>
      </w:r>
      <w:r w:rsidRPr="002F64C2">
        <w:rPr>
          <w:b/>
          <w:lang w:val="en-US"/>
        </w:rPr>
        <w:t>D</w:t>
      </w:r>
      <w:r w:rsidRPr="002F64C2">
        <w:rPr>
          <w:b/>
        </w:rPr>
        <w:t>14-</w:t>
      </w:r>
      <w:r w:rsidRPr="002F64C2">
        <w:rPr>
          <w:b/>
          <w:lang w:val="en-US"/>
        </w:rPr>
        <w:t>ENTRY</w:t>
      </w:r>
      <w:r w:rsidRPr="002F64C2">
        <w:rPr>
          <w:b/>
        </w:rPr>
        <w:t>-</w:t>
      </w:r>
      <w:r w:rsidRPr="002F64C2">
        <w:rPr>
          <w:b/>
          <w:lang w:val="en-US"/>
        </w:rPr>
        <w:t>INTO</w:t>
      </w:r>
      <w:r w:rsidRPr="002F64C2">
        <w:rPr>
          <w:b/>
        </w:rPr>
        <w:t>-</w:t>
      </w:r>
      <w:r w:rsidRPr="002F64C2">
        <w:rPr>
          <w:b/>
          <w:lang w:val="en-US"/>
        </w:rPr>
        <w:t>FORCE</w:t>
      </w:r>
      <w:r w:rsidRPr="002F64C2">
        <w:rPr>
          <w:b/>
          <w:szCs w:val="22"/>
        </w:rPr>
        <w:t>]</w:t>
      </w:r>
      <w:r w:rsidRPr="002F64C2">
        <w:rPr>
          <w:bCs/>
          <w:szCs w:val="22"/>
        </w:rPr>
        <w:t xml:space="preserve">, which provides for the application of revised Annex 7 to RR Appendix </w:t>
      </w:r>
      <w:r w:rsidRPr="002F64C2">
        <w:rPr>
          <w:b/>
          <w:szCs w:val="22"/>
        </w:rPr>
        <w:t>30</w:t>
      </w:r>
      <w:r w:rsidRPr="002F64C2">
        <w:rPr>
          <w:bCs/>
          <w:szCs w:val="22"/>
        </w:rPr>
        <w:t xml:space="preserve"> as from 23 November 2019; to this end, corresponding modifications to RR Article </w:t>
      </w:r>
      <w:r w:rsidRPr="002F64C2">
        <w:rPr>
          <w:b/>
          <w:szCs w:val="22"/>
        </w:rPr>
        <w:t>59</w:t>
      </w:r>
      <w:r w:rsidRPr="002F64C2">
        <w:rPr>
          <w:bCs/>
          <w:szCs w:val="22"/>
        </w:rPr>
        <w:t xml:space="preserve"> are also proposed.</w:t>
      </w:r>
    </w:p>
    <w:p w:rsidR="002F64C2" w:rsidRPr="002F64C2" w:rsidRDefault="002F64C2" w:rsidP="002F64C2">
      <w:pPr>
        <w:pStyle w:val="Headingb"/>
        <w:rPr>
          <w:lang w:val="en-GB"/>
        </w:rPr>
      </w:pPr>
      <w:r w:rsidRPr="002F64C2">
        <w:rPr>
          <w:lang w:val="en-GB"/>
        </w:rPr>
        <w:t>Additional regulatory measures</w:t>
      </w:r>
    </w:p>
    <w:p w:rsidR="002F64C2" w:rsidRPr="002F64C2" w:rsidRDefault="002F64C2" w:rsidP="002F64C2">
      <w:pPr>
        <w:rPr>
          <w:bCs/>
        </w:rPr>
      </w:pPr>
      <w:r w:rsidRPr="002F64C2">
        <w:t xml:space="preserve">In view of the fact that some national assignments, especially those of developing countries in the Regions 1 and 3 Plan, have equivalent downlink protection margin values equal to or below −10 dB, the RCC Administrations propose the adoption of new Resolution </w:t>
      </w:r>
      <w:r w:rsidRPr="002F64C2">
        <w:rPr>
          <w:b/>
          <w:szCs w:val="22"/>
        </w:rPr>
        <w:t>[</w:t>
      </w:r>
      <w:r w:rsidRPr="002F64C2">
        <w:rPr>
          <w:b/>
          <w:lang w:val="en-US"/>
        </w:rPr>
        <w:t>RCC</w:t>
      </w:r>
      <w:r w:rsidRPr="002F64C2">
        <w:rPr>
          <w:b/>
        </w:rPr>
        <w:t>/</w:t>
      </w:r>
      <w:r w:rsidRPr="002F64C2">
        <w:rPr>
          <w:b/>
          <w:lang w:val="en-US"/>
        </w:rPr>
        <w:t>B</w:t>
      </w:r>
      <w:r w:rsidRPr="002F64C2">
        <w:rPr>
          <w:b/>
        </w:rPr>
        <w:t>14-</w:t>
      </w:r>
      <w:r w:rsidRPr="002F64C2">
        <w:rPr>
          <w:b/>
          <w:lang w:val="en-US"/>
        </w:rPr>
        <w:t>PRIORITY</w:t>
      </w:r>
      <w:r w:rsidRPr="002F64C2">
        <w:rPr>
          <w:b/>
          <w:szCs w:val="22"/>
        </w:rPr>
        <w:t>]</w:t>
      </w:r>
      <w:r w:rsidRPr="002F64C2">
        <w:rPr>
          <w:bCs/>
          <w:szCs w:val="22"/>
        </w:rPr>
        <w:t xml:space="preserve">, specifying a period of time during which such countries have priority in the submission of new satellite networks in the orbital positions newly authorized further to deletion of the corresponding limitations in Annex 7 to RR Appendix </w:t>
      </w:r>
      <w:r w:rsidRPr="002F64C2">
        <w:rPr>
          <w:b/>
          <w:szCs w:val="22"/>
        </w:rPr>
        <w:t>30</w:t>
      </w:r>
      <w:r w:rsidRPr="002F64C2">
        <w:rPr>
          <w:bCs/>
          <w:szCs w:val="22"/>
        </w:rPr>
        <w:t>. After the end of this period, all administrations will be able to submit new BSS satellite networks in the newly-authorized orbital positions.</w:t>
      </w:r>
    </w:p>
    <w:p w:rsidR="002F64C2" w:rsidRPr="002F64C2" w:rsidRDefault="002F64C2" w:rsidP="002F64C2">
      <w:pPr>
        <w:pStyle w:val="Headingb"/>
        <w:rPr>
          <w:lang w:val="en-GB"/>
        </w:rPr>
      </w:pPr>
      <w:r w:rsidRPr="002F64C2">
        <w:rPr>
          <w:lang w:val="en-GB"/>
        </w:rPr>
        <w:t>Proposals</w:t>
      </w:r>
    </w:p>
    <w:p w:rsidR="002F64C2" w:rsidRPr="00640EFA" w:rsidRDefault="002F64C2" w:rsidP="002F64C2">
      <w:r w:rsidRPr="002F64C2">
        <w:t xml:space="preserve">The RCC Administrations propose the suppression of Resolution </w:t>
      </w:r>
      <w:r w:rsidRPr="002F64C2">
        <w:rPr>
          <w:b/>
          <w:bCs/>
        </w:rPr>
        <w:t>557 (WRC-15)</w:t>
      </w:r>
      <w:r w:rsidRPr="002F64C2">
        <w:t xml:space="preserve"> and adoption of the modifications to the Radio Regulations presented in the annex hereto.</w:t>
      </w:r>
    </w:p>
    <w:p w:rsidR="002F64C2" w:rsidRPr="004B192B" w:rsidRDefault="002F64C2" w:rsidP="002F64C2">
      <w:pPr>
        <w:tabs>
          <w:tab w:val="clear" w:pos="1134"/>
          <w:tab w:val="clear" w:pos="1871"/>
          <w:tab w:val="clear" w:pos="2268"/>
        </w:tabs>
        <w:overflowPunct/>
        <w:autoSpaceDE/>
        <w:autoSpaceDN/>
        <w:adjustRightInd/>
        <w:spacing w:before="0"/>
        <w:textAlignment w:val="auto"/>
      </w:pPr>
      <w:r w:rsidRPr="004B192B">
        <w:br w:type="page"/>
      </w:r>
    </w:p>
    <w:p w:rsidR="002F64C2" w:rsidRDefault="002F64C2" w:rsidP="002F64C2">
      <w:pPr>
        <w:pStyle w:val="AnnexNo"/>
      </w:pPr>
      <w:r w:rsidRPr="002F64C2">
        <w:lastRenderedPageBreak/>
        <w:t>ANNEX</w:t>
      </w:r>
    </w:p>
    <w:p w:rsidR="00241FA2" w:rsidRDefault="00241FA2" w:rsidP="00EF71B6"/>
    <w:p w:rsidR="008B2E84" w:rsidRPr="00B40F54" w:rsidRDefault="00CB134E" w:rsidP="008B2E84">
      <w:pPr>
        <w:pStyle w:val="ArtNo"/>
        <w:spacing w:before="0"/>
      </w:pPr>
      <w:bookmarkStart w:id="8" w:name="_Toc451865416"/>
      <w:r>
        <w:t xml:space="preserve">ARTICLE </w:t>
      </w:r>
      <w:r w:rsidRPr="00E258E4">
        <w:rPr>
          <w:rStyle w:val="href"/>
        </w:rPr>
        <w:t>59</w:t>
      </w:r>
      <w:bookmarkEnd w:id="8"/>
    </w:p>
    <w:p w:rsidR="008B2E84" w:rsidRPr="00F33901" w:rsidRDefault="00CB134E" w:rsidP="008B2E84">
      <w:pPr>
        <w:pStyle w:val="Arttitle"/>
      </w:pPr>
      <w:bookmarkStart w:id="9" w:name="_Toc327956708"/>
      <w:bookmarkStart w:id="10" w:name="_Toc451865417"/>
      <w:r w:rsidRPr="00F33901">
        <w:t>Entry into force and provisional application</w:t>
      </w:r>
      <w:r w:rsidRPr="00F33901">
        <w:br/>
        <w:t>of the Radio Regulations</w:t>
      </w:r>
      <w:r w:rsidRPr="00577A24">
        <w:rPr>
          <w:b w:val="0"/>
          <w:bCs/>
          <w:sz w:val="16"/>
          <w:szCs w:val="16"/>
        </w:rPr>
        <w:t>    (WRC</w:t>
      </w:r>
      <w:r w:rsidRPr="00577A24">
        <w:rPr>
          <w:b w:val="0"/>
          <w:bCs/>
          <w:sz w:val="16"/>
          <w:szCs w:val="16"/>
        </w:rPr>
        <w:noBreakHyphen/>
        <w:t>12)</w:t>
      </w:r>
      <w:bookmarkEnd w:id="9"/>
      <w:bookmarkEnd w:id="10"/>
    </w:p>
    <w:p w:rsidR="00684A95" w:rsidRDefault="00CB134E">
      <w:pPr>
        <w:pStyle w:val="Proposal"/>
      </w:pPr>
      <w:r>
        <w:t>ADD</w:t>
      </w:r>
      <w:r>
        <w:tab/>
        <w:t>RCC/12A4/1</w:t>
      </w:r>
      <w:r>
        <w:rPr>
          <w:vanish/>
          <w:color w:val="7F7F7F" w:themeColor="text1" w:themeTint="80"/>
          <w:vertAlign w:val="superscript"/>
        </w:rPr>
        <w:t>#49972</w:t>
      </w:r>
    </w:p>
    <w:p w:rsidR="001962A2" w:rsidRPr="0042498F" w:rsidRDefault="00CB134E" w:rsidP="00130FDA">
      <w:pPr>
        <w:rPr>
          <w:color w:val="000000"/>
          <w:sz w:val="16"/>
        </w:rPr>
      </w:pPr>
      <w:r w:rsidRPr="0042498F">
        <w:rPr>
          <w:rStyle w:val="Artdef"/>
        </w:rPr>
        <w:t>59.15</w:t>
      </w:r>
      <w:r w:rsidRPr="0042498F">
        <w:tab/>
      </w:r>
      <w:r w:rsidRPr="0042498F">
        <w:tab/>
        <w:t>The other provisions of these Regulations, as revised by WRC</w:t>
      </w:r>
      <w:r w:rsidRPr="0042498F">
        <w:noBreakHyphen/>
      </w:r>
      <w:r w:rsidRPr="0042498F">
        <w:rPr>
          <w:lang w:eastAsia="ja-JP"/>
        </w:rPr>
        <w:t>19</w:t>
      </w:r>
      <w:r w:rsidRPr="0042498F">
        <w:t>, shall enter into force on 1 January 202</w:t>
      </w:r>
      <w:r w:rsidRPr="0042498F">
        <w:rPr>
          <w:lang w:eastAsia="ja-JP"/>
        </w:rPr>
        <w:t>1</w:t>
      </w:r>
      <w:r w:rsidRPr="0042498F">
        <w:t>, with the following exceptions:</w:t>
      </w:r>
      <w:r w:rsidRPr="0042498F">
        <w:rPr>
          <w:color w:val="000000"/>
          <w:sz w:val="16"/>
        </w:rPr>
        <w:t>     (WRC</w:t>
      </w:r>
      <w:r w:rsidRPr="0042498F">
        <w:rPr>
          <w:color w:val="000000"/>
          <w:sz w:val="16"/>
        </w:rPr>
        <w:noBreakHyphen/>
      </w:r>
      <w:r w:rsidRPr="0042498F">
        <w:rPr>
          <w:color w:val="000000"/>
          <w:sz w:val="16"/>
          <w:lang w:eastAsia="ja-JP"/>
        </w:rPr>
        <w:t>19</w:t>
      </w:r>
      <w:r w:rsidRPr="0042498F">
        <w:rPr>
          <w:color w:val="000000"/>
          <w:sz w:val="16"/>
        </w:rPr>
        <w:t>)</w:t>
      </w:r>
    </w:p>
    <w:p w:rsidR="00684A95" w:rsidRDefault="00CB134E">
      <w:pPr>
        <w:pStyle w:val="Reasons"/>
      </w:pPr>
      <w:r>
        <w:rPr>
          <w:b/>
        </w:rPr>
        <w:t>Reasons:</w:t>
      </w:r>
      <w:r>
        <w:tab/>
      </w:r>
      <w:r w:rsidR="002F64C2" w:rsidRPr="002F64C2">
        <w:t xml:space="preserve">Necessary addition of a provision to Article </w:t>
      </w:r>
      <w:r w:rsidR="002F64C2" w:rsidRPr="002F64C2">
        <w:rPr>
          <w:b/>
          <w:bCs/>
        </w:rPr>
        <w:t>59</w:t>
      </w:r>
      <w:r w:rsidR="002F64C2" w:rsidRPr="002F64C2">
        <w:t xml:space="preserve"> of the Radio Regulations specifying the date of entry into force of the provisions of the Radio Regulations revised by WRC-19.</w:t>
      </w:r>
    </w:p>
    <w:p w:rsidR="00684A95" w:rsidRDefault="00CB134E">
      <w:pPr>
        <w:pStyle w:val="Proposal"/>
      </w:pPr>
      <w:r>
        <w:t>ADD</w:t>
      </w:r>
      <w:r>
        <w:tab/>
        <w:t>RCC/12A4/2</w:t>
      </w:r>
      <w:r>
        <w:rPr>
          <w:vanish/>
          <w:color w:val="7F7F7F" w:themeColor="text1" w:themeTint="80"/>
          <w:vertAlign w:val="superscript"/>
        </w:rPr>
        <w:t>#49973</w:t>
      </w:r>
    </w:p>
    <w:p w:rsidR="001962A2" w:rsidRPr="0042498F" w:rsidRDefault="00CB134E" w:rsidP="00130FDA">
      <w:pPr>
        <w:pStyle w:val="enumlev1"/>
        <w:keepNext/>
        <w:spacing w:beforeLines="50" w:before="120" w:line="300" w:lineRule="exact"/>
        <w:ind w:left="1871" w:hanging="1871"/>
      </w:pPr>
      <w:r w:rsidRPr="0042498F">
        <w:rPr>
          <w:rStyle w:val="Artdef"/>
        </w:rPr>
        <w:t>59.16</w:t>
      </w:r>
      <w:r w:rsidRPr="0042498F">
        <w:tab/>
        <w:t>–</w:t>
      </w:r>
      <w:r w:rsidRPr="0042498F">
        <w:tab/>
        <w:t xml:space="preserve">the revised provisions for which other effective dates of application are stipulated in Resolution: </w:t>
      </w:r>
      <w:r w:rsidRPr="0042498F">
        <w:tab/>
      </w:r>
    </w:p>
    <w:p w:rsidR="001962A2" w:rsidRPr="0042498F" w:rsidRDefault="00CB134E" w:rsidP="00130FDA">
      <w:pPr>
        <w:pStyle w:val="enumlev1"/>
      </w:pPr>
      <w:r w:rsidRPr="0042498F">
        <w:tab/>
      </w:r>
      <w:r w:rsidRPr="0042498F">
        <w:tab/>
        <w:t xml:space="preserve">draft new Resolution </w:t>
      </w:r>
      <w:r w:rsidRPr="002F64C2">
        <w:rPr>
          <w:b/>
          <w:bCs/>
        </w:rPr>
        <w:t>[D14-ENTRY-INTO-FORCE] (WRC</w:t>
      </w:r>
      <w:r w:rsidRPr="002F64C2">
        <w:rPr>
          <w:b/>
          <w:bCs/>
        </w:rPr>
        <w:noBreakHyphen/>
        <w:t>19)</w:t>
      </w:r>
      <w:r w:rsidRPr="002F64C2">
        <w:rPr>
          <w:sz w:val="16"/>
          <w:szCs w:val="12"/>
        </w:rPr>
        <w:t>    (WRC</w:t>
      </w:r>
      <w:r w:rsidRPr="002F64C2">
        <w:rPr>
          <w:sz w:val="16"/>
          <w:szCs w:val="12"/>
        </w:rPr>
        <w:noBreakHyphen/>
        <w:t>19)</w:t>
      </w:r>
    </w:p>
    <w:p w:rsidR="00684A95" w:rsidRDefault="00CB134E">
      <w:pPr>
        <w:pStyle w:val="Reasons"/>
      </w:pPr>
      <w:r>
        <w:rPr>
          <w:b/>
        </w:rPr>
        <w:t>Reasons:</w:t>
      </w:r>
      <w:r>
        <w:tab/>
      </w:r>
      <w:r w:rsidR="002F64C2" w:rsidRPr="002F64C2">
        <w:t xml:space="preserve">The inclusion of a new provision in RR Article </w:t>
      </w:r>
      <w:r w:rsidR="002F64C2" w:rsidRPr="002F64C2">
        <w:rPr>
          <w:b/>
          <w:bCs/>
        </w:rPr>
        <w:t>59</w:t>
      </w:r>
      <w:r w:rsidR="002F64C2" w:rsidRPr="002F64C2">
        <w:t xml:space="preserve"> takes account of the importance of the proposed modification of Annex 7 to RR Appendix </w:t>
      </w:r>
      <w:r w:rsidR="002F64C2" w:rsidRPr="002F64C2">
        <w:rPr>
          <w:b/>
          <w:bCs/>
        </w:rPr>
        <w:t>30</w:t>
      </w:r>
      <w:r w:rsidR="002F64C2" w:rsidRPr="002F64C2">
        <w:t xml:space="preserve">, which could help administrations improve equitable access to the resource by according temporary priority to administrations whose national assignments have a negative equivalent protection margin on the downlink. New Resolution </w:t>
      </w:r>
      <w:r w:rsidR="002F64C2" w:rsidRPr="002F64C2">
        <w:rPr>
          <w:b/>
          <w:bCs/>
        </w:rPr>
        <w:t>[RCC/D14-ENTRY-INTO-FORCE] (WRC-19)</w:t>
      </w:r>
      <w:r w:rsidR="002F64C2" w:rsidRPr="002F64C2">
        <w:t>, to which this provision refers, specifies that the date of entry into force of revised Annex 7 is 23 November 2019.</w:t>
      </w:r>
    </w:p>
    <w:p w:rsidR="006C04ED" w:rsidRPr="00B06821" w:rsidRDefault="00CB134E" w:rsidP="00AE79D0">
      <w:pPr>
        <w:pStyle w:val="AppendixNo"/>
        <w:spacing w:before="0"/>
        <w:rPr>
          <w:vertAlign w:val="superscript"/>
          <w:lang w:val="en-US"/>
        </w:rPr>
      </w:pPr>
      <w:bookmarkStart w:id="11" w:name="_Toc454787466"/>
      <w:r w:rsidRPr="00B06821">
        <w:rPr>
          <w:lang w:val="en-US"/>
        </w:rPr>
        <w:lastRenderedPageBreak/>
        <w:t xml:space="preserve">APPENDIX </w:t>
      </w:r>
      <w:r w:rsidRPr="00B06821">
        <w:rPr>
          <w:rStyle w:val="href"/>
          <w:lang w:val="en-US"/>
        </w:rPr>
        <w:t>30</w:t>
      </w:r>
      <w:r w:rsidRPr="00B06821">
        <w:rPr>
          <w:lang w:val="en-US"/>
        </w:rPr>
        <w:t xml:space="preserve"> (</w:t>
      </w:r>
      <w:r w:rsidRPr="00354DCE">
        <w:t>REV</w:t>
      </w:r>
      <w:r w:rsidRPr="00B06821">
        <w:rPr>
          <w:lang w:val="en-US"/>
        </w:rPr>
        <w:t>.</w:t>
      </w:r>
      <w:r>
        <w:rPr>
          <w:lang w:val="en-US"/>
        </w:rPr>
        <w:t>WRC</w:t>
      </w:r>
      <w:r>
        <w:rPr>
          <w:lang w:val="en-US"/>
        </w:rPr>
        <w:noBreakHyphen/>
        <w:t>15</w:t>
      </w:r>
      <w:r w:rsidRPr="00B06821">
        <w:rPr>
          <w:lang w:val="en-US"/>
        </w:rPr>
        <w:t>)</w:t>
      </w:r>
      <w:r w:rsidRPr="008B2790">
        <w:rPr>
          <w:rStyle w:val="FootnoteReference"/>
        </w:rPr>
        <w:footnoteReference w:customMarkFollows="1" w:id="1"/>
        <w:t>*</w:t>
      </w:r>
      <w:bookmarkEnd w:id="11"/>
    </w:p>
    <w:p w:rsidR="006C04ED" w:rsidRDefault="00CB134E" w:rsidP="001F0862">
      <w:pPr>
        <w:pStyle w:val="Appendixtitle"/>
        <w:rPr>
          <w:rFonts w:ascii="Times New Roman"/>
          <w:b w:val="0"/>
          <w:bCs/>
          <w:color w:val="000000"/>
          <w:sz w:val="16"/>
        </w:rPr>
      </w:pPr>
      <w:bookmarkStart w:id="12" w:name="_Toc330560547"/>
      <w:bookmarkStart w:id="13" w:name="_Toc454787467"/>
      <w:r w:rsidRPr="00821BE4">
        <w:t>Provisions for all services and associated Plans and List</w:t>
      </w:r>
      <w:r w:rsidRPr="00144E9E">
        <w:rPr>
          <w:rStyle w:val="FootnoteReference"/>
        </w:rPr>
        <w:footnoteReference w:customMarkFollows="1" w:id="2"/>
        <w:t>1</w:t>
      </w:r>
      <w:r w:rsidRPr="00821BE4">
        <w:t xml:space="preserve"> for</w:t>
      </w:r>
      <w:r w:rsidRPr="00821BE4">
        <w:br/>
        <w:t>the broadcasting-satellite service in the frequency bands</w:t>
      </w:r>
      <w:r w:rsidRPr="00821BE4">
        <w:br/>
        <w:t>11.7-12.2 GHz (in Region 3), 11.7-12.5 GHz (in Region 1)</w:t>
      </w:r>
      <w:r w:rsidRPr="00821BE4">
        <w:br/>
        <w:t>         and 12.2-12.7 GHz (in Region 2)</w:t>
      </w:r>
      <w:r>
        <w:rPr>
          <w:b w:val="0"/>
          <w:bCs/>
          <w:color w:val="000000"/>
          <w:sz w:val="16"/>
        </w:rPr>
        <w:t>  </w:t>
      </w:r>
      <w:r w:rsidRPr="00D41CE2">
        <w:rPr>
          <w:b w:val="0"/>
          <w:bCs/>
          <w:color w:val="000000"/>
          <w:sz w:val="16"/>
        </w:rPr>
        <w:t>  </w:t>
      </w:r>
      <w:r w:rsidRPr="00D41CE2">
        <w:rPr>
          <w:rFonts w:ascii="Times New Roman"/>
          <w:b w:val="0"/>
          <w:bCs/>
          <w:color w:val="000000"/>
          <w:sz w:val="16"/>
        </w:rPr>
        <w:t>(</w:t>
      </w:r>
      <w:r>
        <w:rPr>
          <w:rFonts w:ascii="Times New Roman"/>
          <w:b w:val="0"/>
          <w:bCs/>
          <w:color w:val="000000"/>
          <w:sz w:val="16"/>
        </w:rPr>
        <w:t>WRC</w:t>
      </w:r>
      <w:r>
        <w:rPr>
          <w:rFonts w:ascii="Times New Roman"/>
          <w:b w:val="0"/>
          <w:bCs/>
          <w:color w:val="000000"/>
          <w:sz w:val="16"/>
        </w:rPr>
        <w:noBreakHyphen/>
      </w:r>
      <w:r w:rsidRPr="00D41CE2">
        <w:rPr>
          <w:rFonts w:ascii="Times New Roman"/>
          <w:b w:val="0"/>
          <w:bCs/>
          <w:color w:val="000000"/>
          <w:sz w:val="16"/>
        </w:rPr>
        <w:t>03)</w:t>
      </w:r>
      <w:bookmarkEnd w:id="12"/>
      <w:bookmarkEnd w:id="13"/>
    </w:p>
    <w:p w:rsidR="00684A95" w:rsidRPr="002F64C2" w:rsidRDefault="00CB134E">
      <w:pPr>
        <w:pStyle w:val="Proposal"/>
        <w:rPr>
          <w:lang w:val="fr-CH"/>
        </w:rPr>
      </w:pPr>
      <w:r w:rsidRPr="002F64C2">
        <w:rPr>
          <w:lang w:val="fr-CH"/>
        </w:rPr>
        <w:t>MOD</w:t>
      </w:r>
      <w:r w:rsidRPr="002F64C2">
        <w:rPr>
          <w:lang w:val="fr-CH"/>
        </w:rPr>
        <w:tab/>
        <w:t>RCC/12A4/3</w:t>
      </w:r>
      <w:r w:rsidRPr="002F64C2">
        <w:rPr>
          <w:vanish/>
          <w:color w:val="7F7F7F" w:themeColor="text1" w:themeTint="80"/>
          <w:vertAlign w:val="superscript"/>
          <w:lang w:val="fr-CH"/>
        </w:rPr>
        <w:t>#49974</w:t>
      </w:r>
    </w:p>
    <w:p w:rsidR="001962A2" w:rsidRPr="0042498F" w:rsidRDefault="00CB134E" w:rsidP="00130FDA">
      <w:pPr>
        <w:pStyle w:val="AnnexNo"/>
        <w:rPr>
          <w:lang w:val="fr-CH"/>
        </w:rPr>
      </w:pPr>
      <w:r w:rsidRPr="0042498F">
        <w:rPr>
          <w:lang w:val="fr-CH"/>
        </w:rPr>
        <w:t>ANNEX 7</w:t>
      </w:r>
      <w:r w:rsidRPr="0042498F">
        <w:rPr>
          <w:sz w:val="16"/>
          <w:szCs w:val="16"/>
          <w:lang w:val="fr-CH"/>
        </w:rPr>
        <w:t>     (Rev.WRC</w:t>
      </w:r>
      <w:r w:rsidRPr="0042498F">
        <w:rPr>
          <w:sz w:val="16"/>
          <w:szCs w:val="16"/>
          <w:lang w:val="fr-CH"/>
        </w:rPr>
        <w:noBreakHyphen/>
        <w:t>03)</w:t>
      </w:r>
    </w:p>
    <w:p w:rsidR="001962A2" w:rsidRPr="0042498F" w:rsidRDefault="00CB134E" w:rsidP="00130FDA">
      <w:pPr>
        <w:pStyle w:val="Annextitle"/>
        <w:rPr>
          <w:rFonts w:ascii="Times New Roman"/>
          <w:b w:val="0"/>
          <w:lang w:val="fr-CH"/>
        </w:rPr>
      </w:pPr>
      <w:r w:rsidRPr="0042498F">
        <w:rPr>
          <w:lang w:val="fr-CH"/>
        </w:rPr>
        <w:t>Orbital position limitations</w:t>
      </w:r>
      <w:ins w:id="14" w:author="Unknown" w:date="2018-07-23T17:10:00Z">
        <w:r w:rsidRPr="0042498F">
          <w:rPr>
            <w:rStyle w:val="FootnoteReference"/>
            <w:rFonts w:ascii="Times New Roman"/>
            <w:b w:val="0"/>
            <w:lang w:val="fr-FR"/>
            <w:rPrChange w:id="15" w:author="Unknown" w:date="2018-07-23T17:11:00Z">
              <w:rPr>
                <w:lang w:val="fr-CH"/>
              </w:rPr>
            </w:rPrChange>
          </w:rPr>
          <w:t>ADD</w:t>
        </w:r>
      </w:ins>
      <w:ins w:id="16" w:author="Unknown" w:date="2018-07-24T15:10:00Z">
        <w:r w:rsidRPr="0042498F">
          <w:rPr>
            <w:rStyle w:val="FootnoteReference"/>
            <w:rFonts w:ascii="Times New Roman"/>
            <w:b w:val="0"/>
            <w:lang w:val="fr-CH"/>
          </w:rPr>
          <w:t xml:space="preserve"> </w:t>
        </w:r>
      </w:ins>
      <w:ins w:id="17" w:author="Unknown" w:date="2018-07-12T15:02:00Z">
        <w:r w:rsidRPr="0042498F">
          <w:rPr>
            <w:rStyle w:val="FootnoteReference"/>
            <w:rFonts w:ascii="Times New Roman"/>
            <w:b w:val="0"/>
            <w:lang w:val="fr-CH"/>
            <w:rPrChange w:id="18" w:author="Unknown" w:date="2018-07-12T13:29:00Z">
              <w:rPr>
                <w:rStyle w:val="FootnoteReference"/>
                <w:lang w:val="fr-FR"/>
              </w:rPr>
            </w:rPrChange>
          </w:rPr>
          <w:footnoteReference w:customMarkFollows="1" w:id="3"/>
          <w:t>YY</w:t>
        </w:r>
        <w:r w:rsidRPr="0042498F">
          <w:rPr>
            <w:rStyle w:val="FootnoteReference"/>
            <w:rFonts w:ascii="Times New Roman"/>
            <w:b w:val="0"/>
            <w:lang w:val="fr-CH"/>
          </w:rPr>
          <w:t xml:space="preserve">, </w:t>
        </w:r>
      </w:ins>
      <w:ins w:id="24" w:author="Unknown" w:date="2018-07-23T17:11:00Z">
        <w:r w:rsidRPr="0042498F">
          <w:rPr>
            <w:rStyle w:val="FootnoteReference"/>
            <w:rFonts w:ascii="Times New Roman"/>
            <w:b w:val="0"/>
            <w:lang w:val="fr-CH"/>
          </w:rPr>
          <w:t>ADD</w:t>
        </w:r>
      </w:ins>
      <w:ins w:id="25" w:author="Unknown" w:date="2018-07-24T15:09:00Z">
        <w:r w:rsidRPr="0042498F">
          <w:rPr>
            <w:rStyle w:val="FootnoteReference"/>
            <w:rFonts w:ascii="Times New Roman"/>
            <w:b w:val="0"/>
            <w:lang w:val="fr-CH"/>
          </w:rPr>
          <w:t xml:space="preserve"> </w:t>
        </w:r>
      </w:ins>
      <w:ins w:id="26" w:author="Unknown" w:date="2018-07-12T15:02:00Z">
        <w:r w:rsidRPr="0042498F">
          <w:rPr>
            <w:rStyle w:val="FootnoteReference"/>
            <w:rFonts w:ascii="Times New Roman"/>
            <w:b w:val="0"/>
            <w:lang w:val="fr-CH"/>
          </w:rPr>
          <w:footnoteReference w:customMarkFollows="1" w:id="4"/>
          <w:t>ZZ</w:t>
        </w:r>
      </w:ins>
    </w:p>
    <w:p w:rsidR="00684A95" w:rsidRDefault="00CB134E">
      <w:pPr>
        <w:pStyle w:val="Reasons"/>
      </w:pPr>
      <w:r>
        <w:rPr>
          <w:b/>
        </w:rPr>
        <w:t>Reasons:</w:t>
      </w:r>
      <w:r>
        <w:tab/>
      </w:r>
      <w:r w:rsidR="002F64C2" w:rsidRPr="002F64C2">
        <w:t xml:space="preserve">To add a reference to new WRC-19 Resolutions (Resolutions </w:t>
      </w:r>
      <w:r w:rsidR="002F64C2" w:rsidRPr="002F64C2">
        <w:rPr>
          <w:b/>
          <w:bCs/>
        </w:rPr>
        <w:t>[</w:t>
      </w:r>
      <w:r w:rsidR="002F64C2" w:rsidRPr="002F64C2">
        <w:rPr>
          <w:b/>
          <w:lang w:val="en-US"/>
        </w:rPr>
        <w:t>RCC</w:t>
      </w:r>
      <w:r w:rsidR="002F64C2" w:rsidRPr="002F64C2">
        <w:rPr>
          <w:b/>
        </w:rPr>
        <w:t>/</w:t>
      </w:r>
      <w:r w:rsidR="002F64C2" w:rsidRPr="002F64C2">
        <w:rPr>
          <w:b/>
          <w:lang w:val="en-US"/>
        </w:rPr>
        <w:t>A</w:t>
      </w:r>
      <w:r w:rsidR="002F64C2" w:rsidRPr="002F64C2">
        <w:rPr>
          <w:b/>
        </w:rPr>
        <w:t>14-</w:t>
      </w:r>
      <w:r w:rsidR="002F64C2" w:rsidRPr="002F64C2">
        <w:rPr>
          <w:b/>
          <w:lang w:val="en-US"/>
        </w:rPr>
        <w:t>LIMITA</w:t>
      </w:r>
      <w:r w:rsidR="002F64C2" w:rsidRPr="002F64C2">
        <w:rPr>
          <w:b/>
        </w:rPr>
        <w:t>3</w:t>
      </w:r>
      <w:r w:rsidR="002F64C2" w:rsidRPr="002F64C2">
        <w:rPr>
          <w:b/>
          <w:bCs/>
        </w:rPr>
        <w:t>] (WRC-19)</w:t>
      </w:r>
      <w:r w:rsidR="002F64C2" w:rsidRPr="002F64C2">
        <w:rPr>
          <w:bCs/>
        </w:rPr>
        <w:t xml:space="preserve"> and </w:t>
      </w:r>
      <w:r w:rsidR="002F64C2" w:rsidRPr="002F64C2">
        <w:rPr>
          <w:b/>
          <w:bCs/>
        </w:rPr>
        <w:t>[</w:t>
      </w:r>
      <w:r w:rsidR="002F64C2" w:rsidRPr="002F64C2">
        <w:rPr>
          <w:b/>
          <w:lang w:val="en-US"/>
        </w:rPr>
        <w:t>RCC</w:t>
      </w:r>
      <w:r w:rsidR="002F64C2" w:rsidRPr="002F64C2">
        <w:rPr>
          <w:b/>
        </w:rPr>
        <w:t>/</w:t>
      </w:r>
      <w:r w:rsidR="002F64C2" w:rsidRPr="002F64C2">
        <w:rPr>
          <w:b/>
          <w:lang w:val="en-US"/>
        </w:rPr>
        <w:t>C</w:t>
      </w:r>
      <w:r w:rsidR="002F64C2" w:rsidRPr="002F64C2">
        <w:rPr>
          <w:b/>
        </w:rPr>
        <w:t>14-</w:t>
      </w:r>
      <w:r w:rsidR="002F64C2" w:rsidRPr="002F64C2">
        <w:rPr>
          <w:b/>
          <w:lang w:val="en-US"/>
        </w:rPr>
        <w:t>LIMITA</w:t>
      </w:r>
      <w:r w:rsidR="002F64C2" w:rsidRPr="002F64C2">
        <w:rPr>
          <w:b/>
        </w:rPr>
        <w:t>1</w:t>
      </w:r>
      <w:r w:rsidR="002F64C2" w:rsidRPr="002F64C2">
        <w:rPr>
          <w:b/>
          <w:lang w:val="en-US"/>
        </w:rPr>
        <w:t>A</w:t>
      </w:r>
      <w:r w:rsidR="002F64C2" w:rsidRPr="002F64C2">
        <w:rPr>
          <w:b/>
        </w:rPr>
        <w:t>2</w:t>
      </w:r>
      <w:r w:rsidR="002F64C2" w:rsidRPr="002F64C2">
        <w:rPr>
          <w:b/>
          <w:bCs/>
        </w:rPr>
        <w:t>] (WRC-19)</w:t>
      </w:r>
      <w:r w:rsidR="002F64C2" w:rsidRPr="002F64C2">
        <w:rPr>
          <w:bCs/>
        </w:rPr>
        <w:t>).</w:t>
      </w:r>
    </w:p>
    <w:p w:rsidR="00684A95" w:rsidRDefault="00CB134E">
      <w:pPr>
        <w:pStyle w:val="Proposal"/>
      </w:pPr>
      <w:r>
        <w:t>MOD</w:t>
      </w:r>
      <w:r>
        <w:tab/>
        <w:t>RCC/12A4/4</w:t>
      </w:r>
      <w:r>
        <w:rPr>
          <w:vanish/>
          <w:color w:val="7F7F7F" w:themeColor="text1" w:themeTint="80"/>
          <w:vertAlign w:val="superscript"/>
        </w:rPr>
        <w:t>#49975</w:t>
      </w:r>
    </w:p>
    <w:p w:rsidR="001962A2" w:rsidRPr="0042498F" w:rsidRDefault="00CB134E" w:rsidP="00130FDA">
      <w:pPr>
        <w:pStyle w:val="enumlev1"/>
        <w:rPr>
          <w:strike/>
        </w:rPr>
      </w:pPr>
      <w:r w:rsidRPr="0042498F">
        <w:rPr>
          <w:rStyle w:val="Provsplit"/>
        </w:rPr>
        <w:t>1)</w:t>
      </w:r>
      <w:r w:rsidRPr="0042498F">
        <w:tab/>
        <w:t xml:space="preserve">No broadcasting satellite serving an area in Region 1 and using a frequency in the band 11.7-12.2 GHz shall occupy a nominal orbital position further </w:t>
      </w:r>
      <w:del w:id="57" w:author="Unknown">
        <w:r w:rsidRPr="0042498F" w:rsidDel="00556152">
          <w:delText xml:space="preserve">west than 37.2° W or further </w:delText>
        </w:r>
      </w:del>
      <w:r w:rsidRPr="0042498F">
        <w:t>east than 146° E.</w:t>
      </w:r>
    </w:p>
    <w:p w:rsidR="00684A95" w:rsidRDefault="00CB134E">
      <w:pPr>
        <w:pStyle w:val="Reasons"/>
      </w:pPr>
      <w:r>
        <w:rPr>
          <w:b/>
        </w:rPr>
        <w:t>Reasons:</w:t>
      </w:r>
      <w:r>
        <w:tab/>
      </w:r>
      <w:r w:rsidR="002F64C2" w:rsidRPr="002F64C2">
        <w:t>To remove the reference to the orbital position limitation (limitation A1a) deleted further to the studies under WRC-19 agenda item 1.4.</w:t>
      </w:r>
    </w:p>
    <w:p w:rsidR="00684A95" w:rsidRDefault="00CB134E">
      <w:pPr>
        <w:pStyle w:val="Proposal"/>
      </w:pPr>
      <w:r>
        <w:t>MOD</w:t>
      </w:r>
      <w:r>
        <w:tab/>
        <w:t>RCC/12A4/5</w:t>
      </w:r>
      <w:r>
        <w:rPr>
          <w:vanish/>
          <w:color w:val="7F7F7F" w:themeColor="text1" w:themeTint="80"/>
          <w:vertAlign w:val="superscript"/>
        </w:rPr>
        <w:t>#49976</w:t>
      </w:r>
    </w:p>
    <w:p w:rsidR="001962A2" w:rsidRPr="0042498F" w:rsidRDefault="00CB134E" w:rsidP="00130FDA">
      <w:pPr>
        <w:pStyle w:val="enumlev1"/>
      </w:pPr>
      <w:r w:rsidRPr="0042498F">
        <w:rPr>
          <w:rStyle w:val="Provsplit"/>
        </w:rPr>
        <w:t>2)</w:t>
      </w:r>
      <w:r w:rsidRPr="0042498F">
        <w:tab/>
        <w:t xml:space="preserve">No broadcasting satellite serving an area in Region 2 </w:t>
      </w:r>
      <w:ins w:id="58" w:author="Unknown" w:date="2019-02-24T22:23:00Z">
        <w:r w:rsidRPr="0042498F">
          <w:t>and using a frequency in the band 12.2-12.7 GH</w:t>
        </w:r>
      </w:ins>
      <w:ins w:id="59" w:author="Unknown" w:date="2019-02-26T22:12:00Z">
        <w:r w:rsidRPr="0042498F">
          <w:t xml:space="preserve">z </w:t>
        </w:r>
      </w:ins>
      <w:r w:rsidRPr="0042498F">
        <w:t>that involves an orbital position different from that contained in the Region 2 Plan shall occupy a nominal orbital position</w:t>
      </w:r>
      <w:del w:id="60" w:author="Unknown">
        <w:r w:rsidRPr="0042498F" w:rsidDel="00B953CE">
          <w:delText>:</w:delText>
        </w:r>
      </w:del>
    </w:p>
    <w:p w:rsidR="001962A2" w:rsidRPr="0042498F" w:rsidDel="00A27563" w:rsidRDefault="00CB134E">
      <w:pPr>
        <w:pStyle w:val="enumlev1"/>
        <w:ind w:left="0" w:firstLine="0"/>
        <w:rPr>
          <w:del w:id="61" w:author="Unknown"/>
        </w:rPr>
        <w:pPrChange w:id="62" w:author="Unknown" w:date="2019-02-25T09:26:00Z">
          <w:pPr>
            <w:pStyle w:val="enumlev1"/>
          </w:pPr>
        </w:pPrChange>
      </w:pPr>
      <w:del w:id="63" w:author="Unknown">
        <w:r w:rsidRPr="0042498F" w:rsidDel="00A27563">
          <w:rPr>
            <w:i/>
          </w:rPr>
          <w:tab/>
          <w:delText>a)</w:delText>
        </w:r>
        <w:r w:rsidRPr="0042498F" w:rsidDel="00A27563">
          <w:tab/>
          <w:delText>further east than 54° W in the band 12.5-12.7 GHz;</w:delText>
        </w:r>
        <w:r w:rsidRPr="0042498F" w:rsidDel="00A27563">
          <w:rPr>
            <w:i/>
          </w:rPr>
          <w:delText xml:space="preserve"> or</w:delText>
        </w:r>
      </w:del>
    </w:p>
    <w:p w:rsidR="001962A2" w:rsidRPr="0042498F" w:rsidDel="00A27563" w:rsidRDefault="00CB134E" w:rsidP="00130FDA">
      <w:pPr>
        <w:pStyle w:val="enumlev1"/>
        <w:rPr>
          <w:del w:id="64" w:author="Unknown"/>
        </w:rPr>
      </w:pPr>
      <w:del w:id="65" w:author="Unknown">
        <w:r w:rsidRPr="0042498F" w:rsidDel="00A27563">
          <w:rPr>
            <w:i/>
          </w:rPr>
          <w:tab/>
          <w:delText>b)</w:delText>
        </w:r>
        <w:r w:rsidRPr="0042498F" w:rsidDel="00A27563">
          <w:tab/>
          <w:delText>further east than 44° W in the band 12.2-12.5 GHz;</w:delText>
        </w:r>
        <w:r w:rsidRPr="0042498F" w:rsidDel="00A27563">
          <w:rPr>
            <w:i/>
          </w:rPr>
          <w:delText xml:space="preserve"> or</w:delText>
        </w:r>
      </w:del>
    </w:p>
    <w:p w:rsidR="001962A2" w:rsidRPr="0042498F" w:rsidRDefault="00CB134E" w:rsidP="00130FDA">
      <w:pPr>
        <w:pStyle w:val="enumlev1"/>
      </w:pPr>
      <w:r w:rsidRPr="0042498F">
        <w:rPr>
          <w:i/>
        </w:rPr>
        <w:tab/>
      </w:r>
      <w:del w:id="66" w:author="Unknown">
        <w:r w:rsidRPr="0042498F" w:rsidDel="00B9176F">
          <w:rPr>
            <w:i/>
          </w:rPr>
          <w:delText>c)</w:delText>
        </w:r>
      </w:del>
      <w:del w:id="67" w:author="Ruepp, Rowena [2]" w:date="2018-07-27T12:03:00Z">
        <w:r w:rsidRPr="0042498F" w:rsidDel="002A3511">
          <w:tab/>
        </w:r>
      </w:del>
      <w:r w:rsidRPr="0042498F">
        <w:t>further west than 175.2° W</w:t>
      </w:r>
      <w:del w:id="68" w:author="Unknown">
        <w:r w:rsidRPr="0042498F" w:rsidDel="006D4619">
          <w:delText xml:space="preserve"> in the band 12.2-12.7 GHz</w:delText>
        </w:r>
      </w:del>
      <w:r w:rsidRPr="0042498F">
        <w:t>.</w:t>
      </w:r>
    </w:p>
    <w:p w:rsidR="001962A2" w:rsidRPr="0042498F" w:rsidRDefault="00CB134E" w:rsidP="00130FDA">
      <w:pPr>
        <w:pStyle w:val="enumlev1"/>
      </w:pPr>
      <w:r w:rsidRPr="0042498F">
        <w:lastRenderedPageBreak/>
        <w:tab/>
        <w:t>However, modifications necessary to resolve possible incompatibilities during the incorporation of the Regions 1 and 3 feeder-link Plan into the Radio Regulations shall be permitted.</w:t>
      </w:r>
    </w:p>
    <w:p w:rsidR="00684A95" w:rsidRDefault="00CB134E">
      <w:pPr>
        <w:pStyle w:val="Reasons"/>
      </w:pPr>
      <w:r>
        <w:rPr>
          <w:b/>
        </w:rPr>
        <w:t>Reasons:</w:t>
      </w:r>
      <w:r>
        <w:tab/>
      </w:r>
      <w:r w:rsidR="002F64C2" w:rsidRPr="002F64C2">
        <w:t>To remove the reference to the orbital position limitations (limitations A2a and A2b) deleted further to the studies under WRC-19 agenda item 1.4</w:t>
      </w:r>
    </w:p>
    <w:p w:rsidR="00684A95" w:rsidRDefault="00CB134E">
      <w:pPr>
        <w:pStyle w:val="Proposal"/>
      </w:pPr>
      <w:r>
        <w:t>SUP</w:t>
      </w:r>
      <w:r>
        <w:tab/>
        <w:t>RCC/12A4/6</w:t>
      </w:r>
      <w:r>
        <w:rPr>
          <w:vanish/>
          <w:color w:val="7F7F7F" w:themeColor="text1" w:themeTint="80"/>
          <w:vertAlign w:val="superscript"/>
        </w:rPr>
        <w:t>#49977</w:t>
      </w:r>
    </w:p>
    <w:p w:rsidR="001962A2" w:rsidRPr="0042498F" w:rsidRDefault="00CB134E" w:rsidP="00130FDA">
      <w:pPr>
        <w:pStyle w:val="enumlev1"/>
      </w:pPr>
      <w:r w:rsidRPr="0042498F">
        <w:rPr>
          <w:rStyle w:val="Provsplit"/>
        </w:rPr>
        <w:t>3)</w:t>
      </w:r>
      <w:r w:rsidRPr="0042498F">
        <w:tab/>
        <w:t>The purpose of the following orbital position and e.i.r.p. limitations is to preserve access to the geostationary-satellite orbit by the Region 2 fixed-satellite service in the band 11.7</w:t>
      </w:r>
      <w:r w:rsidRPr="0042498F">
        <w:noBreakHyphen/>
        <w:t>12.2 GHz. Within the orbital arc of the geostationary-satellite orbit between 37.2° W and 10° E, the orbital position associated with any proposed new or modified assignment in the Regions 1 and 3 List of additional uses shall lie within one of the portions of the orbital arc listed in Table 1. The e.i.r.p. of such assignments shall not exceed 56 dBW, except at the positions listed in Table 2.</w:t>
      </w:r>
    </w:p>
    <w:p w:rsidR="00684A95" w:rsidRDefault="00CB134E">
      <w:pPr>
        <w:pStyle w:val="Reasons"/>
      </w:pPr>
      <w:r>
        <w:rPr>
          <w:b/>
        </w:rPr>
        <w:t>Reasons:</w:t>
      </w:r>
      <w:r>
        <w:tab/>
      </w:r>
      <w:r w:rsidR="002F64C2" w:rsidRPr="002F64C2">
        <w:t>To remove the reference to the orbital position and e.i.r.p. limitations (limitations A3a, A3b and A3c) within the orbital arc of the geostationary orbit between 37.2° W and 10° E that were deleted further to the studies under WRC-19 agenda item 1.4.</w:t>
      </w:r>
    </w:p>
    <w:p w:rsidR="00684A95" w:rsidRDefault="00CB134E">
      <w:pPr>
        <w:pStyle w:val="Proposal"/>
      </w:pPr>
      <w:r>
        <w:t>SUP</w:t>
      </w:r>
      <w:r>
        <w:tab/>
        <w:t>RCC/12A4/7</w:t>
      </w:r>
      <w:r>
        <w:rPr>
          <w:vanish/>
          <w:color w:val="7F7F7F" w:themeColor="text1" w:themeTint="80"/>
          <w:vertAlign w:val="superscript"/>
        </w:rPr>
        <w:t>#49978</w:t>
      </w:r>
    </w:p>
    <w:p w:rsidR="001962A2" w:rsidRPr="0042498F" w:rsidRDefault="00CB134E" w:rsidP="00130FDA">
      <w:pPr>
        <w:pStyle w:val="TableNo"/>
      </w:pPr>
      <w:r w:rsidRPr="0042498F">
        <w:t>TABLE 1</w:t>
      </w:r>
    </w:p>
    <w:p w:rsidR="001962A2" w:rsidRPr="0042498F" w:rsidRDefault="00CB134E" w:rsidP="00130FDA">
      <w:pPr>
        <w:pStyle w:val="Tabletitle"/>
      </w:pPr>
      <w:r w:rsidRPr="0042498F">
        <w:t>Allowable portions of the orbital arc between 37.2°</w:t>
      </w:r>
      <w:r w:rsidRPr="0042498F">
        <w:rPr>
          <w:rFonts w:ascii="Symbol" w:hAnsi="Symbol"/>
        </w:rPr>
        <w:t></w:t>
      </w:r>
      <w:r w:rsidRPr="0042498F">
        <w:t xml:space="preserve">W and 10° E for new or modified </w:t>
      </w:r>
      <w:r w:rsidRPr="0042498F">
        <w:br/>
        <w:t>assignments in the Regions 1 and 3 Plan and List</w:t>
      </w:r>
    </w:p>
    <w:tbl>
      <w:tblPr>
        <w:tblW w:w="97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79"/>
        <w:gridCol w:w="876"/>
        <w:gridCol w:w="962"/>
        <w:gridCol w:w="824"/>
        <w:gridCol w:w="825"/>
        <w:gridCol w:w="824"/>
        <w:gridCol w:w="781"/>
        <w:gridCol w:w="732"/>
        <w:gridCol w:w="825"/>
        <w:gridCol w:w="689"/>
        <w:gridCol w:w="824"/>
        <w:gridCol w:w="689"/>
      </w:tblGrid>
      <w:tr w:rsidR="001962A2" w:rsidRPr="0042498F" w:rsidTr="00130FDA">
        <w:tc>
          <w:tcPr>
            <w:tcW w:w="879" w:type="dxa"/>
            <w:vAlign w:val="center"/>
          </w:tcPr>
          <w:p w:rsidR="001962A2" w:rsidRPr="0042498F" w:rsidRDefault="00CB134E" w:rsidP="00130FDA">
            <w:pPr>
              <w:pStyle w:val="Tablelegend"/>
              <w:spacing w:after="120"/>
              <w:ind w:left="-57" w:right="-57"/>
              <w:jc w:val="center"/>
              <w:rPr>
                <w:b/>
                <w:bCs/>
              </w:rPr>
            </w:pPr>
            <w:r w:rsidRPr="0042498F">
              <w:rPr>
                <w:b/>
              </w:rPr>
              <w:t>Orbital position</w:t>
            </w:r>
          </w:p>
        </w:tc>
        <w:tc>
          <w:tcPr>
            <w:tcW w:w="876" w:type="dxa"/>
            <w:vAlign w:val="center"/>
          </w:tcPr>
          <w:p w:rsidR="001962A2" w:rsidRPr="0042498F" w:rsidRDefault="00CB134E" w:rsidP="00130FDA">
            <w:pPr>
              <w:pStyle w:val="Tabletext"/>
              <w:ind w:left="-57" w:right="-57"/>
              <w:jc w:val="center"/>
            </w:pPr>
            <w:r w:rsidRPr="0042498F">
              <w:t>37.2° W to</w:t>
            </w:r>
            <w:r w:rsidRPr="0042498F">
              <w:br/>
              <w:t>36° W</w:t>
            </w:r>
          </w:p>
        </w:tc>
        <w:tc>
          <w:tcPr>
            <w:tcW w:w="962" w:type="dxa"/>
            <w:vAlign w:val="center"/>
          </w:tcPr>
          <w:p w:rsidR="001962A2" w:rsidRPr="0042498F" w:rsidRDefault="00CB134E" w:rsidP="00130FDA">
            <w:pPr>
              <w:pStyle w:val="Tabletext"/>
              <w:jc w:val="center"/>
            </w:pPr>
            <w:r w:rsidRPr="0042498F">
              <w:t>33.5°W</w:t>
            </w:r>
            <w:r w:rsidRPr="0042498F">
              <w:br/>
              <w:t>to</w:t>
            </w:r>
            <w:r w:rsidRPr="0042498F">
              <w:br/>
              <w:t>32.5° W</w:t>
            </w:r>
          </w:p>
        </w:tc>
        <w:tc>
          <w:tcPr>
            <w:tcW w:w="824" w:type="dxa"/>
            <w:vAlign w:val="center"/>
          </w:tcPr>
          <w:p w:rsidR="001962A2" w:rsidRPr="0042498F" w:rsidRDefault="00CB134E" w:rsidP="00130FDA">
            <w:pPr>
              <w:pStyle w:val="Tabletext"/>
              <w:jc w:val="center"/>
            </w:pPr>
            <w:r w:rsidRPr="0042498F">
              <w:t>30° W</w:t>
            </w:r>
            <w:r w:rsidRPr="0042498F">
              <w:br/>
              <w:t>to</w:t>
            </w:r>
            <w:r w:rsidRPr="0042498F">
              <w:br/>
              <w:t>29° W</w:t>
            </w:r>
          </w:p>
        </w:tc>
        <w:tc>
          <w:tcPr>
            <w:tcW w:w="825" w:type="dxa"/>
            <w:vAlign w:val="center"/>
          </w:tcPr>
          <w:p w:rsidR="001962A2" w:rsidRPr="0042498F" w:rsidRDefault="00CB134E" w:rsidP="00130FDA">
            <w:pPr>
              <w:pStyle w:val="Tabletext"/>
              <w:jc w:val="center"/>
            </w:pPr>
            <w:r w:rsidRPr="0042498F">
              <w:t>26° W</w:t>
            </w:r>
            <w:r w:rsidRPr="0042498F">
              <w:br/>
              <w:t>to</w:t>
            </w:r>
            <w:r w:rsidRPr="0042498F">
              <w:br/>
              <w:t>24° W</w:t>
            </w:r>
          </w:p>
        </w:tc>
        <w:tc>
          <w:tcPr>
            <w:tcW w:w="824" w:type="dxa"/>
            <w:vAlign w:val="center"/>
          </w:tcPr>
          <w:p w:rsidR="001962A2" w:rsidRPr="0042498F" w:rsidRDefault="00CB134E" w:rsidP="00130FDA">
            <w:pPr>
              <w:pStyle w:val="Tabletext"/>
              <w:jc w:val="center"/>
            </w:pPr>
            <w:r w:rsidRPr="0042498F">
              <w:t>20° W</w:t>
            </w:r>
            <w:r w:rsidRPr="0042498F">
              <w:br/>
              <w:t>to</w:t>
            </w:r>
            <w:r w:rsidRPr="0042498F">
              <w:br/>
              <w:t>18° W</w:t>
            </w:r>
          </w:p>
        </w:tc>
        <w:tc>
          <w:tcPr>
            <w:tcW w:w="781" w:type="dxa"/>
            <w:vAlign w:val="center"/>
          </w:tcPr>
          <w:p w:rsidR="001962A2" w:rsidRPr="0042498F" w:rsidRDefault="00CB134E" w:rsidP="00130FDA">
            <w:pPr>
              <w:pStyle w:val="Tabletext"/>
              <w:jc w:val="center"/>
            </w:pPr>
            <w:r w:rsidRPr="0042498F">
              <w:t xml:space="preserve">14° W </w:t>
            </w:r>
            <w:r w:rsidRPr="0042498F">
              <w:br/>
              <w:t>to</w:t>
            </w:r>
            <w:r w:rsidRPr="0042498F">
              <w:br/>
              <w:t>12° W</w:t>
            </w:r>
          </w:p>
        </w:tc>
        <w:tc>
          <w:tcPr>
            <w:tcW w:w="732" w:type="dxa"/>
            <w:vAlign w:val="center"/>
          </w:tcPr>
          <w:p w:rsidR="001962A2" w:rsidRPr="0042498F" w:rsidRDefault="00CB134E" w:rsidP="00130FDA">
            <w:pPr>
              <w:pStyle w:val="Tabletext"/>
              <w:jc w:val="center"/>
            </w:pPr>
            <w:r w:rsidRPr="0042498F">
              <w:t xml:space="preserve">8° W </w:t>
            </w:r>
            <w:r w:rsidRPr="0042498F">
              <w:br/>
              <w:t>to</w:t>
            </w:r>
            <w:r w:rsidRPr="0042498F">
              <w:br/>
              <w:t>6° W</w:t>
            </w:r>
          </w:p>
        </w:tc>
        <w:tc>
          <w:tcPr>
            <w:tcW w:w="825" w:type="dxa"/>
            <w:vAlign w:val="center"/>
          </w:tcPr>
          <w:p w:rsidR="001962A2" w:rsidRPr="0042498F" w:rsidRDefault="00CB134E" w:rsidP="00130FDA">
            <w:pPr>
              <w:pStyle w:val="Tabletext"/>
            </w:pPr>
            <w:r w:rsidRPr="0042498F">
              <w:t xml:space="preserve">4° W </w:t>
            </w:r>
            <w:r w:rsidRPr="0042498F">
              <w:rPr>
                <w:vertAlign w:val="superscript"/>
              </w:rPr>
              <w:t>1</w:t>
            </w:r>
          </w:p>
        </w:tc>
        <w:tc>
          <w:tcPr>
            <w:tcW w:w="689" w:type="dxa"/>
            <w:vAlign w:val="center"/>
          </w:tcPr>
          <w:p w:rsidR="001962A2" w:rsidRPr="0042498F" w:rsidRDefault="00CB134E" w:rsidP="00130FDA">
            <w:pPr>
              <w:pStyle w:val="Tabletext"/>
              <w:jc w:val="center"/>
            </w:pPr>
            <w:r w:rsidRPr="0042498F">
              <w:t>2° W to</w:t>
            </w:r>
            <w:r w:rsidRPr="0042498F">
              <w:br/>
              <w:t>0°</w:t>
            </w:r>
          </w:p>
        </w:tc>
        <w:tc>
          <w:tcPr>
            <w:tcW w:w="824" w:type="dxa"/>
            <w:vAlign w:val="center"/>
          </w:tcPr>
          <w:p w:rsidR="001962A2" w:rsidRPr="0042498F" w:rsidRDefault="00CB134E" w:rsidP="00130FDA">
            <w:pPr>
              <w:pStyle w:val="Tabletext"/>
              <w:jc w:val="center"/>
            </w:pPr>
            <w:r w:rsidRPr="0042498F">
              <w:t>4° E</w:t>
            </w:r>
            <w:r w:rsidRPr="0042498F">
              <w:br/>
              <w:t>to</w:t>
            </w:r>
            <w:r w:rsidRPr="0042498F">
              <w:br/>
              <w:t>6° E</w:t>
            </w:r>
          </w:p>
        </w:tc>
        <w:tc>
          <w:tcPr>
            <w:tcW w:w="689" w:type="dxa"/>
            <w:vAlign w:val="center"/>
          </w:tcPr>
          <w:p w:rsidR="001962A2" w:rsidRPr="0042498F" w:rsidRDefault="00CB134E" w:rsidP="00130FDA">
            <w:pPr>
              <w:pStyle w:val="Tabletext"/>
              <w:ind w:left="-57" w:right="-57"/>
              <w:jc w:val="center"/>
            </w:pPr>
            <w:r w:rsidRPr="0042498F">
              <w:t xml:space="preserve">9° E </w:t>
            </w:r>
            <w:r w:rsidRPr="0042498F">
              <w:rPr>
                <w:vertAlign w:val="superscript"/>
              </w:rPr>
              <w:t>1</w:t>
            </w:r>
          </w:p>
        </w:tc>
      </w:tr>
      <w:tr w:rsidR="001962A2" w:rsidRPr="0042498F" w:rsidTr="00130FDA">
        <w:tblPrEx>
          <w:tblBorders>
            <w:left w:val="none" w:sz="0" w:space="0" w:color="auto"/>
            <w:bottom w:val="none" w:sz="0" w:space="0" w:color="auto"/>
            <w:right w:val="none" w:sz="0" w:space="0" w:color="auto"/>
          </w:tblBorders>
        </w:tblPrEx>
        <w:tc>
          <w:tcPr>
            <w:tcW w:w="9730" w:type="dxa"/>
            <w:gridSpan w:val="12"/>
            <w:vAlign w:val="center"/>
          </w:tcPr>
          <w:p w:rsidR="001962A2" w:rsidRPr="0042498F" w:rsidRDefault="00CB134E" w:rsidP="00130FDA">
            <w:pPr>
              <w:pStyle w:val="Tablelegend"/>
              <w:ind w:left="199" w:hanging="284"/>
            </w:pPr>
            <w:r w:rsidRPr="0042498F">
              <w:rPr>
                <w:vertAlign w:val="superscript"/>
              </w:rPr>
              <w:t>1</w:t>
            </w:r>
            <w:r w:rsidRPr="0042498F">
              <w:tab/>
              <w:t>Proposed new or modified assignments in the List which involve this orbital position shall not exceed the power flux-density limit −138 dB(W/(m</w:t>
            </w:r>
            <w:r w:rsidRPr="0042498F">
              <w:rPr>
                <w:vertAlign w:val="superscript"/>
              </w:rPr>
              <w:t>2</w:t>
            </w:r>
            <w:r w:rsidRPr="0042498F">
              <w:t> · 27 MHz)) at any point in Region 2.</w:t>
            </w:r>
          </w:p>
        </w:tc>
      </w:tr>
    </w:tbl>
    <w:p w:rsidR="00684A95" w:rsidRDefault="00684A95"/>
    <w:p w:rsidR="00684A95" w:rsidRDefault="00CB134E">
      <w:pPr>
        <w:pStyle w:val="Reasons"/>
      </w:pPr>
      <w:r>
        <w:rPr>
          <w:b/>
        </w:rPr>
        <w:t>Reasons:</w:t>
      </w:r>
      <w:r>
        <w:tab/>
      </w:r>
      <w:r w:rsidR="002F64C2" w:rsidRPr="002F64C2">
        <w:t>To remove the reference to the orbital position limitation within the orbital arc of the geostationary-satellite orbit between 37.2° W and 10° E that was deleted further to the studies under WRC-19 agenda item 1.4 (limitation A3a).</w:t>
      </w:r>
    </w:p>
    <w:p w:rsidR="00684A95" w:rsidRDefault="00CB134E">
      <w:pPr>
        <w:pStyle w:val="Proposal"/>
      </w:pPr>
      <w:r>
        <w:t>SUP</w:t>
      </w:r>
      <w:r>
        <w:tab/>
        <w:t>RCC/12A4/8</w:t>
      </w:r>
      <w:r>
        <w:rPr>
          <w:vanish/>
          <w:color w:val="7F7F7F" w:themeColor="text1" w:themeTint="80"/>
          <w:vertAlign w:val="superscript"/>
        </w:rPr>
        <w:t>#49979</w:t>
      </w:r>
    </w:p>
    <w:p w:rsidR="001962A2" w:rsidRPr="0042498F" w:rsidRDefault="00CB134E" w:rsidP="00130FDA">
      <w:pPr>
        <w:pStyle w:val="TableNo"/>
      </w:pPr>
      <w:r w:rsidRPr="0042498F">
        <w:t>TABLE 2</w:t>
      </w:r>
    </w:p>
    <w:p w:rsidR="001962A2" w:rsidRPr="0042498F" w:rsidRDefault="00CB134E" w:rsidP="00130FDA">
      <w:pPr>
        <w:pStyle w:val="Tabletitle"/>
      </w:pPr>
      <w:r w:rsidRPr="0042498F">
        <w:t xml:space="preserve">Nominal positions in the orbital arc between 37.2° W and 10° E at which the </w:t>
      </w:r>
      <w:r w:rsidRPr="0042498F">
        <w:br/>
        <w:t>e.i.r.p. may exceed the limit of 56 dBW</w:t>
      </w:r>
    </w:p>
    <w:tbl>
      <w:tblPr>
        <w:tblW w:w="97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79"/>
        <w:gridCol w:w="876"/>
        <w:gridCol w:w="962"/>
        <w:gridCol w:w="824"/>
        <w:gridCol w:w="825"/>
        <w:gridCol w:w="824"/>
        <w:gridCol w:w="781"/>
        <w:gridCol w:w="732"/>
        <w:gridCol w:w="825"/>
        <w:gridCol w:w="689"/>
        <w:gridCol w:w="824"/>
        <w:gridCol w:w="689"/>
      </w:tblGrid>
      <w:tr w:rsidR="001962A2" w:rsidRPr="0042498F" w:rsidTr="00130FDA">
        <w:tc>
          <w:tcPr>
            <w:tcW w:w="879" w:type="dxa"/>
            <w:vAlign w:val="center"/>
          </w:tcPr>
          <w:p w:rsidR="001962A2" w:rsidRPr="0042498F" w:rsidRDefault="00CB134E" w:rsidP="00130FDA">
            <w:pPr>
              <w:pStyle w:val="Tablelegend"/>
              <w:spacing w:after="120"/>
              <w:ind w:left="-57" w:right="-57"/>
              <w:jc w:val="center"/>
              <w:rPr>
                <w:b/>
                <w:bCs/>
              </w:rPr>
            </w:pPr>
            <w:r w:rsidRPr="0042498F">
              <w:rPr>
                <w:b/>
              </w:rPr>
              <w:t>Orbital position</w:t>
            </w:r>
          </w:p>
        </w:tc>
        <w:tc>
          <w:tcPr>
            <w:tcW w:w="876" w:type="dxa"/>
            <w:vAlign w:val="center"/>
          </w:tcPr>
          <w:p w:rsidR="001962A2" w:rsidRPr="0042498F" w:rsidRDefault="00CB134E" w:rsidP="00130FDA">
            <w:pPr>
              <w:pStyle w:val="Tabletext"/>
              <w:jc w:val="center"/>
            </w:pPr>
            <w:r w:rsidRPr="0042498F">
              <w:t>37° W</w:t>
            </w:r>
            <w:r w:rsidRPr="0042498F">
              <w:br/>
            </w:r>
            <w:r w:rsidRPr="0042498F">
              <w:sym w:font="Symbol" w:char="F0B1"/>
            </w:r>
            <w:r w:rsidRPr="0042498F">
              <w:rPr>
                <w:rFonts w:ascii="Tms Rmn" w:hAnsi="Tms Rmn"/>
                <w:sz w:val="12"/>
              </w:rPr>
              <w:t> </w:t>
            </w:r>
            <w:r w:rsidRPr="0042498F">
              <w:t>0.2°</w:t>
            </w:r>
          </w:p>
        </w:tc>
        <w:tc>
          <w:tcPr>
            <w:tcW w:w="962" w:type="dxa"/>
            <w:vAlign w:val="center"/>
          </w:tcPr>
          <w:p w:rsidR="001962A2" w:rsidRPr="0042498F" w:rsidRDefault="00CB134E" w:rsidP="00130FDA">
            <w:pPr>
              <w:pStyle w:val="Tabletext"/>
              <w:jc w:val="center"/>
            </w:pPr>
            <w:r w:rsidRPr="0042498F">
              <w:t>33.5° W</w:t>
            </w:r>
          </w:p>
        </w:tc>
        <w:tc>
          <w:tcPr>
            <w:tcW w:w="824" w:type="dxa"/>
            <w:vAlign w:val="center"/>
          </w:tcPr>
          <w:p w:rsidR="001962A2" w:rsidRPr="0042498F" w:rsidRDefault="00CB134E" w:rsidP="00130FDA">
            <w:pPr>
              <w:pStyle w:val="Tabletext"/>
              <w:jc w:val="center"/>
            </w:pPr>
            <w:r w:rsidRPr="0042498F">
              <w:t>30° W</w:t>
            </w:r>
          </w:p>
        </w:tc>
        <w:tc>
          <w:tcPr>
            <w:tcW w:w="825" w:type="dxa"/>
            <w:vAlign w:val="center"/>
          </w:tcPr>
          <w:p w:rsidR="001962A2" w:rsidRPr="0042498F" w:rsidRDefault="00CB134E" w:rsidP="00130FDA">
            <w:pPr>
              <w:pStyle w:val="Tabletext"/>
              <w:jc w:val="center"/>
            </w:pPr>
            <w:r w:rsidRPr="0042498F">
              <w:t xml:space="preserve">25° W </w:t>
            </w:r>
            <w:r w:rsidRPr="0042498F">
              <w:rPr>
                <w:rFonts w:ascii="Symbol" w:hAnsi="Symbol"/>
              </w:rPr>
              <w:sym w:font="Symbol" w:char="F0B1"/>
            </w:r>
            <w:r w:rsidRPr="0042498F">
              <w:rPr>
                <w:rFonts w:ascii="Tms Rmn" w:hAnsi="Tms Rmn"/>
                <w:sz w:val="12"/>
              </w:rPr>
              <w:t> </w:t>
            </w:r>
            <w:r w:rsidRPr="0042498F">
              <w:t>0.2°</w:t>
            </w:r>
          </w:p>
        </w:tc>
        <w:tc>
          <w:tcPr>
            <w:tcW w:w="824" w:type="dxa"/>
            <w:vAlign w:val="center"/>
          </w:tcPr>
          <w:p w:rsidR="001962A2" w:rsidRPr="0042498F" w:rsidRDefault="00CB134E" w:rsidP="00130FDA">
            <w:pPr>
              <w:pStyle w:val="Tabletext"/>
              <w:jc w:val="center"/>
            </w:pPr>
            <w:r w:rsidRPr="0042498F">
              <w:t xml:space="preserve">19° W </w:t>
            </w:r>
            <w:r w:rsidRPr="0042498F">
              <w:rPr>
                <w:rFonts w:ascii="Symbol" w:hAnsi="Symbol"/>
              </w:rPr>
              <w:sym w:font="Symbol" w:char="F0B1"/>
            </w:r>
            <w:r w:rsidRPr="0042498F">
              <w:rPr>
                <w:rFonts w:ascii="Tms Rmn" w:hAnsi="Tms Rmn"/>
                <w:sz w:val="12"/>
              </w:rPr>
              <w:t> </w:t>
            </w:r>
            <w:r w:rsidRPr="0042498F">
              <w:t>0.2°</w:t>
            </w:r>
          </w:p>
        </w:tc>
        <w:tc>
          <w:tcPr>
            <w:tcW w:w="781" w:type="dxa"/>
            <w:vAlign w:val="center"/>
          </w:tcPr>
          <w:p w:rsidR="001962A2" w:rsidRPr="0042498F" w:rsidRDefault="00CB134E" w:rsidP="00130FDA">
            <w:pPr>
              <w:pStyle w:val="Tabletext"/>
              <w:jc w:val="center"/>
            </w:pPr>
            <w:r w:rsidRPr="0042498F">
              <w:t xml:space="preserve">13° W </w:t>
            </w:r>
            <w:r w:rsidRPr="0042498F">
              <w:rPr>
                <w:rFonts w:ascii="Symbol" w:hAnsi="Symbol"/>
              </w:rPr>
              <w:sym w:font="Symbol" w:char="F0B1"/>
            </w:r>
            <w:r w:rsidRPr="0042498F">
              <w:rPr>
                <w:rFonts w:ascii="Tms Rmn" w:hAnsi="Tms Rmn"/>
                <w:sz w:val="12"/>
              </w:rPr>
              <w:t> </w:t>
            </w:r>
            <w:r w:rsidRPr="0042498F">
              <w:t>0.2°</w:t>
            </w:r>
          </w:p>
        </w:tc>
        <w:tc>
          <w:tcPr>
            <w:tcW w:w="732" w:type="dxa"/>
            <w:vAlign w:val="center"/>
          </w:tcPr>
          <w:p w:rsidR="001962A2" w:rsidRPr="0042498F" w:rsidRDefault="00CB134E" w:rsidP="00130FDA">
            <w:pPr>
              <w:pStyle w:val="Tabletext"/>
              <w:jc w:val="center"/>
            </w:pPr>
            <w:r w:rsidRPr="0042498F">
              <w:t xml:space="preserve">7° W </w:t>
            </w:r>
            <w:r w:rsidRPr="0042498F">
              <w:rPr>
                <w:rFonts w:ascii="Symbol" w:hAnsi="Symbol"/>
              </w:rPr>
              <w:sym w:font="Symbol" w:char="F0B1"/>
            </w:r>
            <w:r w:rsidRPr="0042498F">
              <w:rPr>
                <w:rFonts w:ascii="Tms Rmn" w:hAnsi="Tms Rmn"/>
                <w:sz w:val="12"/>
              </w:rPr>
              <w:t> </w:t>
            </w:r>
            <w:r w:rsidRPr="0042498F">
              <w:t>0.2°</w:t>
            </w:r>
          </w:p>
        </w:tc>
        <w:tc>
          <w:tcPr>
            <w:tcW w:w="825" w:type="dxa"/>
            <w:vAlign w:val="center"/>
          </w:tcPr>
          <w:p w:rsidR="001962A2" w:rsidRPr="0042498F" w:rsidRDefault="00CB134E" w:rsidP="00130FDA">
            <w:pPr>
              <w:pStyle w:val="Tabletext"/>
            </w:pPr>
            <w:r w:rsidRPr="0042498F">
              <w:t xml:space="preserve">4° W </w:t>
            </w:r>
            <w:r w:rsidRPr="0042498F">
              <w:rPr>
                <w:vertAlign w:val="superscript"/>
              </w:rPr>
              <w:t>1</w:t>
            </w:r>
          </w:p>
        </w:tc>
        <w:tc>
          <w:tcPr>
            <w:tcW w:w="689" w:type="dxa"/>
            <w:vAlign w:val="center"/>
          </w:tcPr>
          <w:p w:rsidR="001962A2" w:rsidRPr="0042498F" w:rsidRDefault="00CB134E" w:rsidP="00130FDA">
            <w:pPr>
              <w:pStyle w:val="Tabletext"/>
              <w:jc w:val="center"/>
            </w:pPr>
            <w:r w:rsidRPr="0042498F">
              <w:t xml:space="preserve">1° W </w:t>
            </w:r>
            <w:r w:rsidRPr="0042498F">
              <w:rPr>
                <w:rFonts w:ascii="Symbol" w:hAnsi="Symbol"/>
              </w:rPr>
              <w:sym w:font="Symbol" w:char="F0B1"/>
            </w:r>
            <w:r w:rsidRPr="0042498F">
              <w:rPr>
                <w:rFonts w:ascii="Tms Rmn" w:hAnsi="Tms Rmn"/>
                <w:sz w:val="12"/>
              </w:rPr>
              <w:t> </w:t>
            </w:r>
            <w:r w:rsidRPr="0042498F">
              <w:t>0.2°</w:t>
            </w:r>
          </w:p>
        </w:tc>
        <w:tc>
          <w:tcPr>
            <w:tcW w:w="824" w:type="dxa"/>
            <w:vAlign w:val="center"/>
          </w:tcPr>
          <w:p w:rsidR="001962A2" w:rsidRPr="0042498F" w:rsidRDefault="00CB134E" w:rsidP="00130FDA">
            <w:pPr>
              <w:pStyle w:val="Tabletext"/>
              <w:jc w:val="center"/>
            </w:pPr>
            <w:r w:rsidRPr="0042498F">
              <w:t xml:space="preserve">5° E </w:t>
            </w:r>
            <w:r w:rsidRPr="0042498F">
              <w:rPr>
                <w:rFonts w:ascii="Symbol" w:hAnsi="Symbol"/>
              </w:rPr>
              <w:sym w:font="Symbol" w:char="F0B1"/>
            </w:r>
            <w:r w:rsidRPr="0042498F">
              <w:rPr>
                <w:rFonts w:ascii="Tms Rmn" w:hAnsi="Tms Rmn"/>
                <w:sz w:val="12"/>
              </w:rPr>
              <w:t> </w:t>
            </w:r>
            <w:r w:rsidRPr="0042498F">
              <w:t>0.2°</w:t>
            </w:r>
          </w:p>
        </w:tc>
        <w:tc>
          <w:tcPr>
            <w:tcW w:w="689" w:type="dxa"/>
            <w:vAlign w:val="center"/>
          </w:tcPr>
          <w:p w:rsidR="001962A2" w:rsidRPr="0042498F" w:rsidRDefault="00CB134E" w:rsidP="00130FDA">
            <w:pPr>
              <w:pStyle w:val="Tabletext"/>
              <w:ind w:left="-57" w:right="-57"/>
              <w:jc w:val="center"/>
            </w:pPr>
            <w:r w:rsidRPr="0042498F">
              <w:t xml:space="preserve">9° E </w:t>
            </w:r>
            <w:r w:rsidRPr="0042498F">
              <w:rPr>
                <w:vertAlign w:val="superscript"/>
              </w:rPr>
              <w:t>1</w:t>
            </w:r>
          </w:p>
        </w:tc>
      </w:tr>
      <w:tr w:rsidR="001962A2" w:rsidRPr="0042498F" w:rsidTr="00130FDA">
        <w:tblPrEx>
          <w:tblBorders>
            <w:left w:val="none" w:sz="0" w:space="0" w:color="auto"/>
            <w:bottom w:val="none" w:sz="0" w:space="0" w:color="auto"/>
            <w:right w:val="none" w:sz="0" w:space="0" w:color="auto"/>
          </w:tblBorders>
        </w:tblPrEx>
        <w:tc>
          <w:tcPr>
            <w:tcW w:w="9730" w:type="dxa"/>
            <w:gridSpan w:val="12"/>
            <w:vAlign w:val="center"/>
          </w:tcPr>
          <w:p w:rsidR="001962A2" w:rsidRPr="0042498F" w:rsidRDefault="00CB134E" w:rsidP="00130FDA">
            <w:pPr>
              <w:pStyle w:val="Tablelegend"/>
              <w:ind w:left="199" w:hanging="284"/>
            </w:pPr>
            <w:r w:rsidRPr="0042498F">
              <w:rPr>
                <w:vertAlign w:val="superscript"/>
              </w:rPr>
              <w:t>1</w:t>
            </w:r>
            <w:r w:rsidRPr="0042498F">
              <w:tab/>
              <w:t>Proposed new or modified assignments in the List which involve this orbital position shall not exceed the power flux-density limit −138 dB(W/(m</w:t>
            </w:r>
            <w:r w:rsidRPr="0042498F">
              <w:rPr>
                <w:position w:val="6"/>
                <w:sz w:val="16"/>
              </w:rPr>
              <w:t>2</w:t>
            </w:r>
            <w:r w:rsidRPr="0042498F">
              <w:t> · 27 MHz)) at any point in Region 2.</w:t>
            </w:r>
          </w:p>
        </w:tc>
      </w:tr>
    </w:tbl>
    <w:p w:rsidR="00684A95" w:rsidRDefault="00684A95"/>
    <w:p w:rsidR="00684A95" w:rsidRDefault="00CB134E">
      <w:pPr>
        <w:pStyle w:val="Reasons"/>
      </w:pPr>
      <w:r>
        <w:rPr>
          <w:b/>
        </w:rPr>
        <w:lastRenderedPageBreak/>
        <w:t>Reasons:</w:t>
      </w:r>
      <w:r>
        <w:tab/>
      </w:r>
      <w:r w:rsidR="002F64C2" w:rsidRPr="002F64C2">
        <w:t>To remove the reference to the nominal positions in the orbital arc of the geostationary orbit between 37.2° W and 10° E at which the e.i.r.p. may exceed the limit of 56 dBW, which is no longer necessary following the deletion of all limitations in this orbital arc (limitations A3a, A3b and A3c).</w:t>
      </w:r>
    </w:p>
    <w:p w:rsidR="00684A95" w:rsidRDefault="00CB134E">
      <w:pPr>
        <w:pStyle w:val="Proposal"/>
      </w:pPr>
      <w:r>
        <w:rPr>
          <w:u w:val="single"/>
        </w:rPr>
        <w:t>NOC</w:t>
      </w:r>
      <w:r>
        <w:tab/>
        <w:t>RCC/12A4/9</w:t>
      </w:r>
      <w:r>
        <w:rPr>
          <w:vanish/>
          <w:color w:val="7F7F7F" w:themeColor="text1" w:themeTint="80"/>
          <w:vertAlign w:val="superscript"/>
        </w:rPr>
        <w:t>#49980</w:t>
      </w:r>
    </w:p>
    <w:p w:rsidR="001962A2" w:rsidRPr="0042498F" w:rsidRDefault="00CB134E" w:rsidP="00130FDA">
      <w:pPr>
        <w:pStyle w:val="Normalaftertitle0"/>
      </w:pPr>
      <w:r w:rsidRPr="0042498F">
        <w:rPr>
          <w:rStyle w:val="Provsplit"/>
        </w:rPr>
        <w:t>B</w:t>
      </w:r>
      <w:r w:rsidRPr="0042498F">
        <w:tab/>
        <w:t>The Region 2 Plan is based on the grouping of the space stations in nominal orbital positions of ±0.2° from the centre of the cluster of satellites. Administrations may locate those satellites within a cluster at any orbital position within that cluster, provided they obtain the agreement of administrations having assignments to space stations in the same cluster. (See § 4.13.1 of Annex 3 to Appendix </w:t>
      </w:r>
      <w:r w:rsidRPr="0042498F">
        <w:rPr>
          <w:rStyle w:val="Appref"/>
          <w:b/>
        </w:rPr>
        <w:t>30A</w:t>
      </w:r>
      <w:r w:rsidRPr="0042498F">
        <w:t>.)</w:t>
      </w:r>
    </w:p>
    <w:p w:rsidR="00684A95" w:rsidRDefault="00684A95">
      <w:pPr>
        <w:pStyle w:val="Reasons"/>
      </w:pPr>
    </w:p>
    <w:p w:rsidR="00684A95" w:rsidRDefault="00CB134E">
      <w:pPr>
        <w:pStyle w:val="Proposal"/>
      </w:pPr>
      <w:r>
        <w:t>ADD</w:t>
      </w:r>
      <w:r>
        <w:tab/>
        <w:t>RCC/12A4/10</w:t>
      </w:r>
      <w:r>
        <w:rPr>
          <w:vanish/>
          <w:color w:val="7F7F7F" w:themeColor="text1" w:themeTint="80"/>
          <w:vertAlign w:val="superscript"/>
        </w:rPr>
        <w:t>#49981</w:t>
      </w:r>
    </w:p>
    <w:p w:rsidR="002F64C2" w:rsidRPr="002F64C2" w:rsidRDefault="002F64C2" w:rsidP="002F64C2">
      <w:pPr>
        <w:keepNext/>
        <w:keepLines/>
        <w:spacing w:before="480"/>
        <w:jc w:val="center"/>
        <w:rPr>
          <w:caps/>
          <w:sz w:val="28"/>
        </w:rPr>
      </w:pPr>
      <w:r w:rsidRPr="002F64C2">
        <w:rPr>
          <w:caps/>
          <w:sz w:val="28"/>
        </w:rPr>
        <w:t>DRAFT NEW RESOLUTION [RCC/A14-LIMITA3]</w:t>
      </w:r>
      <w:r>
        <w:rPr>
          <w:caps/>
          <w:sz w:val="28"/>
        </w:rPr>
        <w:t xml:space="preserve"> (WRC-19)</w:t>
      </w:r>
    </w:p>
    <w:p w:rsidR="002F64C2" w:rsidRPr="002F64C2" w:rsidRDefault="002F64C2" w:rsidP="002F64C2">
      <w:pPr>
        <w:keepNext/>
        <w:keepLines/>
        <w:spacing w:before="240"/>
        <w:jc w:val="center"/>
        <w:rPr>
          <w:rFonts w:ascii="Times New Roman Bold" w:hAnsi="Times New Roman Bold"/>
          <w:b/>
          <w:sz w:val="28"/>
        </w:rPr>
      </w:pPr>
      <w:r w:rsidRPr="002F64C2">
        <w:rPr>
          <w:rFonts w:ascii="Times New Roman Bold" w:hAnsi="Times New Roman Bold"/>
          <w:b/>
          <w:sz w:val="28"/>
        </w:rPr>
        <w:t>Protection of implemented BSS networks in the orbital arc of the geostationary</w:t>
      </w:r>
      <w:r w:rsidRPr="002F64C2">
        <w:rPr>
          <w:rFonts w:ascii="Times New Roman Bold" w:hAnsi="Times New Roman Bold"/>
          <w:b/>
          <w:sz w:val="28"/>
        </w:rPr>
        <w:noBreakHyphen/>
        <w:t>satellite orbit between 37.2° W and 10° E</w:t>
      </w:r>
      <w:r w:rsidRPr="002F64C2">
        <w:rPr>
          <w:rFonts w:ascii="Times New Roman Bold" w:hAnsi="Times New Roman Bold"/>
          <w:b/>
          <w:sz w:val="28"/>
        </w:rPr>
        <w:br/>
        <w:t>in the frequency band 11.7-12.2 GHz</w:t>
      </w:r>
    </w:p>
    <w:p w:rsidR="002F64C2" w:rsidRPr="002F64C2" w:rsidRDefault="002F64C2" w:rsidP="002F64C2">
      <w:pPr>
        <w:keepNext/>
        <w:keepLines/>
        <w:spacing w:before="280"/>
      </w:pPr>
      <w:r w:rsidRPr="002F64C2">
        <w:t>The World Radiocommunication Conference (Sharm el-Sheikh, 2019),</w:t>
      </w:r>
    </w:p>
    <w:p w:rsidR="002F64C2" w:rsidRPr="002F64C2" w:rsidRDefault="002F64C2" w:rsidP="002F64C2">
      <w:pPr>
        <w:keepNext/>
        <w:keepLines/>
        <w:spacing w:before="160"/>
        <w:ind w:left="1134"/>
        <w:rPr>
          <w:i/>
        </w:rPr>
      </w:pPr>
      <w:r w:rsidRPr="002F64C2">
        <w:rPr>
          <w:i/>
        </w:rPr>
        <w:t>considering</w:t>
      </w:r>
    </w:p>
    <w:p w:rsidR="002F64C2" w:rsidRPr="002F64C2" w:rsidRDefault="002F64C2" w:rsidP="002F64C2">
      <w:r w:rsidRPr="002F64C2">
        <w:rPr>
          <w:i/>
          <w:iCs/>
        </w:rPr>
        <w:t>a)</w:t>
      </w:r>
      <w:r w:rsidRPr="002F64C2">
        <w:rPr>
          <w:i/>
          <w:iCs/>
        </w:rPr>
        <w:tab/>
      </w:r>
      <w:r w:rsidRPr="002F64C2">
        <w:t>that the provisions applying to the broadcasting-satellite service (BSS) in the frequency bands 11.7-12.5 GHz in Region 1, 12.2-12.7 GHz in Region 2 and 11.7-12.2 GHz in Region 3 are contained in Appendix </w:t>
      </w:r>
      <w:r w:rsidRPr="002F64C2">
        <w:rPr>
          <w:b/>
        </w:rPr>
        <w:t>30</w:t>
      </w:r>
      <w:r w:rsidRPr="002F64C2">
        <w:t>;</w:t>
      </w:r>
    </w:p>
    <w:p w:rsidR="002F64C2" w:rsidRPr="002F64C2" w:rsidRDefault="002F64C2" w:rsidP="002F64C2">
      <w:pPr>
        <w:rPr>
          <w:iCs/>
        </w:rPr>
      </w:pPr>
      <w:r w:rsidRPr="002F64C2">
        <w:rPr>
          <w:i/>
        </w:rPr>
        <w:t>b)</w:t>
      </w:r>
      <w:r w:rsidRPr="002F64C2">
        <w:rPr>
          <w:i/>
        </w:rPr>
        <w:tab/>
      </w:r>
      <w:r w:rsidRPr="002F64C2">
        <w:t>that systems in the fixed-satellite service (FSS) and the broadcasting-satellite service share the frequency band 11.7-12.2 GHz</w:t>
      </w:r>
      <w:r w:rsidRPr="002F64C2">
        <w:rPr>
          <w:iCs/>
        </w:rPr>
        <w:t>;</w:t>
      </w:r>
    </w:p>
    <w:p w:rsidR="002F64C2" w:rsidRPr="002F64C2" w:rsidRDefault="002F64C2" w:rsidP="002F64C2">
      <w:pPr>
        <w:rPr>
          <w:szCs w:val="24"/>
        </w:rPr>
      </w:pPr>
      <w:r w:rsidRPr="002F64C2">
        <w:rPr>
          <w:i/>
        </w:rPr>
        <w:t>c)</w:t>
      </w:r>
      <w:r w:rsidRPr="002F64C2">
        <w:rPr>
          <w:i/>
        </w:rPr>
        <w:tab/>
      </w:r>
      <w:r w:rsidRPr="002F64C2">
        <w:t>that WRC</w:t>
      </w:r>
      <w:r w:rsidRPr="002F64C2">
        <w:noBreakHyphen/>
        <w:t>19 suppressed the limitation in Section 3 Annex </w:t>
      </w:r>
      <w:r w:rsidRPr="002F64C2">
        <w:rPr>
          <w:bCs/>
        </w:rPr>
        <w:t>7</w:t>
      </w:r>
      <w:r w:rsidRPr="002F64C2">
        <w:t xml:space="preserve"> to Appendix </w:t>
      </w:r>
      <w:r w:rsidRPr="002F64C2">
        <w:rPr>
          <w:b/>
        </w:rPr>
        <w:t>30 (Rev.WRC</w:t>
      </w:r>
      <w:r w:rsidRPr="002F64C2">
        <w:rPr>
          <w:b/>
        </w:rPr>
        <w:noBreakHyphen/>
        <w:t xml:space="preserve">15) </w:t>
      </w:r>
      <w:r w:rsidRPr="002F64C2">
        <w:t>which determined a</w:t>
      </w:r>
      <w:r w:rsidRPr="002F64C2">
        <w:rPr>
          <w:bCs/>
          <w:szCs w:val="24"/>
          <w:lang w:eastAsia="zh-CN"/>
        </w:rPr>
        <w:t xml:space="preserve">llowable portions of the orbital arc between 37.2° W and 10° E for new or modified assignments </w:t>
      </w:r>
      <w:r w:rsidRPr="002F64C2">
        <w:t>in the frequency band 11.7-12.2</w:t>
      </w:r>
      <w:r w:rsidRPr="002F64C2">
        <w:rPr>
          <w:bCs/>
          <w:szCs w:val="24"/>
          <w:lang w:eastAsia="zh-CN"/>
        </w:rPr>
        <w:t> </w:t>
      </w:r>
      <w:r w:rsidRPr="002F64C2">
        <w:t xml:space="preserve">GHz </w:t>
      </w:r>
      <w:r w:rsidRPr="002F64C2">
        <w:rPr>
          <w:bCs/>
          <w:szCs w:val="24"/>
          <w:lang w:eastAsia="zh-CN"/>
        </w:rPr>
        <w:t>in the Regions 1 and 3 List;</w:t>
      </w:r>
    </w:p>
    <w:p w:rsidR="002F64C2" w:rsidRPr="002F64C2" w:rsidRDefault="002F64C2" w:rsidP="002F64C2">
      <w:pPr>
        <w:rPr>
          <w:rFonts w:ascii="TimesNewRomanPSMT" w:hAnsi="TimesNewRomanPSMT" w:cs="TimesNewRomanPSMT"/>
          <w:szCs w:val="24"/>
          <w:lang w:eastAsia="zh-CN"/>
        </w:rPr>
      </w:pPr>
      <w:r w:rsidRPr="002F64C2">
        <w:rPr>
          <w:i/>
          <w:iCs/>
        </w:rPr>
        <w:t>d)</w:t>
      </w:r>
      <w:r w:rsidRPr="002F64C2">
        <w:rPr>
          <w:iCs/>
        </w:rPr>
        <w:tab/>
        <w:t>that Section</w:t>
      </w:r>
      <w:r w:rsidRPr="002F64C2">
        <w:rPr>
          <w:bCs/>
          <w:szCs w:val="24"/>
          <w:lang w:eastAsia="zh-CN"/>
        </w:rPr>
        <w:t> </w:t>
      </w:r>
      <w:r w:rsidRPr="002F64C2">
        <w:rPr>
          <w:iCs/>
        </w:rPr>
        <w:t>1 of Annex</w:t>
      </w:r>
      <w:r w:rsidRPr="002F64C2">
        <w:rPr>
          <w:bCs/>
          <w:szCs w:val="24"/>
          <w:lang w:eastAsia="zh-CN"/>
        </w:rPr>
        <w:t> </w:t>
      </w:r>
      <w:r w:rsidRPr="002F64C2">
        <w:rPr>
          <w:iCs/>
        </w:rPr>
        <w:t>1 to Appendix</w:t>
      </w:r>
      <w:r w:rsidRPr="002F64C2">
        <w:rPr>
          <w:bCs/>
          <w:szCs w:val="24"/>
          <w:lang w:eastAsia="zh-CN"/>
        </w:rPr>
        <w:t> </w:t>
      </w:r>
      <w:r w:rsidRPr="002F64C2">
        <w:rPr>
          <w:b/>
        </w:rPr>
        <w:t>30</w:t>
      </w:r>
      <w:r w:rsidRPr="002F64C2">
        <w:rPr>
          <w:iCs/>
        </w:rPr>
        <w:t xml:space="preserve"> </w:t>
      </w:r>
      <w:r w:rsidRPr="002F64C2">
        <w:rPr>
          <w:b/>
        </w:rPr>
        <w:t>(Rev.WRC</w:t>
      </w:r>
      <w:r w:rsidRPr="002F64C2">
        <w:rPr>
          <w:b/>
        </w:rPr>
        <w:noBreakHyphen/>
        <w:t xml:space="preserve">15) </w:t>
      </w:r>
      <w:r w:rsidRPr="002F64C2">
        <w:rPr>
          <w:iCs/>
        </w:rPr>
        <w:t>provides criteria used for determination of coordination requirements for frequency assignments of Regions 1 and 3 Plan and List;</w:t>
      </w:r>
    </w:p>
    <w:p w:rsidR="002F64C2" w:rsidRPr="002F64C2" w:rsidRDefault="002F64C2" w:rsidP="002F64C2">
      <w:pPr>
        <w:rPr>
          <w:iCs/>
        </w:rPr>
      </w:pPr>
      <w:r w:rsidRPr="002F64C2">
        <w:rPr>
          <w:rFonts w:ascii="TimesNewRomanPSMT" w:hAnsi="TimesNewRomanPSMT" w:cs="TimesNewRomanPSMT"/>
          <w:i/>
          <w:szCs w:val="24"/>
          <w:lang w:eastAsia="zh-CN"/>
        </w:rPr>
        <w:t>e)</w:t>
      </w:r>
      <w:r w:rsidRPr="002F64C2">
        <w:rPr>
          <w:rFonts w:ascii="TimesNewRomanPSMT" w:hAnsi="TimesNewRomanPSMT" w:cs="TimesNewRomanPSMT"/>
          <w:szCs w:val="24"/>
          <w:lang w:eastAsia="zh-CN"/>
        </w:rPr>
        <w:tab/>
        <w:t xml:space="preserve">that </w:t>
      </w:r>
      <w:r w:rsidRPr="002F64C2">
        <w:rPr>
          <w:iCs/>
        </w:rPr>
        <w:t>Section 1 of Annex 1 to Appendix </w:t>
      </w:r>
      <w:r w:rsidRPr="002F64C2">
        <w:rPr>
          <w:b/>
        </w:rPr>
        <w:t>30</w:t>
      </w:r>
      <w:r w:rsidRPr="002F64C2">
        <w:rPr>
          <w:b/>
          <w:iCs/>
        </w:rPr>
        <w:t xml:space="preserve"> </w:t>
      </w:r>
      <w:r w:rsidRPr="002F64C2">
        <w:rPr>
          <w:b/>
        </w:rPr>
        <w:t>(Rev.WRC</w:t>
      </w:r>
      <w:r w:rsidRPr="002F64C2">
        <w:rPr>
          <w:b/>
        </w:rPr>
        <w:noBreakHyphen/>
        <w:t>15)</w:t>
      </w:r>
      <w:r w:rsidRPr="002F64C2">
        <w:rPr>
          <w:iCs/>
        </w:rPr>
        <w:t xml:space="preserve"> pfd mask values are based on the parameters adopted by WRC</w:t>
      </w:r>
      <w:r w:rsidRPr="002F64C2">
        <w:rPr>
          <w:iCs/>
        </w:rPr>
        <w:noBreakHyphen/>
        <w:t>2000 based on the minimum earth station receiving antenna size of 60 cm;</w:t>
      </w:r>
    </w:p>
    <w:p w:rsidR="002F64C2" w:rsidRPr="002F64C2" w:rsidRDefault="002F64C2" w:rsidP="002F64C2">
      <w:r w:rsidRPr="002F64C2">
        <w:rPr>
          <w:i/>
        </w:rPr>
        <w:t>f)</w:t>
      </w:r>
      <w:r w:rsidRPr="002F64C2">
        <w:tab/>
      </w:r>
      <w:r w:rsidRPr="002F64C2">
        <w:rPr>
          <w:iCs/>
        </w:rPr>
        <w:t>that</w:t>
      </w:r>
      <w:r w:rsidRPr="002F64C2">
        <w:t xml:space="preserve"> the use of this frequency band by the BSS is subject to the coordination procedure of Article</w:t>
      </w:r>
      <w:r w:rsidRPr="002F64C2">
        <w:rPr>
          <w:b/>
          <w:bCs/>
        </w:rPr>
        <w:t> </w:t>
      </w:r>
      <w:r w:rsidRPr="002F64C2">
        <w:t>4 of Appendix </w:t>
      </w:r>
      <w:r w:rsidRPr="002F64C2">
        <w:rPr>
          <w:b/>
        </w:rPr>
        <w:t>30 (Rev.WRC</w:t>
      </w:r>
      <w:r w:rsidRPr="002F64C2">
        <w:rPr>
          <w:b/>
        </w:rPr>
        <w:noBreakHyphen/>
        <w:t>19)</w:t>
      </w:r>
      <w:r w:rsidRPr="002F64C2">
        <w:t>,</w:t>
      </w:r>
    </w:p>
    <w:p w:rsidR="002F64C2" w:rsidRPr="002F64C2" w:rsidRDefault="002F64C2" w:rsidP="002F64C2">
      <w:pPr>
        <w:keepNext/>
        <w:keepLines/>
        <w:spacing w:before="160"/>
        <w:ind w:left="1134"/>
        <w:rPr>
          <w:i/>
        </w:rPr>
      </w:pPr>
      <w:r w:rsidRPr="002F64C2">
        <w:rPr>
          <w:i/>
        </w:rPr>
        <w:t>noting</w:t>
      </w:r>
    </w:p>
    <w:p w:rsidR="002F64C2" w:rsidRPr="002F64C2" w:rsidRDefault="002F64C2" w:rsidP="002F64C2">
      <w:r w:rsidRPr="002F64C2">
        <w:rPr>
          <w:i/>
          <w:iCs/>
        </w:rPr>
        <w:t>a)</w:t>
      </w:r>
      <w:r w:rsidRPr="002F64C2">
        <w:tab/>
      </w:r>
      <w:r w:rsidRPr="002F64C2">
        <w:rPr>
          <w:rFonts w:eastAsiaTheme="minorHAnsi"/>
        </w:rPr>
        <w:t>that the ITU Radiocommunication Sector (ITU</w:t>
      </w:r>
      <w:r w:rsidRPr="002F64C2">
        <w:rPr>
          <w:rFonts w:eastAsiaTheme="minorHAnsi"/>
        </w:rPr>
        <w:noBreakHyphen/>
        <w:t>R) has carried out a significant amount of studies in preparation for conferences on BSS planning, and has developed a number of Reports and Recommendations;</w:t>
      </w:r>
    </w:p>
    <w:p w:rsidR="002F64C2" w:rsidRPr="002F64C2" w:rsidRDefault="002F64C2" w:rsidP="002F64C2">
      <w:pPr>
        <w:tabs>
          <w:tab w:val="clear" w:pos="1871"/>
          <w:tab w:val="clear" w:pos="2268"/>
        </w:tabs>
        <w:overflowPunct/>
        <w:textAlignment w:val="auto"/>
        <w:rPr>
          <w:szCs w:val="24"/>
          <w:lang w:eastAsia="zh-CN"/>
        </w:rPr>
      </w:pPr>
      <w:r w:rsidRPr="002F64C2">
        <w:rPr>
          <w:i/>
        </w:rPr>
        <w:lastRenderedPageBreak/>
        <w:t>b)</w:t>
      </w:r>
      <w:r w:rsidRPr="002F64C2">
        <w:tab/>
        <w:t xml:space="preserve">that </w:t>
      </w:r>
      <w:r w:rsidRPr="002F64C2">
        <w:rPr>
          <w:szCs w:val="24"/>
          <w:lang w:eastAsia="zh-CN"/>
        </w:rPr>
        <w:t>within the orbital arc of the geostationary-satellite orbit between 37.2° W and 10° E before WRC</w:t>
      </w:r>
      <w:r w:rsidRPr="002F64C2">
        <w:rPr>
          <w:szCs w:val="24"/>
          <w:lang w:eastAsia="zh-CN"/>
        </w:rPr>
        <w:noBreakHyphen/>
        <w:t>19 there were limitations on the use of some orbital positions for any proposed new or modified assignment in the Regions 1 and 3 List of additional uses in the frequency band 11.7</w:t>
      </w:r>
      <w:r w:rsidRPr="002F64C2">
        <w:rPr>
          <w:szCs w:val="24"/>
          <w:lang w:eastAsia="zh-CN"/>
        </w:rPr>
        <w:noBreakHyphen/>
        <w:t>12.2 GHz;</w:t>
      </w:r>
    </w:p>
    <w:p w:rsidR="002F64C2" w:rsidRPr="002F64C2" w:rsidRDefault="002F64C2" w:rsidP="002F64C2">
      <w:pPr>
        <w:tabs>
          <w:tab w:val="clear" w:pos="1871"/>
          <w:tab w:val="clear" w:pos="2268"/>
        </w:tabs>
        <w:overflowPunct/>
        <w:textAlignment w:val="auto"/>
        <w:rPr>
          <w:szCs w:val="24"/>
          <w:lang w:eastAsia="zh-CN"/>
        </w:rPr>
      </w:pPr>
      <w:r w:rsidRPr="002F64C2">
        <w:rPr>
          <w:i/>
          <w:iCs/>
          <w:szCs w:val="24"/>
          <w:lang w:eastAsia="zh-CN"/>
        </w:rPr>
        <w:t xml:space="preserve">c) </w:t>
      </w:r>
      <w:r w:rsidRPr="002F64C2">
        <w:rPr>
          <w:szCs w:val="24"/>
          <w:lang w:eastAsia="zh-CN"/>
        </w:rPr>
        <w:tab/>
        <w:t xml:space="preserve">that some networks with </w:t>
      </w:r>
      <w:r w:rsidRPr="002F64C2">
        <w:rPr>
          <w:iCs/>
        </w:rPr>
        <w:t xml:space="preserve">earth station receiving antenna size </w:t>
      </w:r>
      <w:r w:rsidRPr="002F64C2">
        <w:rPr>
          <w:szCs w:val="24"/>
          <w:lang w:eastAsia="zh-CN"/>
        </w:rPr>
        <w:t xml:space="preserve">smaller than 60 cm were successfully implemented within the orbital arc mentioned in </w:t>
      </w:r>
      <w:r w:rsidRPr="002F64C2">
        <w:rPr>
          <w:i/>
          <w:szCs w:val="24"/>
          <w:lang w:eastAsia="zh-CN"/>
        </w:rPr>
        <w:t>noting</w:t>
      </w:r>
      <w:r w:rsidRPr="002F64C2">
        <w:rPr>
          <w:szCs w:val="24"/>
          <w:lang w:eastAsia="zh-CN"/>
        </w:rPr>
        <w:t> </w:t>
      </w:r>
      <w:r w:rsidRPr="002F64C2">
        <w:rPr>
          <w:i/>
          <w:iCs/>
          <w:szCs w:val="24"/>
          <w:lang w:eastAsia="zh-CN"/>
        </w:rPr>
        <w:t>b)</w:t>
      </w:r>
      <w:r w:rsidRPr="002F64C2">
        <w:rPr>
          <w:szCs w:val="24"/>
          <w:lang w:eastAsia="zh-CN"/>
        </w:rPr>
        <w:t>, in view of protection due to the presence of limitations on the use of orbital positions in this orbital arc;</w:t>
      </w:r>
    </w:p>
    <w:p w:rsidR="002F64C2" w:rsidRPr="002F64C2" w:rsidRDefault="002F64C2" w:rsidP="002F64C2">
      <w:pPr>
        <w:tabs>
          <w:tab w:val="clear" w:pos="1871"/>
          <w:tab w:val="clear" w:pos="2268"/>
        </w:tabs>
        <w:overflowPunct/>
        <w:textAlignment w:val="auto"/>
      </w:pPr>
      <w:r w:rsidRPr="002F64C2">
        <w:rPr>
          <w:i/>
        </w:rPr>
        <w:t>d)</w:t>
      </w:r>
      <w:r w:rsidRPr="002F64C2">
        <w:rPr>
          <w:i/>
        </w:rPr>
        <w:tab/>
      </w:r>
      <w:r w:rsidRPr="002F64C2">
        <w:t xml:space="preserve">that with the deletion of orbital position limitations, the protection of satellite assignments mentioned in </w:t>
      </w:r>
      <w:r w:rsidRPr="002F64C2">
        <w:rPr>
          <w:i/>
        </w:rPr>
        <w:t>noting</w:t>
      </w:r>
      <w:r w:rsidRPr="002F64C2">
        <w:t> </w:t>
      </w:r>
      <w:r w:rsidRPr="002F64C2">
        <w:rPr>
          <w:i/>
          <w:iCs/>
        </w:rPr>
        <w:t>c)</w:t>
      </w:r>
      <w:r w:rsidRPr="002F64C2">
        <w:t xml:space="preserve"> shall be ensured;</w:t>
      </w:r>
    </w:p>
    <w:p w:rsidR="002F64C2" w:rsidRPr="002F64C2" w:rsidRDefault="002F64C2" w:rsidP="002F64C2">
      <w:pPr>
        <w:rPr>
          <w:szCs w:val="24"/>
          <w:lang w:eastAsia="zh-CN"/>
        </w:rPr>
      </w:pPr>
      <w:r w:rsidRPr="002F64C2">
        <w:rPr>
          <w:i/>
        </w:rPr>
        <w:t>e)</w:t>
      </w:r>
      <w:r w:rsidRPr="002F64C2">
        <w:rPr>
          <w:i/>
        </w:rPr>
        <w:tab/>
      </w:r>
      <w:r w:rsidRPr="002F64C2">
        <w:t xml:space="preserve">that </w:t>
      </w:r>
      <w:r w:rsidRPr="002F64C2">
        <w:rPr>
          <w:szCs w:val="24"/>
          <w:lang w:eastAsia="zh-CN"/>
        </w:rPr>
        <w:t>the geostationary-satellite orbit between 37.2° W and 10° E is widely used by Region 1 BSS and Region 2 FSS networks;</w:t>
      </w:r>
    </w:p>
    <w:p w:rsidR="002F64C2" w:rsidRPr="002F64C2" w:rsidRDefault="002F64C2" w:rsidP="002F64C2">
      <w:pPr>
        <w:rPr>
          <w:i/>
        </w:rPr>
      </w:pPr>
      <w:r w:rsidRPr="002F64C2">
        <w:rPr>
          <w:i/>
          <w:szCs w:val="24"/>
          <w:lang w:eastAsia="zh-CN"/>
        </w:rPr>
        <w:t>f)</w:t>
      </w:r>
      <w:r w:rsidRPr="002F64C2">
        <w:rPr>
          <w:szCs w:val="24"/>
          <w:lang w:eastAsia="zh-CN"/>
        </w:rPr>
        <w:tab/>
        <w:t>that equitable access to and efficient use of the 12 GHz frequency range should be encouraged,</w:t>
      </w:r>
    </w:p>
    <w:p w:rsidR="002F64C2" w:rsidRPr="002F64C2" w:rsidRDefault="002F64C2" w:rsidP="002F64C2">
      <w:pPr>
        <w:keepNext/>
        <w:keepLines/>
        <w:spacing w:before="160"/>
        <w:ind w:left="1134"/>
        <w:rPr>
          <w:i/>
        </w:rPr>
      </w:pPr>
      <w:r w:rsidRPr="002F64C2">
        <w:rPr>
          <w:i/>
        </w:rPr>
        <w:t>resolves</w:t>
      </w:r>
    </w:p>
    <w:p w:rsidR="002F64C2" w:rsidRPr="002F64C2" w:rsidRDefault="002F64C2" w:rsidP="002F64C2">
      <w:r w:rsidRPr="002F64C2">
        <w:t>1</w:t>
      </w:r>
      <w:r w:rsidRPr="002F64C2">
        <w:tab/>
        <w:t>that this Resolution is applicable only to implemented</w:t>
      </w:r>
      <w:r w:rsidRPr="002F64C2">
        <w:rPr>
          <w:position w:val="6"/>
          <w:sz w:val="18"/>
        </w:rPr>
        <w:footnoteReference w:customMarkFollows="1" w:id="5"/>
        <w:t>1</w:t>
      </w:r>
      <w:r w:rsidRPr="002F64C2">
        <w:t xml:space="preserve"> networks </w:t>
      </w:r>
      <w:r w:rsidRPr="002F64C2">
        <w:rPr>
          <w:szCs w:val="24"/>
          <w:lang w:eastAsia="zh-CN"/>
        </w:rPr>
        <w:t xml:space="preserve">with </w:t>
      </w:r>
      <w:r w:rsidRPr="002F64C2">
        <w:rPr>
          <w:iCs/>
        </w:rPr>
        <w:t xml:space="preserve">earth station receiving antenna size </w:t>
      </w:r>
      <w:r w:rsidRPr="002F64C2">
        <w:rPr>
          <w:szCs w:val="24"/>
          <w:lang w:eastAsia="zh-CN"/>
        </w:rPr>
        <w:t xml:space="preserve">smaller than 60 cm </w:t>
      </w:r>
      <w:r w:rsidRPr="002F64C2">
        <w:t>(40 cm and 45 cm) as outlined in Annex</w:t>
      </w:r>
      <w:r w:rsidRPr="002F64C2">
        <w:rPr>
          <w:szCs w:val="24"/>
          <w:lang w:eastAsia="zh-CN"/>
        </w:rPr>
        <w:t> </w:t>
      </w:r>
      <w:r w:rsidRPr="002F64C2">
        <w:t>1 of this Resolution;</w:t>
      </w:r>
    </w:p>
    <w:p w:rsidR="002F64C2" w:rsidRPr="002F64C2" w:rsidRDefault="002F64C2" w:rsidP="002F64C2">
      <w:r w:rsidRPr="002F64C2">
        <w:t>2</w:t>
      </w:r>
      <w:r w:rsidRPr="002F64C2">
        <w:tab/>
        <w:t xml:space="preserve">that frequency assignments of the networks mentioned in </w:t>
      </w:r>
      <w:r w:rsidRPr="002F64C2">
        <w:rPr>
          <w:i/>
        </w:rPr>
        <w:t>resolves</w:t>
      </w:r>
      <w:r w:rsidRPr="002F64C2">
        <w:rPr>
          <w:szCs w:val="24"/>
          <w:lang w:eastAsia="zh-CN"/>
        </w:rPr>
        <w:t> </w:t>
      </w:r>
      <w:r w:rsidRPr="002F64C2">
        <w:t>1 above are considered by the Bureau as being affected by a proposed new or modified assignment in the List filed to the GSO orbital positions mentioned in Annex</w:t>
      </w:r>
      <w:r w:rsidRPr="002F64C2">
        <w:rPr>
          <w:szCs w:val="24"/>
          <w:lang w:eastAsia="zh-CN"/>
        </w:rPr>
        <w:t> </w:t>
      </w:r>
      <w:r w:rsidRPr="002F64C2">
        <w:t>1 to this Resolution, only if the following conditions specified in Annex</w:t>
      </w:r>
      <w:r w:rsidRPr="002F64C2">
        <w:rPr>
          <w:szCs w:val="24"/>
          <w:lang w:eastAsia="zh-CN"/>
        </w:rPr>
        <w:t> </w:t>
      </w:r>
      <w:r w:rsidRPr="002F64C2">
        <w:t xml:space="preserve">1 of Appendix </w:t>
      </w:r>
      <w:r w:rsidRPr="002F64C2">
        <w:rPr>
          <w:b/>
          <w:bCs/>
        </w:rPr>
        <w:t>30</w:t>
      </w:r>
      <w:r w:rsidRPr="002F64C2">
        <w:t xml:space="preserve"> </w:t>
      </w:r>
      <w:r w:rsidRPr="002F64C2">
        <w:rPr>
          <w:b/>
          <w:bCs/>
        </w:rPr>
        <w:t>(Rev.WRC</w:t>
      </w:r>
      <w:r w:rsidRPr="002F64C2">
        <w:rPr>
          <w:b/>
          <w:bCs/>
        </w:rPr>
        <w:noBreakHyphen/>
        <w:t>19)</w:t>
      </w:r>
      <w:r w:rsidRPr="002F64C2">
        <w:t xml:space="preserve"> are met:</w:t>
      </w:r>
    </w:p>
    <w:p w:rsidR="002F64C2" w:rsidRPr="002F64C2" w:rsidRDefault="002F64C2" w:rsidP="002F64C2">
      <w:pPr>
        <w:tabs>
          <w:tab w:val="clear" w:pos="2268"/>
          <w:tab w:val="left" w:pos="2608"/>
          <w:tab w:val="left" w:pos="3345"/>
        </w:tabs>
        <w:spacing w:before="80"/>
        <w:ind w:left="1134" w:hanging="1134"/>
      </w:pPr>
      <w:r w:rsidRPr="002F64C2">
        <w:t>–</w:t>
      </w:r>
      <w:r w:rsidRPr="002F64C2">
        <w:tab/>
        <w:t>the minimum orbital spacing between the wanted and interfering space stations, under worst-case station-keeping conditions, is less than 9°;</w:t>
      </w:r>
    </w:p>
    <w:p w:rsidR="002F64C2" w:rsidRPr="002F64C2" w:rsidRDefault="002F64C2" w:rsidP="002F64C2">
      <w:pPr>
        <w:tabs>
          <w:tab w:val="clear" w:pos="2268"/>
          <w:tab w:val="left" w:pos="2608"/>
          <w:tab w:val="left" w:pos="3345"/>
        </w:tabs>
        <w:spacing w:before="80"/>
        <w:ind w:left="1134" w:hanging="1134"/>
      </w:pPr>
      <w:r w:rsidRPr="002F64C2">
        <w:t>–</w:t>
      </w:r>
      <w:r w:rsidRPr="002F64C2">
        <w:tab/>
        <w:t>the reference equivalent downlink protection margin corresponding to at least one of the test points of that wanted assignment, including cumulative effect of any previous modification to the List or any previous agreement, falls more than 0.45 dB below 0 dB, or if already negative, more than 0.45 dB below that reference equivalent protection margin value;</w:t>
      </w:r>
    </w:p>
    <w:p w:rsidR="002F64C2" w:rsidRPr="002F64C2" w:rsidRDefault="002F64C2" w:rsidP="002F64C2">
      <w:r w:rsidRPr="002F64C2">
        <w:t>3</w:t>
      </w:r>
      <w:r w:rsidRPr="002F64C2">
        <w:tab/>
        <w:t>that for cases, when a proposed new assignment in the List is filed within the g</w:t>
      </w:r>
      <w:r w:rsidRPr="002F64C2">
        <w:rPr>
          <w:szCs w:val="24"/>
          <w:lang w:eastAsia="zh-CN"/>
        </w:rPr>
        <w:t xml:space="preserve">eostationary orbital arc between 37.2° W and 10° E in orbital arc segments that differ from those </w:t>
      </w:r>
      <w:r w:rsidRPr="002F64C2">
        <w:rPr>
          <w:szCs w:val="24"/>
          <w:lang w:eastAsia="zh-CN"/>
        </w:rPr>
        <w:lastRenderedPageBreak/>
        <w:t>in Annex 1 to this Resolution, appropriate provisions of Annex 1 Appendix </w:t>
      </w:r>
      <w:r w:rsidRPr="002F64C2">
        <w:rPr>
          <w:b/>
          <w:bCs/>
        </w:rPr>
        <w:t>30</w:t>
      </w:r>
      <w:r w:rsidRPr="002F64C2">
        <w:rPr>
          <w:szCs w:val="24"/>
          <w:lang w:eastAsia="zh-CN"/>
        </w:rPr>
        <w:t xml:space="preserve"> </w:t>
      </w:r>
      <w:r w:rsidRPr="002F64C2">
        <w:rPr>
          <w:b/>
          <w:bCs/>
          <w:lang w:eastAsia="zh-CN"/>
        </w:rPr>
        <w:t>(Rev.WRC</w:t>
      </w:r>
      <w:r w:rsidRPr="002F64C2">
        <w:rPr>
          <w:b/>
          <w:bCs/>
          <w:lang w:eastAsia="zh-CN"/>
        </w:rPr>
        <w:noBreakHyphen/>
        <w:t xml:space="preserve">19) </w:t>
      </w:r>
      <w:r w:rsidRPr="002F64C2">
        <w:rPr>
          <w:szCs w:val="24"/>
          <w:lang w:eastAsia="zh-CN"/>
        </w:rPr>
        <w:t xml:space="preserve">to determine the need for coordination, continue to be applied with respect to relevant frequency assignments of satellite networks mentioned in </w:t>
      </w:r>
      <w:r w:rsidRPr="002F64C2">
        <w:rPr>
          <w:i/>
          <w:szCs w:val="24"/>
          <w:lang w:eastAsia="zh-CN"/>
        </w:rPr>
        <w:t>resolves</w:t>
      </w:r>
      <w:r w:rsidRPr="002F64C2">
        <w:rPr>
          <w:szCs w:val="24"/>
          <w:lang w:eastAsia="zh-CN"/>
        </w:rPr>
        <w:t> 1.</w:t>
      </w:r>
    </w:p>
    <w:p w:rsidR="002F64C2" w:rsidRPr="002F64C2" w:rsidRDefault="002F64C2" w:rsidP="002F64C2">
      <w:pPr>
        <w:keepNext/>
        <w:keepLines/>
        <w:spacing w:before="480" w:after="80"/>
        <w:jc w:val="center"/>
        <w:rPr>
          <w:caps/>
          <w:sz w:val="28"/>
        </w:rPr>
      </w:pPr>
      <w:r w:rsidRPr="002F64C2">
        <w:rPr>
          <w:caps/>
          <w:sz w:val="28"/>
        </w:rPr>
        <w:t>ANNEX 1 TO draft new RESOLUTION [RCC/A14-LIMITA3] (WRC-19)</w:t>
      </w:r>
    </w:p>
    <w:p w:rsidR="002F64C2" w:rsidRPr="002F64C2" w:rsidRDefault="002F64C2" w:rsidP="002F64C2">
      <w:pPr>
        <w:keepNext/>
        <w:keepLines/>
        <w:spacing w:before="240" w:after="280"/>
        <w:jc w:val="center"/>
        <w:rPr>
          <w:rFonts w:ascii="Times New Roman Bold" w:hAnsi="Times New Roman Bold"/>
          <w:b/>
          <w:sz w:val="28"/>
        </w:rPr>
      </w:pPr>
      <w:r w:rsidRPr="002F64C2">
        <w:rPr>
          <w:rFonts w:ascii="Times New Roman Bold" w:hAnsi="Times New Roman Bold"/>
          <w:b/>
          <w:sz w:val="28"/>
        </w:rPr>
        <w:t xml:space="preserve">Satellite networks and orbital arc segments for which this </w:t>
      </w:r>
      <w:r w:rsidRPr="002F64C2">
        <w:rPr>
          <w:rFonts w:ascii="Times New Roman Bold" w:hAnsi="Times New Roman Bold"/>
          <w:b/>
          <w:sz w:val="28"/>
        </w:rPr>
        <w:br/>
        <w:t>Resolution is applicable</w:t>
      </w:r>
    </w:p>
    <w:tbl>
      <w:tblPr>
        <w:tblW w:w="9828" w:type="dxa"/>
        <w:tblLook w:val="04A0" w:firstRow="1" w:lastRow="0" w:firstColumn="1" w:lastColumn="0" w:noHBand="0" w:noVBand="1"/>
      </w:tblPr>
      <w:tblGrid>
        <w:gridCol w:w="894"/>
        <w:gridCol w:w="1233"/>
        <w:gridCol w:w="1707"/>
        <w:gridCol w:w="1520"/>
        <w:gridCol w:w="1403"/>
        <w:gridCol w:w="3071"/>
      </w:tblGrid>
      <w:tr w:rsidR="002F64C2" w:rsidRPr="002F64C2" w:rsidTr="00E172A3">
        <w:trPr>
          <w:trHeight w:val="248"/>
        </w:trPr>
        <w:tc>
          <w:tcPr>
            <w:tcW w:w="6757" w:type="dxa"/>
            <w:gridSpan w:val="5"/>
            <w:tcBorders>
              <w:top w:val="single" w:sz="4" w:space="0" w:color="auto"/>
              <w:left w:val="single" w:sz="4" w:space="0" w:color="auto"/>
              <w:bottom w:val="single" w:sz="4" w:space="0" w:color="auto"/>
              <w:right w:val="single" w:sz="4" w:space="0" w:color="auto"/>
            </w:tcBorders>
          </w:tcPr>
          <w:p w:rsidR="002F64C2" w:rsidRPr="002F64C2" w:rsidRDefault="002F64C2" w:rsidP="002F64C2">
            <w:pPr>
              <w:keepNext/>
              <w:spacing w:before="80" w:after="80"/>
              <w:jc w:val="center"/>
              <w:rPr>
                <w:rFonts w:ascii="Times New Roman Bold" w:hAnsi="Times New Roman Bold" w:cs="Times New Roman Bold"/>
                <w:b/>
                <w:sz w:val="20"/>
              </w:rPr>
            </w:pPr>
            <w:r w:rsidRPr="002F64C2">
              <w:rPr>
                <w:rFonts w:ascii="Times New Roman Bold" w:hAnsi="Times New Roman Bold" w:cs="Times New Roman Bold"/>
                <w:b/>
                <w:sz w:val="20"/>
              </w:rPr>
              <w:t>Satellite networks for which this Resolution applies</w:t>
            </w:r>
          </w:p>
        </w:tc>
        <w:tc>
          <w:tcPr>
            <w:tcW w:w="307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F64C2" w:rsidRPr="002F64C2" w:rsidRDefault="002F64C2" w:rsidP="002F64C2">
            <w:pPr>
              <w:keepNext/>
              <w:spacing w:before="80" w:after="80"/>
              <w:jc w:val="center"/>
              <w:rPr>
                <w:rFonts w:ascii="Times New Roman Bold" w:hAnsi="Times New Roman Bold" w:cs="Times New Roman Bold"/>
                <w:b/>
                <w:sz w:val="20"/>
              </w:rPr>
            </w:pPr>
            <w:r w:rsidRPr="002F64C2">
              <w:rPr>
                <w:rFonts w:ascii="Times New Roman Bold" w:hAnsi="Times New Roman Bold" w:cs="Times New Roman Bold"/>
                <w:b/>
                <w:sz w:val="20"/>
              </w:rPr>
              <w:t xml:space="preserve">Orbital arc segments where the conditions specified in </w:t>
            </w:r>
            <w:r w:rsidRPr="002F64C2">
              <w:rPr>
                <w:rFonts w:ascii="Times New Roman Bold" w:hAnsi="Times New Roman Bold" w:cs="Times New Roman Bold"/>
                <w:b/>
                <w:i/>
                <w:sz w:val="20"/>
              </w:rPr>
              <w:t>resolves</w:t>
            </w:r>
            <w:r w:rsidRPr="002F64C2">
              <w:rPr>
                <w:rFonts w:ascii="Times New Roman Bold" w:hAnsi="Times New Roman Bold" w:cs="Times New Roman Bold"/>
                <w:b/>
                <w:sz w:val="20"/>
              </w:rPr>
              <w:t xml:space="preserve"> 2 of this Resolution apply</w:t>
            </w:r>
          </w:p>
        </w:tc>
      </w:tr>
      <w:tr w:rsidR="002F64C2" w:rsidRPr="002F64C2" w:rsidTr="00E172A3">
        <w:trPr>
          <w:trHeight w:val="657"/>
        </w:trPr>
        <w:tc>
          <w:tcPr>
            <w:tcW w:w="894" w:type="dxa"/>
            <w:tcBorders>
              <w:top w:val="nil"/>
              <w:left w:val="single" w:sz="4" w:space="0" w:color="auto"/>
              <w:bottom w:val="single" w:sz="4" w:space="0" w:color="auto"/>
              <w:right w:val="single" w:sz="4" w:space="0" w:color="auto"/>
            </w:tcBorders>
            <w:shd w:val="clear" w:color="auto" w:fill="auto"/>
            <w:vAlign w:val="center"/>
            <w:hideMark/>
          </w:tcPr>
          <w:p w:rsidR="002F64C2" w:rsidRPr="002F64C2" w:rsidRDefault="002F64C2" w:rsidP="002F64C2">
            <w:pPr>
              <w:keepNext/>
              <w:spacing w:before="80" w:after="80"/>
              <w:jc w:val="center"/>
              <w:rPr>
                <w:rFonts w:ascii="Times New Roman Bold" w:hAnsi="Times New Roman Bold" w:cs="Times New Roman Bold"/>
                <w:b/>
                <w:sz w:val="20"/>
              </w:rPr>
            </w:pPr>
            <w:r w:rsidRPr="002F64C2">
              <w:rPr>
                <w:rFonts w:ascii="Times New Roman Bold" w:hAnsi="Times New Roman Bold" w:cs="Times New Roman Bold"/>
                <w:b/>
                <w:sz w:val="20"/>
              </w:rPr>
              <w:t>Orbital position</w:t>
            </w:r>
          </w:p>
        </w:tc>
        <w:tc>
          <w:tcPr>
            <w:tcW w:w="1233" w:type="dxa"/>
            <w:tcBorders>
              <w:top w:val="nil"/>
              <w:left w:val="single" w:sz="4" w:space="0" w:color="auto"/>
              <w:bottom w:val="single" w:sz="4" w:space="0" w:color="auto"/>
              <w:right w:val="single" w:sz="4" w:space="0" w:color="auto"/>
            </w:tcBorders>
            <w:shd w:val="clear" w:color="auto" w:fill="auto"/>
            <w:vAlign w:val="center"/>
            <w:hideMark/>
          </w:tcPr>
          <w:p w:rsidR="002F64C2" w:rsidRPr="002F64C2" w:rsidRDefault="002F64C2" w:rsidP="002F64C2">
            <w:pPr>
              <w:keepNext/>
              <w:spacing w:before="80" w:after="80"/>
              <w:jc w:val="center"/>
              <w:rPr>
                <w:rFonts w:ascii="Times New Roman Bold" w:hAnsi="Times New Roman Bold" w:cs="Times New Roman Bold"/>
                <w:b/>
                <w:sz w:val="20"/>
              </w:rPr>
            </w:pPr>
            <w:r w:rsidRPr="002F64C2">
              <w:rPr>
                <w:rFonts w:ascii="Times New Roman Bold" w:hAnsi="Times New Roman Bold" w:cs="Times New Roman Bold"/>
                <w:b/>
                <w:sz w:val="20"/>
              </w:rPr>
              <w:t>Earth station antenna size, cm</w:t>
            </w:r>
          </w:p>
        </w:tc>
        <w:tc>
          <w:tcPr>
            <w:tcW w:w="1707" w:type="dxa"/>
            <w:tcBorders>
              <w:top w:val="nil"/>
              <w:left w:val="single" w:sz="4" w:space="0" w:color="auto"/>
              <w:bottom w:val="single" w:sz="4" w:space="0" w:color="auto"/>
              <w:right w:val="single" w:sz="4" w:space="0" w:color="auto"/>
            </w:tcBorders>
            <w:shd w:val="clear" w:color="auto" w:fill="auto"/>
            <w:vAlign w:val="center"/>
            <w:hideMark/>
          </w:tcPr>
          <w:p w:rsidR="002F64C2" w:rsidRPr="002F64C2" w:rsidRDefault="002F64C2" w:rsidP="002F64C2">
            <w:pPr>
              <w:keepNext/>
              <w:spacing w:before="80" w:after="80"/>
              <w:jc w:val="center"/>
              <w:rPr>
                <w:rFonts w:ascii="Times New Roman Bold" w:hAnsi="Times New Roman Bold" w:cs="Times New Roman Bold"/>
                <w:b/>
                <w:sz w:val="20"/>
              </w:rPr>
            </w:pPr>
            <w:r w:rsidRPr="002F64C2">
              <w:rPr>
                <w:rFonts w:ascii="Times New Roman Bold" w:hAnsi="Times New Roman Bold" w:cs="Times New Roman Bold"/>
                <w:b/>
                <w:sz w:val="20"/>
              </w:rPr>
              <w:t>Satellite network</w:t>
            </w:r>
          </w:p>
        </w:tc>
        <w:tc>
          <w:tcPr>
            <w:tcW w:w="1520" w:type="dxa"/>
            <w:tcBorders>
              <w:top w:val="single" w:sz="4" w:space="0" w:color="auto"/>
              <w:left w:val="single" w:sz="4" w:space="0" w:color="auto"/>
              <w:bottom w:val="single" w:sz="4" w:space="0" w:color="auto"/>
              <w:right w:val="single" w:sz="4" w:space="0" w:color="auto"/>
            </w:tcBorders>
            <w:vAlign w:val="center"/>
          </w:tcPr>
          <w:p w:rsidR="002F64C2" w:rsidRPr="002F64C2" w:rsidRDefault="002F64C2" w:rsidP="002F64C2">
            <w:pPr>
              <w:keepNext/>
              <w:spacing w:before="80" w:after="80"/>
              <w:jc w:val="center"/>
              <w:rPr>
                <w:rFonts w:ascii="Times New Roman Bold" w:hAnsi="Times New Roman Bold" w:cs="Times New Roman Bold"/>
                <w:b/>
                <w:sz w:val="20"/>
              </w:rPr>
            </w:pPr>
            <w:r w:rsidRPr="002F64C2">
              <w:rPr>
                <w:rFonts w:ascii="Times New Roman Bold" w:hAnsi="Times New Roman Bold" w:cs="Times New Roman Bold"/>
                <w:b/>
                <w:sz w:val="20"/>
              </w:rPr>
              <w:t>Date of receipt of part A submission</w:t>
            </w:r>
          </w:p>
        </w:tc>
        <w:tc>
          <w:tcPr>
            <w:tcW w:w="1403" w:type="dxa"/>
            <w:tcBorders>
              <w:top w:val="nil"/>
              <w:left w:val="single" w:sz="4" w:space="0" w:color="auto"/>
              <w:bottom w:val="single" w:sz="4" w:space="0" w:color="auto"/>
              <w:right w:val="single" w:sz="4" w:space="0" w:color="auto"/>
            </w:tcBorders>
            <w:shd w:val="clear" w:color="auto" w:fill="auto"/>
            <w:vAlign w:val="center"/>
            <w:hideMark/>
          </w:tcPr>
          <w:p w:rsidR="002F64C2" w:rsidRPr="002F64C2" w:rsidRDefault="002F64C2" w:rsidP="002F64C2">
            <w:pPr>
              <w:keepNext/>
              <w:spacing w:before="80" w:after="80"/>
              <w:jc w:val="center"/>
              <w:rPr>
                <w:rFonts w:ascii="Times New Roman Bold" w:hAnsi="Times New Roman Bold" w:cs="Times New Roman Bold"/>
                <w:b/>
                <w:sz w:val="20"/>
              </w:rPr>
            </w:pPr>
            <w:r w:rsidRPr="002F64C2">
              <w:rPr>
                <w:rFonts w:ascii="Times New Roman Bold" w:hAnsi="Times New Roman Bold" w:cs="Times New Roman Bold"/>
                <w:b/>
                <w:sz w:val="20"/>
              </w:rPr>
              <w:t>Notice Id Part II</w:t>
            </w:r>
          </w:p>
        </w:tc>
        <w:tc>
          <w:tcPr>
            <w:tcW w:w="3071" w:type="dxa"/>
            <w:vMerge/>
            <w:tcBorders>
              <w:top w:val="single" w:sz="4" w:space="0" w:color="auto"/>
              <w:left w:val="single" w:sz="4" w:space="0" w:color="auto"/>
              <w:bottom w:val="single" w:sz="4" w:space="0" w:color="auto"/>
              <w:right w:val="single" w:sz="4" w:space="0" w:color="auto"/>
            </w:tcBorders>
            <w:vAlign w:val="center"/>
            <w:hideMark/>
          </w:tcPr>
          <w:p w:rsidR="002F64C2" w:rsidRPr="002F64C2" w:rsidRDefault="002F64C2" w:rsidP="002F64C2">
            <w:pPr>
              <w:keepNext/>
              <w:spacing w:before="80" w:after="80"/>
              <w:jc w:val="center"/>
              <w:rPr>
                <w:rFonts w:ascii="Times New Roman Bold" w:hAnsi="Times New Roman Bold" w:cs="Times New Roman Bold"/>
                <w:b/>
                <w:sz w:val="20"/>
              </w:rPr>
            </w:pPr>
          </w:p>
        </w:tc>
      </w:tr>
      <w:tr w:rsidR="002F64C2" w:rsidRPr="002F64C2" w:rsidTr="00E172A3">
        <w:trPr>
          <w:trHeight w:val="238"/>
        </w:trPr>
        <w:tc>
          <w:tcPr>
            <w:tcW w:w="894" w:type="dxa"/>
            <w:tcBorders>
              <w:top w:val="nil"/>
              <w:left w:val="single" w:sz="4" w:space="0" w:color="auto"/>
              <w:bottom w:val="single" w:sz="4" w:space="0" w:color="auto"/>
              <w:right w:val="single" w:sz="4" w:space="0" w:color="auto"/>
            </w:tcBorders>
            <w:shd w:val="clear" w:color="auto" w:fill="auto"/>
            <w:vAlign w:val="center"/>
            <w:hideMark/>
          </w:tcPr>
          <w:p w:rsidR="002F64C2" w:rsidRPr="002F64C2" w:rsidRDefault="002F64C2" w:rsidP="002F64C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2F64C2">
              <w:rPr>
                <w:sz w:val="20"/>
              </w:rPr>
              <w:t>33.5° W</w:t>
            </w:r>
          </w:p>
        </w:tc>
        <w:tc>
          <w:tcPr>
            <w:tcW w:w="1233" w:type="dxa"/>
            <w:tcBorders>
              <w:top w:val="nil"/>
              <w:left w:val="nil"/>
              <w:bottom w:val="single" w:sz="4" w:space="0" w:color="auto"/>
              <w:right w:val="single" w:sz="4" w:space="0" w:color="auto"/>
            </w:tcBorders>
            <w:shd w:val="clear" w:color="auto" w:fill="auto"/>
            <w:vAlign w:val="center"/>
            <w:hideMark/>
          </w:tcPr>
          <w:p w:rsidR="002F64C2" w:rsidRPr="002F64C2" w:rsidRDefault="002F64C2" w:rsidP="002F64C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2F64C2">
              <w:rPr>
                <w:sz w:val="20"/>
              </w:rPr>
              <w:t>45</w:t>
            </w:r>
          </w:p>
        </w:tc>
        <w:tc>
          <w:tcPr>
            <w:tcW w:w="1707" w:type="dxa"/>
            <w:tcBorders>
              <w:top w:val="nil"/>
              <w:left w:val="nil"/>
              <w:bottom w:val="single" w:sz="4" w:space="0" w:color="auto"/>
              <w:right w:val="single" w:sz="4" w:space="0" w:color="auto"/>
            </w:tcBorders>
            <w:shd w:val="clear" w:color="auto" w:fill="auto"/>
            <w:vAlign w:val="center"/>
            <w:hideMark/>
          </w:tcPr>
          <w:p w:rsidR="002F64C2" w:rsidRPr="002F64C2" w:rsidRDefault="002F64C2" w:rsidP="002F64C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2F64C2">
              <w:rPr>
                <w:sz w:val="20"/>
              </w:rPr>
              <w:t>UKDIGISAT-4C</w:t>
            </w:r>
          </w:p>
        </w:tc>
        <w:tc>
          <w:tcPr>
            <w:tcW w:w="1520" w:type="dxa"/>
            <w:tcBorders>
              <w:top w:val="single" w:sz="4" w:space="0" w:color="auto"/>
              <w:left w:val="nil"/>
              <w:bottom w:val="single" w:sz="4" w:space="0" w:color="auto"/>
              <w:right w:val="single" w:sz="4" w:space="0" w:color="auto"/>
            </w:tcBorders>
            <w:vAlign w:val="center"/>
          </w:tcPr>
          <w:p w:rsidR="002F64C2" w:rsidRPr="002F64C2" w:rsidRDefault="002F64C2" w:rsidP="002F64C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2F64C2">
              <w:rPr>
                <w:sz w:val="20"/>
              </w:rPr>
              <w:t>09.10.2014</w:t>
            </w:r>
          </w:p>
        </w:tc>
        <w:tc>
          <w:tcPr>
            <w:tcW w:w="1403" w:type="dxa"/>
            <w:tcBorders>
              <w:top w:val="nil"/>
              <w:left w:val="single" w:sz="4" w:space="0" w:color="auto"/>
              <w:bottom w:val="single" w:sz="4" w:space="0" w:color="auto"/>
              <w:right w:val="single" w:sz="4" w:space="0" w:color="auto"/>
            </w:tcBorders>
            <w:shd w:val="clear" w:color="auto" w:fill="auto"/>
            <w:vAlign w:val="center"/>
            <w:hideMark/>
          </w:tcPr>
          <w:p w:rsidR="002F64C2" w:rsidRPr="002F64C2" w:rsidRDefault="002F64C2" w:rsidP="002F64C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2F64C2">
              <w:rPr>
                <w:sz w:val="20"/>
              </w:rPr>
              <w:t>TBD</w:t>
            </w:r>
          </w:p>
        </w:tc>
        <w:tc>
          <w:tcPr>
            <w:tcW w:w="3071" w:type="dxa"/>
            <w:tcBorders>
              <w:top w:val="nil"/>
              <w:left w:val="nil"/>
              <w:bottom w:val="single" w:sz="4" w:space="0" w:color="auto"/>
              <w:right w:val="single" w:sz="4" w:space="0" w:color="auto"/>
            </w:tcBorders>
            <w:shd w:val="clear" w:color="auto" w:fill="auto"/>
            <w:vAlign w:val="center"/>
            <w:hideMark/>
          </w:tcPr>
          <w:p w:rsidR="002F64C2" w:rsidRPr="002F64C2" w:rsidRDefault="002F64C2" w:rsidP="002F64C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2F64C2">
              <w:rPr>
                <w:sz w:val="20"/>
              </w:rPr>
              <w:t>36.0</w:t>
            </w:r>
            <w:r w:rsidRPr="002F64C2">
              <w:rPr>
                <w:sz w:val="20"/>
              </w:rPr>
              <w:sym w:font="Symbol" w:char="F0B0"/>
            </w:r>
            <w:r w:rsidRPr="002F64C2">
              <w:rPr>
                <w:sz w:val="20"/>
              </w:rPr>
              <w:t> W &lt;</w:t>
            </w:r>
            <w:r w:rsidRPr="002F64C2">
              <w:rPr>
                <w:rFonts w:ascii="Symbol" w:hAnsi="Symbol"/>
                <w:sz w:val="20"/>
              </w:rPr>
              <w:t></w:t>
            </w:r>
            <w:r w:rsidRPr="002F64C2">
              <w:rPr>
                <w:rFonts w:ascii="Symbol" w:hAnsi="Symbol"/>
                <w:sz w:val="20"/>
              </w:rPr>
              <w:t></w:t>
            </w:r>
            <w:r w:rsidRPr="002F64C2">
              <w:rPr>
                <w:sz w:val="20"/>
              </w:rPr>
              <w:t>≤ 35.28</w:t>
            </w:r>
            <w:r w:rsidRPr="002F64C2">
              <w:rPr>
                <w:sz w:val="20"/>
              </w:rPr>
              <w:sym w:font="Symbol" w:char="F0B0"/>
            </w:r>
            <w:r w:rsidRPr="002F64C2">
              <w:rPr>
                <w:sz w:val="20"/>
              </w:rPr>
              <w:t> W;</w:t>
            </w:r>
          </w:p>
          <w:p w:rsidR="002F64C2" w:rsidRPr="002F64C2" w:rsidRDefault="002F64C2" w:rsidP="002F64C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2F64C2">
              <w:rPr>
                <w:sz w:val="20"/>
              </w:rPr>
              <w:t>31.72</w:t>
            </w:r>
            <w:r w:rsidRPr="002F64C2">
              <w:rPr>
                <w:sz w:val="20"/>
              </w:rPr>
              <w:sym w:font="Symbol" w:char="F0B0"/>
            </w:r>
            <w:r w:rsidRPr="002F64C2">
              <w:rPr>
                <w:sz w:val="20"/>
              </w:rPr>
              <w:t xml:space="preserve"> W ≤ </w:t>
            </w:r>
            <w:r w:rsidRPr="002F64C2">
              <w:rPr>
                <w:rFonts w:ascii="Symbol" w:hAnsi="Symbol"/>
                <w:sz w:val="20"/>
              </w:rPr>
              <w:t></w:t>
            </w:r>
            <w:r w:rsidRPr="002F64C2">
              <w:rPr>
                <w:rFonts w:ascii="Symbol" w:hAnsi="Symbol"/>
                <w:sz w:val="20"/>
              </w:rPr>
              <w:t></w:t>
            </w:r>
            <w:r w:rsidRPr="002F64C2">
              <w:rPr>
                <w:sz w:val="20"/>
              </w:rPr>
              <w:t>&lt; 30.0</w:t>
            </w:r>
            <w:r w:rsidRPr="002F64C2">
              <w:rPr>
                <w:sz w:val="20"/>
              </w:rPr>
              <w:sym w:font="Symbol" w:char="F0B0"/>
            </w:r>
            <w:r w:rsidRPr="002F64C2">
              <w:rPr>
                <w:sz w:val="20"/>
              </w:rPr>
              <w:t> W;</w:t>
            </w:r>
          </w:p>
          <w:p w:rsidR="002F64C2" w:rsidRPr="002F64C2" w:rsidRDefault="002F64C2" w:rsidP="002F64C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2F64C2">
              <w:rPr>
                <w:sz w:val="20"/>
              </w:rPr>
              <w:t>29.0</w:t>
            </w:r>
            <w:r w:rsidRPr="002F64C2">
              <w:rPr>
                <w:sz w:val="20"/>
              </w:rPr>
              <w:sym w:font="Symbol" w:char="F0B0"/>
            </w:r>
            <w:r w:rsidRPr="002F64C2">
              <w:rPr>
                <w:sz w:val="20"/>
              </w:rPr>
              <w:t> W &lt;</w:t>
            </w:r>
            <w:r w:rsidRPr="002F64C2">
              <w:rPr>
                <w:rFonts w:ascii="Symbol" w:hAnsi="Symbol"/>
                <w:sz w:val="20"/>
              </w:rPr>
              <w:t></w:t>
            </w:r>
            <w:r w:rsidRPr="002F64C2">
              <w:rPr>
                <w:sz w:val="20"/>
              </w:rPr>
              <w:t xml:space="preserve"> ≤ 28.58</w:t>
            </w:r>
            <w:r w:rsidRPr="002F64C2">
              <w:rPr>
                <w:sz w:val="20"/>
              </w:rPr>
              <w:sym w:font="Symbol" w:char="F0B0"/>
            </w:r>
            <w:r w:rsidRPr="002F64C2">
              <w:rPr>
                <w:sz w:val="20"/>
              </w:rPr>
              <w:t> W;</w:t>
            </w:r>
          </w:p>
        </w:tc>
      </w:tr>
      <w:tr w:rsidR="002F64C2" w:rsidRPr="002F64C2" w:rsidTr="00E172A3">
        <w:tc>
          <w:tcPr>
            <w:tcW w:w="894" w:type="dxa"/>
            <w:vMerge w:val="restart"/>
            <w:tcBorders>
              <w:top w:val="nil"/>
              <w:left w:val="single" w:sz="4" w:space="0" w:color="auto"/>
              <w:bottom w:val="single" w:sz="4" w:space="0" w:color="auto"/>
              <w:right w:val="single" w:sz="4" w:space="0" w:color="auto"/>
            </w:tcBorders>
            <w:shd w:val="clear" w:color="auto" w:fill="auto"/>
            <w:vAlign w:val="center"/>
            <w:hideMark/>
          </w:tcPr>
          <w:p w:rsidR="002F64C2" w:rsidRPr="002F64C2" w:rsidRDefault="002F64C2" w:rsidP="002F64C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2F64C2">
              <w:rPr>
                <w:sz w:val="20"/>
              </w:rPr>
              <w:t>30.0° W</w:t>
            </w:r>
          </w:p>
        </w:tc>
        <w:tc>
          <w:tcPr>
            <w:tcW w:w="1233" w:type="dxa"/>
            <w:vMerge w:val="restart"/>
            <w:tcBorders>
              <w:top w:val="nil"/>
              <w:left w:val="single" w:sz="4" w:space="0" w:color="auto"/>
              <w:bottom w:val="single" w:sz="4" w:space="0" w:color="auto"/>
              <w:right w:val="single" w:sz="4" w:space="0" w:color="auto"/>
            </w:tcBorders>
            <w:shd w:val="clear" w:color="auto" w:fill="auto"/>
            <w:vAlign w:val="center"/>
            <w:hideMark/>
          </w:tcPr>
          <w:p w:rsidR="002F64C2" w:rsidRPr="002F64C2" w:rsidRDefault="002F64C2" w:rsidP="002F64C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2F64C2">
              <w:rPr>
                <w:sz w:val="20"/>
              </w:rPr>
              <w:t>45</w:t>
            </w:r>
          </w:p>
        </w:tc>
        <w:tc>
          <w:tcPr>
            <w:tcW w:w="1707" w:type="dxa"/>
            <w:tcBorders>
              <w:top w:val="nil"/>
              <w:left w:val="nil"/>
              <w:bottom w:val="single" w:sz="4" w:space="0" w:color="auto"/>
              <w:right w:val="single" w:sz="4" w:space="0" w:color="auto"/>
            </w:tcBorders>
            <w:shd w:val="clear" w:color="auto" w:fill="auto"/>
            <w:vAlign w:val="center"/>
            <w:hideMark/>
          </w:tcPr>
          <w:p w:rsidR="002F64C2" w:rsidRPr="002F64C2" w:rsidRDefault="002F64C2" w:rsidP="002F64C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2F64C2">
              <w:rPr>
                <w:sz w:val="20"/>
              </w:rPr>
              <w:t>HISPASAT-1</w:t>
            </w:r>
          </w:p>
        </w:tc>
        <w:tc>
          <w:tcPr>
            <w:tcW w:w="1520" w:type="dxa"/>
            <w:tcBorders>
              <w:top w:val="single" w:sz="4" w:space="0" w:color="auto"/>
              <w:left w:val="nil"/>
              <w:bottom w:val="single" w:sz="4" w:space="0" w:color="auto"/>
              <w:right w:val="single" w:sz="4" w:space="0" w:color="auto"/>
            </w:tcBorders>
            <w:vAlign w:val="center"/>
          </w:tcPr>
          <w:p w:rsidR="002F64C2" w:rsidRPr="002F64C2" w:rsidRDefault="002F64C2" w:rsidP="002F64C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2F64C2">
              <w:rPr>
                <w:sz w:val="20"/>
              </w:rPr>
              <w:t>08.02.2000</w:t>
            </w:r>
          </w:p>
        </w:tc>
        <w:tc>
          <w:tcPr>
            <w:tcW w:w="1403" w:type="dxa"/>
            <w:tcBorders>
              <w:top w:val="nil"/>
              <w:left w:val="single" w:sz="4" w:space="0" w:color="auto"/>
              <w:bottom w:val="single" w:sz="4" w:space="0" w:color="auto"/>
              <w:right w:val="single" w:sz="4" w:space="0" w:color="auto"/>
            </w:tcBorders>
            <w:shd w:val="clear" w:color="auto" w:fill="auto"/>
            <w:vAlign w:val="center"/>
            <w:hideMark/>
          </w:tcPr>
          <w:p w:rsidR="002F64C2" w:rsidRPr="002F64C2" w:rsidRDefault="002F64C2" w:rsidP="002F64C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2F64C2">
              <w:rPr>
                <w:sz w:val="20"/>
              </w:rPr>
              <w:t>99500256</w:t>
            </w:r>
          </w:p>
        </w:tc>
        <w:tc>
          <w:tcPr>
            <w:tcW w:w="3071" w:type="dxa"/>
            <w:vMerge w:val="restart"/>
            <w:tcBorders>
              <w:top w:val="nil"/>
              <w:left w:val="single" w:sz="4" w:space="0" w:color="auto"/>
              <w:bottom w:val="single" w:sz="4" w:space="0" w:color="auto"/>
              <w:right w:val="single" w:sz="4" w:space="0" w:color="auto"/>
            </w:tcBorders>
            <w:shd w:val="clear" w:color="auto" w:fill="auto"/>
            <w:vAlign w:val="center"/>
            <w:hideMark/>
          </w:tcPr>
          <w:p w:rsidR="002F64C2" w:rsidRPr="002F64C2" w:rsidRDefault="002F64C2" w:rsidP="002F64C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2F64C2">
              <w:rPr>
                <w:sz w:val="20"/>
                <w:lang w:eastAsia="es-ES"/>
              </w:rPr>
              <w:t>34.92</w:t>
            </w:r>
            <w:r w:rsidRPr="002F64C2">
              <w:rPr>
                <w:sz w:val="20"/>
              </w:rPr>
              <w:sym w:font="Symbol" w:char="F0B0"/>
            </w:r>
            <w:r w:rsidRPr="002F64C2">
              <w:rPr>
                <w:sz w:val="20"/>
                <w:lang w:eastAsia="es-ES"/>
              </w:rPr>
              <w:t xml:space="preserve"> W </w:t>
            </w:r>
            <w:r w:rsidRPr="002F64C2">
              <w:rPr>
                <w:sz w:val="20"/>
              </w:rPr>
              <w:t xml:space="preserve">≤ </w:t>
            </w:r>
            <w:r w:rsidRPr="002F64C2">
              <w:rPr>
                <w:rFonts w:ascii="Symbol" w:hAnsi="Symbol"/>
                <w:sz w:val="20"/>
              </w:rPr>
              <w:t></w:t>
            </w:r>
            <w:r w:rsidRPr="002F64C2">
              <w:rPr>
                <w:rFonts w:ascii="Symbol" w:hAnsi="Symbol"/>
                <w:sz w:val="20"/>
              </w:rPr>
              <w:t></w:t>
            </w:r>
            <w:r w:rsidRPr="002F64C2">
              <w:rPr>
                <w:sz w:val="20"/>
              </w:rPr>
              <w:t>&lt; 33.5</w:t>
            </w:r>
            <w:r w:rsidRPr="002F64C2">
              <w:rPr>
                <w:sz w:val="20"/>
              </w:rPr>
              <w:sym w:font="Symbol" w:char="F0B0"/>
            </w:r>
            <w:r w:rsidRPr="002F64C2">
              <w:rPr>
                <w:sz w:val="20"/>
              </w:rPr>
              <w:t> W;</w:t>
            </w:r>
          </w:p>
          <w:p w:rsidR="002F64C2" w:rsidRPr="002F64C2" w:rsidRDefault="002F64C2" w:rsidP="002F64C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2F64C2">
              <w:rPr>
                <w:sz w:val="20"/>
              </w:rPr>
              <w:t>32.5</w:t>
            </w:r>
            <w:r w:rsidRPr="002F64C2">
              <w:rPr>
                <w:sz w:val="20"/>
              </w:rPr>
              <w:sym w:font="Symbol" w:char="F0B0"/>
            </w:r>
            <w:r w:rsidRPr="002F64C2">
              <w:rPr>
                <w:sz w:val="20"/>
              </w:rPr>
              <w:t> W &lt;</w:t>
            </w:r>
            <w:r w:rsidRPr="002F64C2">
              <w:rPr>
                <w:rFonts w:ascii="Symbol" w:hAnsi="Symbol"/>
                <w:sz w:val="20"/>
              </w:rPr>
              <w:t></w:t>
            </w:r>
            <w:r w:rsidRPr="002F64C2">
              <w:rPr>
                <w:rFonts w:ascii="Symbol" w:hAnsi="Symbol"/>
                <w:sz w:val="20"/>
              </w:rPr>
              <w:t></w:t>
            </w:r>
            <w:r w:rsidRPr="002F64C2">
              <w:rPr>
                <w:sz w:val="20"/>
              </w:rPr>
              <w:t>≤ 31.78</w:t>
            </w:r>
            <w:r w:rsidRPr="002F64C2">
              <w:rPr>
                <w:sz w:val="20"/>
              </w:rPr>
              <w:sym w:font="Symbol" w:char="F0B0"/>
            </w:r>
            <w:r w:rsidRPr="002F64C2">
              <w:rPr>
                <w:sz w:val="20"/>
              </w:rPr>
              <w:t> W;</w:t>
            </w:r>
          </w:p>
          <w:p w:rsidR="002F64C2" w:rsidRPr="002F64C2" w:rsidRDefault="002F64C2" w:rsidP="002F64C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2F64C2">
              <w:rPr>
                <w:sz w:val="20"/>
              </w:rPr>
              <w:t>28.22</w:t>
            </w:r>
            <w:r w:rsidRPr="002F64C2">
              <w:rPr>
                <w:sz w:val="20"/>
              </w:rPr>
              <w:sym w:font="Symbol" w:char="F0B0"/>
            </w:r>
            <w:r w:rsidRPr="002F64C2">
              <w:rPr>
                <w:sz w:val="20"/>
              </w:rPr>
              <w:t xml:space="preserve"> W ≤ </w:t>
            </w:r>
            <w:r w:rsidRPr="002F64C2">
              <w:rPr>
                <w:rFonts w:ascii="Symbol" w:hAnsi="Symbol"/>
                <w:sz w:val="20"/>
              </w:rPr>
              <w:t></w:t>
            </w:r>
            <w:r w:rsidRPr="002F64C2">
              <w:rPr>
                <w:rFonts w:ascii="Symbol" w:hAnsi="Symbol"/>
                <w:sz w:val="20"/>
              </w:rPr>
              <w:t></w:t>
            </w:r>
            <w:r w:rsidRPr="002F64C2">
              <w:rPr>
                <w:sz w:val="20"/>
              </w:rPr>
              <w:t>&lt; 26.0</w:t>
            </w:r>
            <w:r w:rsidRPr="002F64C2">
              <w:rPr>
                <w:sz w:val="20"/>
              </w:rPr>
              <w:sym w:font="Symbol" w:char="F0B0"/>
            </w:r>
            <w:r w:rsidRPr="002F64C2">
              <w:rPr>
                <w:sz w:val="20"/>
              </w:rPr>
              <w:t> W;</w:t>
            </w:r>
          </w:p>
        </w:tc>
      </w:tr>
      <w:tr w:rsidR="002F64C2" w:rsidRPr="002F64C2" w:rsidTr="00E172A3">
        <w:tc>
          <w:tcPr>
            <w:tcW w:w="894" w:type="dxa"/>
            <w:vMerge/>
            <w:tcBorders>
              <w:top w:val="nil"/>
              <w:left w:val="single" w:sz="4" w:space="0" w:color="auto"/>
              <w:bottom w:val="single" w:sz="4" w:space="0" w:color="auto"/>
              <w:right w:val="single" w:sz="4" w:space="0" w:color="auto"/>
            </w:tcBorders>
            <w:vAlign w:val="center"/>
            <w:hideMark/>
          </w:tcPr>
          <w:p w:rsidR="002F64C2" w:rsidRPr="002F64C2" w:rsidRDefault="002F64C2" w:rsidP="002F64C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p>
        </w:tc>
        <w:tc>
          <w:tcPr>
            <w:tcW w:w="1233" w:type="dxa"/>
            <w:vMerge/>
            <w:tcBorders>
              <w:top w:val="nil"/>
              <w:left w:val="single" w:sz="4" w:space="0" w:color="auto"/>
              <w:bottom w:val="single" w:sz="4" w:space="0" w:color="auto"/>
              <w:right w:val="single" w:sz="4" w:space="0" w:color="auto"/>
            </w:tcBorders>
            <w:vAlign w:val="center"/>
            <w:hideMark/>
          </w:tcPr>
          <w:p w:rsidR="002F64C2" w:rsidRPr="002F64C2" w:rsidRDefault="002F64C2" w:rsidP="002F64C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p>
        </w:tc>
        <w:tc>
          <w:tcPr>
            <w:tcW w:w="1707" w:type="dxa"/>
            <w:tcBorders>
              <w:top w:val="nil"/>
              <w:left w:val="nil"/>
              <w:bottom w:val="single" w:sz="4" w:space="0" w:color="auto"/>
              <w:right w:val="single" w:sz="4" w:space="0" w:color="auto"/>
            </w:tcBorders>
            <w:shd w:val="clear" w:color="auto" w:fill="auto"/>
            <w:vAlign w:val="center"/>
            <w:hideMark/>
          </w:tcPr>
          <w:p w:rsidR="002F64C2" w:rsidRPr="002F64C2" w:rsidRDefault="002F64C2" w:rsidP="002F64C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2F64C2">
              <w:rPr>
                <w:sz w:val="20"/>
              </w:rPr>
              <w:t>HISPASAT-37A</w:t>
            </w:r>
          </w:p>
        </w:tc>
        <w:tc>
          <w:tcPr>
            <w:tcW w:w="1520" w:type="dxa"/>
            <w:tcBorders>
              <w:top w:val="single" w:sz="4" w:space="0" w:color="auto"/>
              <w:left w:val="nil"/>
              <w:bottom w:val="single" w:sz="4" w:space="0" w:color="auto"/>
              <w:right w:val="single" w:sz="4" w:space="0" w:color="auto"/>
            </w:tcBorders>
            <w:vAlign w:val="center"/>
          </w:tcPr>
          <w:p w:rsidR="002F64C2" w:rsidRPr="002F64C2" w:rsidRDefault="002F64C2" w:rsidP="002F64C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2F64C2">
              <w:rPr>
                <w:sz w:val="20"/>
              </w:rPr>
              <w:t>19.11.2014</w:t>
            </w:r>
          </w:p>
        </w:tc>
        <w:tc>
          <w:tcPr>
            <w:tcW w:w="1403" w:type="dxa"/>
            <w:tcBorders>
              <w:top w:val="nil"/>
              <w:left w:val="single" w:sz="4" w:space="0" w:color="auto"/>
              <w:bottom w:val="single" w:sz="4" w:space="0" w:color="auto"/>
              <w:right w:val="single" w:sz="4" w:space="0" w:color="auto"/>
            </w:tcBorders>
            <w:shd w:val="clear" w:color="auto" w:fill="auto"/>
            <w:vAlign w:val="center"/>
            <w:hideMark/>
          </w:tcPr>
          <w:p w:rsidR="002F64C2" w:rsidRPr="002F64C2" w:rsidRDefault="002F64C2" w:rsidP="002F64C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2F64C2">
              <w:rPr>
                <w:sz w:val="20"/>
              </w:rPr>
              <w:t>117560019</w:t>
            </w:r>
          </w:p>
        </w:tc>
        <w:tc>
          <w:tcPr>
            <w:tcW w:w="3071" w:type="dxa"/>
            <w:vMerge/>
            <w:tcBorders>
              <w:top w:val="nil"/>
              <w:left w:val="single" w:sz="4" w:space="0" w:color="auto"/>
              <w:bottom w:val="single" w:sz="4" w:space="0" w:color="auto"/>
              <w:right w:val="single" w:sz="4" w:space="0" w:color="auto"/>
            </w:tcBorders>
            <w:vAlign w:val="center"/>
            <w:hideMark/>
          </w:tcPr>
          <w:p w:rsidR="002F64C2" w:rsidRPr="002F64C2" w:rsidRDefault="002F64C2" w:rsidP="002F64C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p>
        </w:tc>
      </w:tr>
      <w:tr w:rsidR="002F64C2" w:rsidRPr="002F64C2" w:rsidTr="00E172A3">
        <w:trPr>
          <w:trHeight w:val="238"/>
        </w:trPr>
        <w:tc>
          <w:tcPr>
            <w:tcW w:w="894" w:type="dxa"/>
            <w:tcBorders>
              <w:top w:val="nil"/>
              <w:left w:val="single" w:sz="4" w:space="0" w:color="auto"/>
              <w:bottom w:val="single" w:sz="4" w:space="0" w:color="auto"/>
              <w:right w:val="single" w:sz="4" w:space="0" w:color="auto"/>
            </w:tcBorders>
            <w:shd w:val="clear" w:color="auto" w:fill="auto"/>
            <w:vAlign w:val="center"/>
            <w:hideMark/>
          </w:tcPr>
          <w:p w:rsidR="002F64C2" w:rsidRPr="002F64C2" w:rsidRDefault="002F64C2" w:rsidP="002F64C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2F64C2">
              <w:rPr>
                <w:sz w:val="20"/>
              </w:rPr>
              <w:t>4.8° E</w:t>
            </w:r>
          </w:p>
        </w:tc>
        <w:tc>
          <w:tcPr>
            <w:tcW w:w="1233" w:type="dxa"/>
            <w:tcBorders>
              <w:top w:val="nil"/>
              <w:left w:val="nil"/>
              <w:bottom w:val="single" w:sz="4" w:space="0" w:color="auto"/>
              <w:right w:val="single" w:sz="4" w:space="0" w:color="auto"/>
            </w:tcBorders>
            <w:shd w:val="clear" w:color="auto" w:fill="auto"/>
            <w:vAlign w:val="center"/>
            <w:hideMark/>
          </w:tcPr>
          <w:p w:rsidR="002F64C2" w:rsidRPr="002F64C2" w:rsidRDefault="002F64C2" w:rsidP="002F64C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2F64C2">
              <w:rPr>
                <w:sz w:val="20"/>
              </w:rPr>
              <w:t>40</w:t>
            </w:r>
          </w:p>
        </w:tc>
        <w:tc>
          <w:tcPr>
            <w:tcW w:w="1707" w:type="dxa"/>
            <w:tcBorders>
              <w:top w:val="nil"/>
              <w:left w:val="nil"/>
              <w:bottom w:val="single" w:sz="4" w:space="0" w:color="auto"/>
              <w:right w:val="single" w:sz="4" w:space="0" w:color="auto"/>
            </w:tcBorders>
            <w:shd w:val="clear" w:color="auto" w:fill="auto"/>
            <w:vAlign w:val="center"/>
            <w:hideMark/>
          </w:tcPr>
          <w:p w:rsidR="002F64C2" w:rsidRPr="002F64C2" w:rsidRDefault="002F64C2" w:rsidP="002F64C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2F64C2">
              <w:rPr>
                <w:sz w:val="20"/>
              </w:rPr>
              <w:t>SIRIUS-N-BSS</w:t>
            </w:r>
          </w:p>
        </w:tc>
        <w:tc>
          <w:tcPr>
            <w:tcW w:w="1520" w:type="dxa"/>
            <w:tcBorders>
              <w:top w:val="single" w:sz="4" w:space="0" w:color="auto"/>
              <w:left w:val="nil"/>
              <w:bottom w:val="single" w:sz="4" w:space="0" w:color="auto"/>
              <w:right w:val="single" w:sz="4" w:space="0" w:color="auto"/>
            </w:tcBorders>
            <w:vAlign w:val="center"/>
          </w:tcPr>
          <w:p w:rsidR="002F64C2" w:rsidRPr="002F64C2" w:rsidRDefault="002F64C2" w:rsidP="002F64C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2F64C2">
              <w:rPr>
                <w:sz w:val="20"/>
              </w:rPr>
              <w:t>17.11.2014</w:t>
            </w:r>
          </w:p>
        </w:tc>
        <w:tc>
          <w:tcPr>
            <w:tcW w:w="1403" w:type="dxa"/>
            <w:tcBorders>
              <w:top w:val="nil"/>
              <w:left w:val="single" w:sz="4" w:space="0" w:color="auto"/>
              <w:bottom w:val="single" w:sz="4" w:space="0" w:color="auto"/>
              <w:right w:val="single" w:sz="4" w:space="0" w:color="auto"/>
            </w:tcBorders>
            <w:shd w:val="clear" w:color="auto" w:fill="auto"/>
            <w:vAlign w:val="center"/>
            <w:hideMark/>
          </w:tcPr>
          <w:p w:rsidR="002F64C2" w:rsidRPr="002F64C2" w:rsidRDefault="002F64C2" w:rsidP="002F64C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2F64C2">
              <w:rPr>
                <w:sz w:val="20"/>
              </w:rPr>
              <w:t>118560003</w:t>
            </w:r>
          </w:p>
        </w:tc>
        <w:tc>
          <w:tcPr>
            <w:tcW w:w="3071" w:type="dxa"/>
            <w:tcBorders>
              <w:top w:val="nil"/>
              <w:left w:val="nil"/>
              <w:bottom w:val="single" w:sz="4" w:space="0" w:color="auto"/>
              <w:right w:val="single" w:sz="4" w:space="0" w:color="auto"/>
            </w:tcBorders>
            <w:shd w:val="clear" w:color="auto" w:fill="auto"/>
            <w:vAlign w:val="center"/>
            <w:hideMark/>
          </w:tcPr>
          <w:p w:rsidR="002F64C2" w:rsidRPr="002F64C2" w:rsidRDefault="002F64C2" w:rsidP="002F64C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2F64C2">
              <w:rPr>
                <w:sz w:val="20"/>
              </w:rPr>
              <w:t>0 &lt;</w:t>
            </w:r>
            <w:r w:rsidRPr="002F64C2">
              <w:rPr>
                <w:rFonts w:ascii="Symbol" w:hAnsi="Symbol"/>
                <w:sz w:val="20"/>
              </w:rPr>
              <w:t></w:t>
            </w:r>
            <w:r w:rsidRPr="002F64C2">
              <w:rPr>
                <w:rFonts w:ascii="Symbol" w:hAnsi="Symbol"/>
                <w:sz w:val="20"/>
              </w:rPr>
              <w:t></w:t>
            </w:r>
            <w:r w:rsidRPr="002F64C2">
              <w:rPr>
                <w:sz w:val="20"/>
              </w:rPr>
              <w:t>≤ 2.93</w:t>
            </w:r>
            <w:r w:rsidRPr="002F64C2">
              <w:rPr>
                <w:sz w:val="20"/>
              </w:rPr>
              <w:sym w:font="Symbol" w:char="F0B0"/>
            </w:r>
            <w:r w:rsidRPr="002F64C2">
              <w:rPr>
                <w:sz w:val="20"/>
              </w:rPr>
              <w:t> E;</w:t>
            </w:r>
          </w:p>
          <w:p w:rsidR="002F64C2" w:rsidRPr="002F64C2" w:rsidRDefault="002F64C2" w:rsidP="002F64C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2F64C2">
              <w:rPr>
                <w:sz w:val="20"/>
              </w:rPr>
              <w:t>6.67</w:t>
            </w:r>
            <w:r w:rsidRPr="002F64C2">
              <w:rPr>
                <w:sz w:val="20"/>
              </w:rPr>
              <w:sym w:font="Symbol" w:char="F0B0"/>
            </w:r>
            <w:r w:rsidRPr="002F64C2">
              <w:rPr>
                <w:sz w:val="20"/>
              </w:rPr>
              <w:t xml:space="preserve"> E ≤ </w:t>
            </w:r>
            <w:r w:rsidRPr="002F64C2">
              <w:rPr>
                <w:rFonts w:ascii="Symbol" w:hAnsi="Symbol"/>
                <w:sz w:val="20"/>
              </w:rPr>
              <w:t></w:t>
            </w:r>
            <w:r w:rsidRPr="002F64C2">
              <w:rPr>
                <w:rFonts w:ascii="Symbol" w:hAnsi="Symbol"/>
                <w:sz w:val="20"/>
              </w:rPr>
              <w:t></w:t>
            </w:r>
            <w:r w:rsidRPr="002F64C2">
              <w:rPr>
                <w:sz w:val="20"/>
              </w:rPr>
              <w:t>&lt; 9.0</w:t>
            </w:r>
            <w:r w:rsidRPr="002F64C2">
              <w:rPr>
                <w:sz w:val="20"/>
              </w:rPr>
              <w:sym w:font="Symbol" w:char="F0B0"/>
            </w:r>
            <w:r w:rsidRPr="002F64C2">
              <w:rPr>
                <w:sz w:val="20"/>
              </w:rPr>
              <w:t> E;</w:t>
            </w:r>
          </w:p>
          <w:p w:rsidR="002F64C2" w:rsidRPr="002F64C2" w:rsidRDefault="002F64C2" w:rsidP="002F64C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2F64C2">
              <w:rPr>
                <w:sz w:val="20"/>
              </w:rPr>
              <w:t>9</w:t>
            </w:r>
            <w:r w:rsidRPr="002F64C2">
              <w:rPr>
                <w:sz w:val="20"/>
              </w:rPr>
              <w:sym w:font="Symbol" w:char="F0B0"/>
            </w:r>
            <w:r w:rsidRPr="002F64C2">
              <w:rPr>
                <w:sz w:val="20"/>
              </w:rPr>
              <w:t> E &lt;</w:t>
            </w:r>
            <w:r w:rsidRPr="002F64C2">
              <w:rPr>
                <w:rFonts w:ascii="Symbol" w:hAnsi="Symbol"/>
                <w:sz w:val="20"/>
              </w:rPr>
              <w:t></w:t>
            </w:r>
            <w:r w:rsidRPr="002F64C2">
              <w:rPr>
                <w:rFonts w:ascii="Symbol" w:hAnsi="Symbol"/>
                <w:sz w:val="20"/>
              </w:rPr>
              <w:t></w:t>
            </w:r>
            <w:r w:rsidRPr="002F64C2">
              <w:rPr>
                <w:sz w:val="20"/>
              </w:rPr>
              <w:t>≤ 10</w:t>
            </w:r>
            <w:r w:rsidRPr="002F64C2">
              <w:rPr>
                <w:sz w:val="20"/>
              </w:rPr>
              <w:sym w:font="Symbol" w:char="F0B0"/>
            </w:r>
            <w:r w:rsidRPr="002F64C2">
              <w:rPr>
                <w:sz w:val="20"/>
              </w:rPr>
              <w:t> E.</w:t>
            </w:r>
          </w:p>
        </w:tc>
      </w:tr>
      <w:tr w:rsidR="002F64C2" w:rsidRPr="002F64C2" w:rsidTr="00E172A3">
        <w:trPr>
          <w:trHeight w:val="238"/>
        </w:trPr>
        <w:tc>
          <w:tcPr>
            <w:tcW w:w="9828" w:type="dxa"/>
            <w:gridSpan w:val="6"/>
            <w:tcBorders>
              <w:top w:val="single" w:sz="4" w:space="0" w:color="auto"/>
            </w:tcBorders>
            <w:shd w:val="clear" w:color="auto" w:fill="auto"/>
            <w:vAlign w:val="center"/>
          </w:tcPr>
          <w:p w:rsidR="002F64C2" w:rsidRPr="002F64C2" w:rsidRDefault="002F64C2" w:rsidP="002F64C2">
            <w:pPr>
              <w:rPr>
                <w:sz w:val="20"/>
              </w:rPr>
            </w:pPr>
            <w:r w:rsidRPr="002F64C2">
              <w:rPr>
                <w:sz w:val="20"/>
              </w:rPr>
              <w:t xml:space="preserve">Where </w:t>
            </w:r>
            <w:r w:rsidRPr="002F64C2">
              <w:rPr>
                <w:rFonts w:ascii="Symbol" w:hAnsi="Symbol"/>
                <w:sz w:val="20"/>
              </w:rPr>
              <w:t></w:t>
            </w:r>
            <w:r w:rsidRPr="002F64C2">
              <w:rPr>
                <w:sz w:val="20"/>
              </w:rPr>
              <w:t xml:space="preserve"> is the orbital position within the orbital segment defined in the table above.</w:t>
            </w:r>
          </w:p>
        </w:tc>
      </w:tr>
    </w:tbl>
    <w:p w:rsidR="002F64C2" w:rsidRPr="002F64C2" w:rsidRDefault="002F64C2" w:rsidP="002F64C2">
      <w:pPr>
        <w:tabs>
          <w:tab w:val="left" w:pos="284"/>
        </w:tabs>
        <w:spacing w:before="80"/>
        <w:rPr>
          <w:i/>
          <w:iCs/>
        </w:rPr>
      </w:pPr>
      <w:r w:rsidRPr="002F64C2">
        <w:rPr>
          <w:i/>
          <w:iCs/>
        </w:rPr>
        <w:t>N</w:t>
      </w:r>
      <w:r w:rsidRPr="002F64C2">
        <w:rPr>
          <w:bCs/>
          <w:i/>
          <w:iCs/>
        </w:rPr>
        <w:t>OTE - C</w:t>
      </w:r>
      <w:r w:rsidRPr="002F64C2">
        <w:rPr>
          <w:i/>
          <w:iCs/>
        </w:rPr>
        <w:t>urrently, the proposed table contains all possible satellite networks that could comply with the conditions specified in resolves 1. WRC-19 will update this table to reflect the satellite networks that in fact comply with these conditions.</w:t>
      </w:r>
    </w:p>
    <w:p w:rsidR="002F64C2" w:rsidRPr="002F64C2" w:rsidRDefault="002F64C2" w:rsidP="002F64C2">
      <w:pPr>
        <w:tabs>
          <w:tab w:val="clear" w:pos="1871"/>
          <w:tab w:val="clear" w:pos="2268"/>
          <w:tab w:val="left" w:pos="1588"/>
          <w:tab w:val="left" w:pos="1985"/>
        </w:tabs>
      </w:pPr>
    </w:p>
    <w:p w:rsidR="00684A95" w:rsidRDefault="00CB134E">
      <w:pPr>
        <w:pStyle w:val="Reasons"/>
      </w:pPr>
      <w:r>
        <w:rPr>
          <w:b/>
        </w:rPr>
        <w:t>Reasons:</w:t>
      </w:r>
      <w:r>
        <w:tab/>
      </w:r>
      <w:r w:rsidR="002F64C2" w:rsidRPr="002F64C2">
        <w:t xml:space="preserve">The addition of this new WRC-19 Resolution to the Radio Regulations is necessary in order to ensure protection, in accordance with the criteria of RR Appendix </w:t>
      </w:r>
      <w:r w:rsidR="002F64C2" w:rsidRPr="002F64C2">
        <w:rPr>
          <w:b/>
          <w:bCs/>
        </w:rPr>
        <w:t>30</w:t>
      </w:r>
      <w:r w:rsidR="002F64C2" w:rsidRPr="002F64C2">
        <w:t xml:space="preserve"> (Rev.WRC-15), of frequency assignments brought into use on the geostationary arc between </w:t>
      </w:r>
      <w:r w:rsidR="002F64C2" w:rsidRPr="002F64C2">
        <w:rPr>
          <w:lang w:val="en-US"/>
        </w:rPr>
        <w:t xml:space="preserve">37.2° W and 10° E </w:t>
      </w:r>
      <w:r w:rsidR="002F64C2" w:rsidRPr="002F64C2">
        <w:t>with an earth station antenna diameter of 40 and 45 cm.</w:t>
      </w:r>
    </w:p>
    <w:p w:rsidR="00684A95" w:rsidRDefault="00CB134E">
      <w:pPr>
        <w:pStyle w:val="Proposal"/>
      </w:pPr>
      <w:r>
        <w:lastRenderedPageBreak/>
        <w:t>ADD</w:t>
      </w:r>
      <w:r>
        <w:tab/>
        <w:t>RCC/12A4/11</w:t>
      </w:r>
      <w:r>
        <w:rPr>
          <w:vanish/>
          <w:color w:val="7F7F7F" w:themeColor="text1" w:themeTint="80"/>
          <w:vertAlign w:val="superscript"/>
        </w:rPr>
        <w:t>#49982</w:t>
      </w:r>
    </w:p>
    <w:p w:rsidR="002F64C2" w:rsidRPr="002F64C2" w:rsidRDefault="002F64C2" w:rsidP="002F64C2">
      <w:pPr>
        <w:keepNext/>
        <w:keepLines/>
        <w:spacing w:before="480"/>
        <w:jc w:val="center"/>
        <w:rPr>
          <w:caps/>
          <w:sz w:val="28"/>
        </w:rPr>
      </w:pPr>
      <w:r w:rsidRPr="002F64C2">
        <w:rPr>
          <w:caps/>
          <w:sz w:val="28"/>
        </w:rPr>
        <w:t xml:space="preserve">DRAFT NEW RESOLUTION </w:t>
      </w:r>
      <w:r w:rsidRPr="002F64C2">
        <w:rPr>
          <w:sz w:val="28"/>
          <w:szCs w:val="28"/>
        </w:rPr>
        <w:t>[RCC/B14-PRIORITY]</w:t>
      </w:r>
      <w:r w:rsidRPr="002F64C2">
        <w:rPr>
          <w:caps/>
          <w:sz w:val="28"/>
        </w:rPr>
        <w:t xml:space="preserve"> (WRC-19)</w:t>
      </w:r>
    </w:p>
    <w:p w:rsidR="002F64C2" w:rsidRPr="002F64C2" w:rsidRDefault="002F64C2" w:rsidP="002F64C2">
      <w:pPr>
        <w:keepNext/>
        <w:keepLines/>
        <w:spacing w:before="240"/>
        <w:jc w:val="center"/>
        <w:rPr>
          <w:rFonts w:ascii="Times New Roman Bold" w:hAnsi="Times New Roman Bold"/>
          <w:b/>
          <w:sz w:val="28"/>
        </w:rPr>
      </w:pPr>
      <w:r w:rsidRPr="002F64C2">
        <w:rPr>
          <w:rFonts w:ascii="Times New Roman Bold" w:hAnsi="Times New Roman Bold"/>
          <w:b/>
          <w:sz w:val="28"/>
        </w:rPr>
        <w:t xml:space="preserve">Additional temporary regulatory measures following deletion </w:t>
      </w:r>
      <w:r w:rsidRPr="002F64C2">
        <w:rPr>
          <w:rFonts w:ascii="Times New Roman Bold" w:hAnsi="Times New Roman Bold"/>
          <w:b/>
          <w:sz w:val="28"/>
        </w:rPr>
        <w:br/>
        <w:t>of part of Annex 7 to Appendix 30 by WRC-19</w:t>
      </w:r>
    </w:p>
    <w:p w:rsidR="002F64C2" w:rsidRPr="002F64C2" w:rsidRDefault="002F64C2" w:rsidP="002F64C2">
      <w:pPr>
        <w:keepNext/>
        <w:spacing w:before="280"/>
      </w:pPr>
      <w:r w:rsidRPr="002F64C2">
        <w:t>The World Radiocommunication Conference (Sharm el-Sheikh, 2019),</w:t>
      </w:r>
    </w:p>
    <w:p w:rsidR="002F64C2" w:rsidRPr="002F64C2" w:rsidRDefault="002F64C2" w:rsidP="002F64C2">
      <w:pPr>
        <w:keepNext/>
        <w:keepLines/>
        <w:spacing w:before="160"/>
        <w:ind w:left="1134"/>
        <w:rPr>
          <w:i/>
        </w:rPr>
      </w:pPr>
      <w:r w:rsidRPr="002F64C2">
        <w:rPr>
          <w:i/>
        </w:rPr>
        <w:t>considering</w:t>
      </w:r>
    </w:p>
    <w:p w:rsidR="002F64C2" w:rsidRPr="002F64C2" w:rsidRDefault="002F64C2" w:rsidP="002F64C2">
      <w:pPr>
        <w:rPr>
          <w:rFonts w:eastAsia="Calibri"/>
          <w:lang w:eastAsia="zh-CN"/>
        </w:rPr>
      </w:pPr>
      <w:r w:rsidRPr="002F64C2">
        <w:rPr>
          <w:i/>
          <w:iCs/>
        </w:rPr>
        <w:t>a)</w:t>
      </w:r>
      <w:r w:rsidRPr="002F64C2">
        <w:tab/>
      </w:r>
      <w:r w:rsidRPr="002F64C2">
        <w:rPr>
          <w:rFonts w:eastAsia="Calibri"/>
          <w:lang w:eastAsia="zh-CN"/>
        </w:rPr>
        <w:t>that some national assignments especially those of developing countries in the Regions 1 and 3 Plan have equivalent downlink protection margin values in the RR Appendix </w:t>
      </w:r>
      <w:r w:rsidRPr="002F64C2">
        <w:rPr>
          <w:rFonts w:eastAsia="Calibri"/>
          <w:b/>
          <w:bCs/>
        </w:rPr>
        <w:t>30</w:t>
      </w:r>
      <w:r w:rsidRPr="002F64C2">
        <w:rPr>
          <w:rFonts w:eastAsia="Calibri"/>
          <w:lang w:eastAsia="zh-CN"/>
        </w:rPr>
        <w:t xml:space="preserve"> </w:t>
      </w:r>
      <w:r w:rsidRPr="002F64C2">
        <w:rPr>
          <w:rFonts w:eastAsia="Calibri"/>
          <w:bCs/>
          <w:lang w:eastAsia="zh-CN"/>
        </w:rPr>
        <w:t>equal or</w:t>
      </w:r>
      <w:r w:rsidRPr="002F64C2">
        <w:rPr>
          <w:rFonts w:eastAsia="Calibri"/>
          <w:lang w:eastAsia="zh-CN"/>
        </w:rPr>
        <w:t xml:space="preserve"> below −10 dB;</w:t>
      </w:r>
    </w:p>
    <w:p w:rsidR="002F64C2" w:rsidRPr="002F64C2" w:rsidRDefault="002F64C2" w:rsidP="002F64C2">
      <w:pPr>
        <w:rPr>
          <w:rFonts w:eastAsia="Calibri"/>
          <w:lang w:eastAsia="zh-CN"/>
        </w:rPr>
      </w:pPr>
      <w:r w:rsidRPr="002F64C2">
        <w:rPr>
          <w:rFonts w:eastAsia="Calibri"/>
          <w:i/>
          <w:iCs/>
          <w:lang w:eastAsia="zh-CN"/>
        </w:rPr>
        <w:t>b)</w:t>
      </w:r>
      <w:r w:rsidRPr="002F64C2">
        <w:rPr>
          <w:rFonts w:eastAsia="Calibri"/>
          <w:lang w:eastAsia="zh-CN"/>
        </w:rPr>
        <w:tab/>
        <w:t>that implementation of a national assignment in the Regions 1 and 3 Plan with an equivalent downlink protection margin equal or below −10 dB would be difficult;</w:t>
      </w:r>
    </w:p>
    <w:p w:rsidR="002F64C2" w:rsidRPr="002F64C2" w:rsidRDefault="002F64C2" w:rsidP="002F64C2">
      <w:pPr>
        <w:rPr>
          <w:rFonts w:eastAsia="Calibri"/>
          <w:lang w:eastAsia="zh-CN"/>
        </w:rPr>
      </w:pPr>
      <w:r w:rsidRPr="002F64C2">
        <w:rPr>
          <w:rFonts w:eastAsia="Calibri"/>
          <w:i/>
          <w:iCs/>
          <w:lang w:eastAsia="zh-CN"/>
        </w:rPr>
        <w:t>c)</w:t>
      </w:r>
      <w:r w:rsidRPr="002F64C2">
        <w:rPr>
          <w:rFonts w:eastAsia="Calibri"/>
          <w:lang w:eastAsia="zh-CN"/>
        </w:rPr>
        <w:tab/>
        <w:t>that any modification of orbital position and other parameters of a national assignment in the Appendix </w:t>
      </w:r>
      <w:r w:rsidRPr="002F64C2">
        <w:rPr>
          <w:rFonts w:eastAsia="Calibri"/>
          <w:b/>
          <w:bCs/>
        </w:rPr>
        <w:t>30</w:t>
      </w:r>
      <w:r w:rsidRPr="002F64C2">
        <w:rPr>
          <w:rFonts w:eastAsia="Calibri"/>
          <w:lang w:eastAsia="zh-CN"/>
        </w:rPr>
        <w:t xml:space="preserve"> Plan would require a corresponding modification of the orbital position and other parameters in the Appendix </w:t>
      </w:r>
      <w:r w:rsidRPr="002F64C2">
        <w:rPr>
          <w:rFonts w:eastAsia="Calibri"/>
          <w:b/>
          <w:bCs/>
        </w:rPr>
        <w:t>30A</w:t>
      </w:r>
      <w:r w:rsidRPr="002F64C2">
        <w:rPr>
          <w:rFonts w:eastAsia="Calibri"/>
          <w:lang w:eastAsia="zh-CN"/>
        </w:rPr>
        <w:t xml:space="preserve"> feeder-link Plan,</w:t>
      </w:r>
    </w:p>
    <w:p w:rsidR="002F64C2" w:rsidRPr="002F64C2" w:rsidRDefault="002F64C2" w:rsidP="002F64C2">
      <w:pPr>
        <w:keepNext/>
        <w:keepLines/>
        <w:spacing w:before="160"/>
        <w:ind w:left="1134"/>
        <w:rPr>
          <w:i/>
        </w:rPr>
      </w:pPr>
      <w:r w:rsidRPr="002F64C2">
        <w:rPr>
          <w:i/>
        </w:rPr>
        <w:t>recognizing</w:t>
      </w:r>
    </w:p>
    <w:p w:rsidR="002F64C2" w:rsidRPr="002F64C2" w:rsidRDefault="002F64C2" w:rsidP="002F64C2">
      <w:pPr>
        <w:rPr>
          <w:rFonts w:eastAsia="Calibri"/>
          <w:lang w:eastAsia="zh-CN"/>
        </w:rPr>
      </w:pPr>
      <w:r w:rsidRPr="002F64C2">
        <w:rPr>
          <w:rFonts w:ascii="TimesNewRoman,Italic" w:hAnsi="TimesNewRoman,Italic" w:cs="TimesNewRoman,Italic"/>
          <w:i/>
          <w:iCs/>
        </w:rPr>
        <w:t>a)</w:t>
      </w:r>
      <w:r w:rsidRPr="002F64C2">
        <w:rPr>
          <w:rFonts w:ascii="TimesNewRoman,Italic" w:hAnsi="TimesNewRoman,Italic" w:cs="TimesNewRoman,Italic"/>
          <w:i/>
          <w:iCs/>
        </w:rPr>
        <w:tab/>
      </w:r>
      <w:r w:rsidRPr="002F64C2">
        <w:rPr>
          <w:rFonts w:eastAsia="Calibri"/>
          <w:lang w:eastAsia="zh-CN"/>
        </w:rPr>
        <w:t xml:space="preserve">that Article 44 of the ITU Constitution stipulates that: </w:t>
      </w:r>
      <w:r w:rsidRPr="002F64C2">
        <w:rPr>
          <w:rFonts w:eastAsia="Calibri"/>
          <w:i/>
          <w:iCs/>
          <w:lang w:eastAsia="zh-CN"/>
        </w:rPr>
        <w:t>“In using frequency bands for radio services, Member States shall bear in mind that radio frequencies and any associated orbits, including the geostationary-satellite orbit, are limited natural resources and that they must be used rationally, efficiently and economically, in conformity with the provisions of the Radio Regulations, so that countries or groups of countries may have equitable access to those orbits and frequencies, taking account the special needs of the developing countries and the geographical situation of particular countries”</w:t>
      </w:r>
      <w:r w:rsidRPr="002F64C2">
        <w:rPr>
          <w:rFonts w:eastAsia="Calibri"/>
          <w:lang w:eastAsia="zh-CN"/>
        </w:rPr>
        <w:t>;</w:t>
      </w:r>
    </w:p>
    <w:p w:rsidR="002F64C2" w:rsidRPr="002F64C2" w:rsidRDefault="002F64C2" w:rsidP="002F64C2">
      <w:pPr>
        <w:rPr>
          <w:rFonts w:eastAsia="Calibri"/>
          <w:lang w:eastAsia="zh-CN"/>
        </w:rPr>
      </w:pPr>
      <w:r w:rsidRPr="002F64C2">
        <w:rPr>
          <w:rFonts w:eastAsia="Calibri"/>
          <w:i/>
          <w:iCs/>
          <w:lang w:eastAsia="zh-CN"/>
        </w:rPr>
        <w:t>b)</w:t>
      </w:r>
      <w:r w:rsidRPr="002F64C2">
        <w:rPr>
          <w:rFonts w:eastAsia="Calibri"/>
          <w:lang w:eastAsia="zh-CN"/>
        </w:rPr>
        <w:tab/>
        <w:t>that Resolution 71 (Rev. Busan, 2014) of the Plenipotentiary Conference, ITU includes the ITU strategic plan for 2016-2019, which contains, as one of the strategic objectives of ITU</w:t>
      </w:r>
      <w:r w:rsidRPr="002F64C2">
        <w:rPr>
          <w:rFonts w:eastAsia="Calibri"/>
          <w:lang w:eastAsia="zh-CN"/>
        </w:rPr>
        <w:noBreakHyphen/>
        <w:t xml:space="preserve">R: </w:t>
      </w:r>
      <w:r w:rsidRPr="002F64C2">
        <w:rPr>
          <w:rFonts w:eastAsia="Calibri"/>
          <w:i/>
          <w:iCs/>
          <w:lang w:eastAsia="zh-CN"/>
        </w:rPr>
        <w:t>“Meet, in a rational, equitable, efficient, economical and timely way, the ITU membership’s requirements for radio-frequency spectrum and satellite-orbit resources, while avoiding harmful interference”</w:t>
      </w:r>
      <w:r w:rsidRPr="002F64C2">
        <w:rPr>
          <w:rFonts w:eastAsia="Calibri"/>
          <w:lang w:eastAsia="zh-CN"/>
        </w:rPr>
        <w:t>,</w:t>
      </w:r>
    </w:p>
    <w:p w:rsidR="002F64C2" w:rsidRPr="002F64C2" w:rsidRDefault="002F64C2" w:rsidP="002F64C2">
      <w:pPr>
        <w:keepNext/>
        <w:keepLines/>
        <w:spacing w:before="160"/>
        <w:ind w:left="1134"/>
        <w:rPr>
          <w:i/>
        </w:rPr>
      </w:pPr>
      <w:r w:rsidRPr="002F64C2">
        <w:rPr>
          <w:i/>
        </w:rPr>
        <w:t>resolves</w:t>
      </w:r>
    </w:p>
    <w:p w:rsidR="002F64C2" w:rsidRPr="002F64C2" w:rsidRDefault="002F64C2" w:rsidP="002F64C2">
      <w:bookmarkStart w:id="69" w:name="_Hlk1822012"/>
      <w:r w:rsidRPr="002F64C2">
        <w:t>1</w:t>
      </w:r>
      <w:r w:rsidRPr="002F64C2">
        <w:tab/>
        <w:t>that as of 23 March 2020 and for a period until 21 May 2020, the special procedure outlined in the Attachment to this Resolution shall be applied in respect of submissions of Regions</w:t>
      </w:r>
      <w:r w:rsidRPr="002F64C2">
        <w:rPr>
          <w:rFonts w:eastAsia="Calibri"/>
          <w:lang w:eastAsia="zh-CN"/>
        </w:rPr>
        <w:t> </w:t>
      </w:r>
      <w:r w:rsidRPr="002F64C2">
        <w:t>1 and</w:t>
      </w:r>
      <w:r w:rsidRPr="002F64C2">
        <w:rPr>
          <w:rFonts w:eastAsia="Calibri"/>
          <w:lang w:eastAsia="zh-CN"/>
        </w:rPr>
        <w:t> </w:t>
      </w:r>
      <w:r w:rsidRPr="002F64C2">
        <w:t>3 administrations under § 4.1.3 of Appendices </w:t>
      </w:r>
      <w:r w:rsidRPr="002F64C2">
        <w:rPr>
          <w:b/>
          <w:bCs/>
        </w:rPr>
        <w:t>30</w:t>
      </w:r>
      <w:r w:rsidRPr="002F64C2">
        <w:t xml:space="preserve"> and </w:t>
      </w:r>
      <w:r w:rsidRPr="002F64C2">
        <w:rPr>
          <w:b/>
          <w:bCs/>
        </w:rPr>
        <w:t>30A</w:t>
      </w:r>
      <w:r w:rsidRPr="002F64C2">
        <w:t xml:space="preserve"> in Regions 1 and 3 meeting the specified requirements in § 1 of the Attachment to the Resolution at an orbital position of orbital arcs for which the Annex 7 to Appendix </w:t>
      </w:r>
      <w:r w:rsidRPr="002F64C2">
        <w:rPr>
          <w:b/>
          <w:bCs/>
        </w:rPr>
        <w:t xml:space="preserve">30 (Rev.WRC-15) </w:t>
      </w:r>
      <w:r w:rsidRPr="002F64C2">
        <w:t>limitations were suppressed by WRC</w:t>
      </w:r>
      <w:r w:rsidRPr="002F64C2">
        <w:noBreakHyphen/>
        <w:t>19. Submissions sent before 23 March 2020 shall be returned to the administration;</w:t>
      </w:r>
    </w:p>
    <w:p w:rsidR="002F64C2" w:rsidRPr="002F64C2" w:rsidRDefault="002F64C2" w:rsidP="002F64C2">
      <w:r w:rsidRPr="002F64C2">
        <w:t>2</w:t>
      </w:r>
      <w:r w:rsidRPr="002F64C2">
        <w:tab/>
        <w:t>that as of 23 November 2019 and for a period until 21 May 2020, all submissions under § 4.1.3 of Appendices</w:t>
      </w:r>
      <w:r w:rsidRPr="002F64C2">
        <w:rPr>
          <w:rFonts w:eastAsia="Calibri"/>
          <w:lang w:eastAsia="zh-CN"/>
        </w:rPr>
        <w:t> </w:t>
      </w:r>
      <w:r w:rsidRPr="002F64C2">
        <w:rPr>
          <w:rFonts w:eastAsia="Calibri"/>
          <w:b/>
          <w:bCs/>
        </w:rPr>
        <w:t>30</w:t>
      </w:r>
      <w:r w:rsidRPr="002F64C2">
        <w:rPr>
          <w:rFonts w:eastAsia="Calibri"/>
          <w:lang w:eastAsia="zh-CN"/>
        </w:rPr>
        <w:t xml:space="preserve"> </w:t>
      </w:r>
      <w:r w:rsidRPr="002F64C2">
        <w:t>and</w:t>
      </w:r>
      <w:r w:rsidRPr="002F64C2">
        <w:rPr>
          <w:rFonts w:eastAsia="Calibri"/>
          <w:lang w:eastAsia="zh-CN"/>
        </w:rPr>
        <w:t> </w:t>
      </w:r>
      <w:r w:rsidRPr="002F64C2">
        <w:rPr>
          <w:b/>
          <w:bCs/>
        </w:rPr>
        <w:t>30A</w:t>
      </w:r>
      <w:r w:rsidRPr="002F64C2">
        <w:t xml:space="preserve"> in Regions 1 and 3 not meeting the specified requirements in § 1 of the Attachment to the Resolution at an orbital position within orbital arcs for which the Annex</w:t>
      </w:r>
      <w:r w:rsidRPr="002F64C2">
        <w:rPr>
          <w:rFonts w:eastAsia="Calibri"/>
          <w:lang w:eastAsia="zh-CN"/>
        </w:rPr>
        <w:t> </w:t>
      </w:r>
      <w:r w:rsidRPr="002F64C2">
        <w:t>7 to Appendix</w:t>
      </w:r>
      <w:r w:rsidRPr="002F64C2">
        <w:rPr>
          <w:rFonts w:eastAsia="Calibri"/>
          <w:lang w:eastAsia="zh-CN"/>
        </w:rPr>
        <w:t> </w:t>
      </w:r>
      <w:r w:rsidRPr="002F64C2">
        <w:rPr>
          <w:rFonts w:eastAsia="Calibri"/>
          <w:b/>
          <w:bCs/>
        </w:rPr>
        <w:t>30</w:t>
      </w:r>
      <w:r w:rsidRPr="002F64C2">
        <w:rPr>
          <w:rFonts w:eastAsia="Calibri"/>
          <w:lang w:eastAsia="zh-CN"/>
        </w:rPr>
        <w:t xml:space="preserve"> </w:t>
      </w:r>
      <w:r w:rsidRPr="002F64C2">
        <w:rPr>
          <w:b/>
          <w:bCs/>
        </w:rPr>
        <w:t>(Rev.WRC</w:t>
      </w:r>
      <w:r w:rsidRPr="002F64C2">
        <w:rPr>
          <w:b/>
          <w:bCs/>
        </w:rPr>
        <w:noBreakHyphen/>
        <w:t>15)</w:t>
      </w:r>
      <w:r w:rsidRPr="002F64C2">
        <w:t xml:space="preserve"> limitations were suppressed by WRC</w:t>
      </w:r>
      <w:r w:rsidRPr="002F64C2">
        <w:noBreakHyphen/>
        <w:t>19 shall be considered as received by BR on the 22 May 2020,</w:t>
      </w:r>
    </w:p>
    <w:bookmarkEnd w:id="69"/>
    <w:p w:rsidR="002F64C2" w:rsidRPr="002F64C2" w:rsidRDefault="002F64C2" w:rsidP="002F64C2">
      <w:pPr>
        <w:keepNext/>
        <w:keepLines/>
        <w:spacing w:before="160"/>
        <w:ind w:left="1134"/>
        <w:rPr>
          <w:i/>
        </w:rPr>
      </w:pPr>
      <w:r w:rsidRPr="002F64C2">
        <w:rPr>
          <w:i/>
        </w:rPr>
        <w:lastRenderedPageBreak/>
        <w:t>instructs the Director of the Radiocommunication Bureau</w:t>
      </w:r>
    </w:p>
    <w:p w:rsidR="002F64C2" w:rsidRPr="002F64C2" w:rsidRDefault="002F64C2" w:rsidP="002F64C2">
      <w:r w:rsidRPr="002F64C2">
        <w:t>to identify the administrations that meet the conditions of Section 1 of the Attachment to this Resolution and inform these administrations accordingly.</w:t>
      </w:r>
    </w:p>
    <w:p w:rsidR="002F64C2" w:rsidRPr="002F64C2" w:rsidRDefault="002F64C2" w:rsidP="002F64C2">
      <w:pPr>
        <w:keepNext/>
        <w:keepLines/>
        <w:spacing w:before="480" w:after="80"/>
        <w:jc w:val="center"/>
        <w:rPr>
          <w:caps/>
          <w:sz w:val="28"/>
        </w:rPr>
      </w:pPr>
      <w:r w:rsidRPr="002F64C2">
        <w:rPr>
          <w:caps/>
          <w:sz w:val="28"/>
        </w:rPr>
        <w:t xml:space="preserve">ATTACHMENT TO DRAFT NEW RESOLUTION </w:t>
      </w:r>
      <w:r w:rsidRPr="002F64C2">
        <w:rPr>
          <w:sz w:val="28"/>
          <w:szCs w:val="28"/>
        </w:rPr>
        <w:t>[RCC/B14-PRIORITY]</w:t>
      </w:r>
      <w:r w:rsidRPr="002F64C2">
        <w:rPr>
          <w:caps/>
          <w:sz w:val="28"/>
        </w:rPr>
        <w:t xml:space="preserve"> (WRC</w:t>
      </w:r>
      <w:r w:rsidRPr="002F64C2">
        <w:rPr>
          <w:caps/>
          <w:sz w:val="28"/>
        </w:rPr>
        <w:noBreakHyphen/>
        <w:t>19)</w:t>
      </w:r>
    </w:p>
    <w:p w:rsidR="002F64C2" w:rsidRPr="002F64C2" w:rsidRDefault="002F64C2" w:rsidP="002F64C2">
      <w:pPr>
        <w:keepNext/>
        <w:keepLines/>
        <w:spacing w:after="280"/>
        <w:jc w:val="center"/>
        <w:rPr>
          <w:rFonts w:ascii="Times New Roman Bold" w:hAnsi="Times New Roman Bold"/>
          <w:b/>
          <w:sz w:val="28"/>
        </w:rPr>
      </w:pPr>
      <w:r w:rsidRPr="002F64C2">
        <w:rPr>
          <w:rFonts w:ascii="Times New Roman Bold" w:hAnsi="Times New Roman Bold"/>
          <w:b/>
          <w:sz w:val="28"/>
        </w:rPr>
        <w:t xml:space="preserve">Additional temporary regulatory measures following deletion of part </w:t>
      </w:r>
      <w:r w:rsidRPr="002F64C2">
        <w:rPr>
          <w:rFonts w:ascii="Times New Roman Bold" w:hAnsi="Times New Roman Bold"/>
          <w:b/>
          <w:sz w:val="28"/>
        </w:rPr>
        <w:br/>
        <w:t>of Annex 7 to Appendix 30 by WRC</w:t>
      </w:r>
      <w:r w:rsidRPr="002F64C2">
        <w:rPr>
          <w:rFonts w:ascii="Times New Roman Bold" w:hAnsi="Times New Roman Bold"/>
          <w:b/>
          <w:sz w:val="28"/>
        </w:rPr>
        <w:noBreakHyphen/>
        <w:t>19</w:t>
      </w:r>
    </w:p>
    <w:p w:rsidR="002F64C2" w:rsidRPr="002F64C2" w:rsidRDefault="002F64C2" w:rsidP="002F64C2">
      <w:pPr>
        <w:spacing w:before="280"/>
      </w:pPr>
      <w:r w:rsidRPr="002F64C2">
        <w:t>1</w:t>
      </w:r>
      <w:r w:rsidRPr="002F64C2">
        <w:tab/>
        <w:t>The special procedure described in this attachment can only be applied once by an administration with:</w:t>
      </w:r>
    </w:p>
    <w:p w:rsidR="002F64C2" w:rsidRPr="002F64C2" w:rsidRDefault="002F64C2" w:rsidP="002F64C2">
      <w:pPr>
        <w:tabs>
          <w:tab w:val="clear" w:pos="2268"/>
          <w:tab w:val="left" w:pos="2608"/>
          <w:tab w:val="left" w:pos="3345"/>
        </w:tabs>
        <w:spacing w:before="80"/>
        <w:ind w:left="1134" w:hanging="1134"/>
      </w:pPr>
      <w:r w:rsidRPr="002F64C2">
        <w:rPr>
          <w:i/>
          <w:iCs/>
        </w:rPr>
        <w:t>a)</w:t>
      </w:r>
      <w:r w:rsidRPr="002F64C2">
        <w:tab/>
        <w:t>no frequency assignments included in the List or for which complete Appendix </w:t>
      </w:r>
      <w:r w:rsidRPr="002F64C2">
        <w:rPr>
          <w:b/>
          <w:bCs/>
        </w:rPr>
        <w:t>4</w:t>
      </w:r>
      <w:r w:rsidRPr="002F64C2">
        <w:t xml:space="preserve"> information has been received by the Bureau in accordance with the provision of § 4.1.3 of Appendix </w:t>
      </w:r>
      <w:r w:rsidRPr="002F64C2">
        <w:rPr>
          <w:b/>
          <w:bCs/>
        </w:rPr>
        <w:t>30</w:t>
      </w:r>
      <w:r w:rsidRPr="002F64C2">
        <w:t>; and</w:t>
      </w:r>
    </w:p>
    <w:p w:rsidR="002F64C2" w:rsidRPr="002F64C2" w:rsidRDefault="002F64C2" w:rsidP="002F64C2">
      <w:pPr>
        <w:tabs>
          <w:tab w:val="clear" w:pos="2268"/>
          <w:tab w:val="left" w:pos="2608"/>
          <w:tab w:val="left" w:pos="3345"/>
        </w:tabs>
        <w:spacing w:before="0"/>
        <w:ind w:left="1134" w:hanging="1134"/>
        <w:rPr>
          <w:spacing w:val="-2"/>
        </w:rPr>
      </w:pPr>
      <w:r w:rsidRPr="002F64C2">
        <w:rPr>
          <w:i/>
          <w:iCs/>
          <w:spacing w:val="-2"/>
        </w:rPr>
        <w:t>b)</w:t>
      </w:r>
      <w:r w:rsidRPr="002F64C2">
        <w:rPr>
          <w:spacing w:val="-2"/>
        </w:rPr>
        <w:tab/>
        <w:t>an assignment in the Regions</w:t>
      </w:r>
      <w:r w:rsidRPr="002F64C2">
        <w:t> </w:t>
      </w:r>
      <w:r w:rsidRPr="002F64C2">
        <w:rPr>
          <w:spacing w:val="-2"/>
        </w:rPr>
        <w:t>1 and</w:t>
      </w:r>
      <w:r w:rsidRPr="002F64C2">
        <w:t> </w:t>
      </w:r>
      <w:r w:rsidRPr="002F64C2">
        <w:rPr>
          <w:spacing w:val="-2"/>
        </w:rPr>
        <w:t>3 Plan of Appendix</w:t>
      </w:r>
      <w:r w:rsidRPr="002F64C2">
        <w:t> </w:t>
      </w:r>
      <w:r w:rsidRPr="002F64C2">
        <w:rPr>
          <w:b/>
          <w:bCs/>
          <w:spacing w:val="-2"/>
        </w:rPr>
        <w:t>30</w:t>
      </w:r>
      <w:r w:rsidRPr="002F64C2">
        <w:rPr>
          <w:spacing w:val="-2"/>
        </w:rPr>
        <w:t xml:space="preserve"> when the equivalent downlink protection margin (EPM) value corresponding to a test point of its national assignment in the Regions</w:t>
      </w:r>
      <w:r w:rsidRPr="002F64C2">
        <w:t> </w:t>
      </w:r>
      <w:r w:rsidRPr="002F64C2">
        <w:rPr>
          <w:spacing w:val="-2"/>
        </w:rPr>
        <w:t>1 and</w:t>
      </w:r>
      <w:r w:rsidRPr="002F64C2">
        <w:t> </w:t>
      </w:r>
      <w:r w:rsidRPr="002F64C2">
        <w:rPr>
          <w:spacing w:val="-2"/>
        </w:rPr>
        <w:t>3 Plan is equal to or below −10</w:t>
      </w:r>
      <w:r w:rsidRPr="002F64C2">
        <w:t> </w:t>
      </w:r>
      <w:r w:rsidRPr="002F64C2">
        <w:rPr>
          <w:spacing w:val="-2"/>
        </w:rPr>
        <w:t>dB for at least 50% of the total number of EPM values of the assignment in the Regions</w:t>
      </w:r>
      <w:r w:rsidRPr="002F64C2">
        <w:t> </w:t>
      </w:r>
      <w:r w:rsidRPr="002F64C2">
        <w:rPr>
          <w:spacing w:val="-2"/>
        </w:rPr>
        <w:t>1 and</w:t>
      </w:r>
      <w:r w:rsidRPr="002F64C2">
        <w:t> </w:t>
      </w:r>
      <w:r w:rsidRPr="002F64C2">
        <w:rPr>
          <w:spacing w:val="-2"/>
        </w:rPr>
        <w:t>3 Plan in Appendix</w:t>
      </w:r>
      <w:r w:rsidRPr="002F64C2">
        <w:t> </w:t>
      </w:r>
      <w:r w:rsidRPr="002F64C2">
        <w:rPr>
          <w:b/>
          <w:bCs/>
          <w:spacing w:val="-2"/>
        </w:rPr>
        <w:t>30</w:t>
      </w:r>
      <w:r w:rsidRPr="002F64C2">
        <w:rPr>
          <w:spacing w:val="-2"/>
        </w:rPr>
        <w:t>.</w:t>
      </w:r>
    </w:p>
    <w:p w:rsidR="002F64C2" w:rsidRPr="002F64C2" w:rsidRDefault="002F64C2" w:rsidP="002F64C2">
      <w:pPr>
        <w:keepNext/>
      </w:pPr>
      <w:r w:rsidRPr="002F64C2">
        <w:t>2</w:t>
      </w:r>
      <w:r w:rsidRPr="002F64C2">
        <w:tab/>
        <w:t>Administrations seeking to apply this special procedure shall submit their request to the Bureau, with the information specified in § 4.1.3 of Appendices </w:t>
      </w:r>
      <w:r w:rsidRPr="002F64C2">
        <w:rPr>
          <w:b/>
          <w:bCs/>
        </w:rPr>
        <w:t>30</w:t>
      </w:r>
      <w:r w:rsidRPr="002F64C2">
        <w:t xml:space="preserve"> and </w:t>
      </w:r>
      <w:r w:rsidRPr="002F64C2">
        <w:rPr>
          <w:b/>
          <w:bCs/>
        </w:rPr>
        <w:t>30A</w:t>
      </w:r>
      <w:r w:rsidRPr="002F64C2">
        <w:rPr>
          <w:bCs/>
        </w:rPr>
        <w:t>, in particular</w:t>
      </w:r>
      <w:r w:rsidRPr="002F64C2">
        <w:t xml:space="preserve"> this information shall include:</w:t>
      </w:r>
    </w:p>
    <w:p w:rsidR="002F64C2" w:rsidRPr="002F64C2" w:rsidRDefault="002F64C2" w:rsidP="002F64C2">
      <w:pPr>
        <w:tabs>
          <w:tab w:val="clear" w:pos="2268"/>
          <w:tab w:val="left" w:pos="2608"/>
          <w:tab w:val="left" w:pos="3345"/>
        </w:tabs>
        <w:spacing w:before="80"/>
        <w:ind w:left="1134" w:hanging="1134"/>
      </w:pPr>
      <w:r w:rsidRPr="002F64C2">
        <w:rPr>
          <w:i/>
        </w:rPr>
        <w:t>a)</w:t>
      </w:r>
      <w:r w:rsidRPr="002F64C2">
        <w:rPr>
          <w:i/>
        </w:rPr>
        <w:tab/>
      </w:r>
      <w:r w:rsidRPr="002F64C2">
        <w:t>in the cover letter to the Bureau, the information that the administration requests the use of this special procedure together with the name of the Plan assignments for which condition defined in § 1 above is met;</w:t>
      </w:r>
    </w:p>
    <w:p w:rsidR="002F64C2" w:rsidRPr="002F64C2" w:rsidRDefault="002F64C2" w:rsidP="002F64C2">
      <w:pPr>
        <w:tabs>
          <w:tab w:val="clear" w:pos="2268"/>
          <w:tab w:val="left" w:pos="2608"/>
          <w:tab w:val="left" w:pos="3345"/>
        </w:tabs>
        <w:spacing w:before="80"/>
        <w:ind w:left="1134" w:hanging="1134"/>
        <w:rPr>
          <w:i/>
        </w:rPr>
      </w:pPr>
      <w:r w:rsidRPr="002F64C2">
        <w:rPr>
          <w:i/>
        </w:rPr>
        <w:t>b)</w:t>
      </w:r>
      <w:r w:rsidRPr="002F64C2">
        <w:tab/>
        <w:t>a service area is limited to the national territory as defined in the GIMS software application;</w:t>
      </w:r>
    </w:p>
    <w:p w:rsidR="002F64C2" w:rsidRPr="002F64C2" w:rsidRDefault="002F64C2" w:rsidP="002F64C2">
      <w:pPr>
        <w:tabs>
          <w:tab w:val="clear" w:pos="2268"/>
          <w:tab w:val="left" w:pos="2608"/>
          <w:tab w:val="left" w:pos="3345"/>
        </w:tabs>
        <w:spacing w:before="80"/>
        <w:ind w:left="1134" w:hanging="1134"/>
      </w:pPr>
      <w:r w:rsidRPr="002F64C2">
        <w:rPr>
          <w:i/>
        </w:rPr>
        <w:t>c)</w:t>
      </w:r>
      <w:r w:rsidRPr="002F64C2">
        <w:tab/>
        <w:t>a set of maximum 20 test points inside the national territory;</w:t>
      </w:r>
    </w:p>
    <w:p w:rsidR="002F64C2" w:rsidRPr="002F64C2" w:rsidRDefault="002F64C2" w:rsidP="002F64C2">
      <w:pPr>
        <w:tabs>
          <w:tab w:val="clear" w:pos="2268"/>
          <w:tab w:val="left" w:pos="2608"/>
          <w:tab w:val="left" w:pos="3345"/>
        </w:tabs>
        <w:spacing w:before="80"/>
        <w:ind w:left="1134" w:hanging="1134"/>
      </w:pPr>
      <w:r w:rsidRPr="002F64C2">
        <w:rPr>
          <w:i/>
        </w:rPr>
        <w:t>d)</w:t>
      </w:r>
      <w:r w:rsidRPr="002F64C2">
        <w:rPr>
          <w:i/>
        </w:rPr>
        <w:tab/>
      </w:r>
      <w:r w:rsidRPr="002F64C2">
        <w:t>a minimal ellipse determined by the set of test points submitted in </w:t>
      </w:r>
      <w:r w:rsidRPr="002F64C2">
        <w:rPr>
          <w:i/>
          <w:iCs/>
        </w:rPr>
        <w:t>c)</w:t>
      </w:r>
      <w:r w:rsidRPr="002F64C2">
        <w:t xml:space="preserve"> above. An administration may request the Bureau to create such diagram; </w:t>
      </w:r>
    </w:p>
    <w:p w:rsidR="002F64C2" w:rsidRPr="002F64C2" w:rsidRDefault="002F64C2" w:rsidP="002F64C2">
      <w:pPr>
        <w:tabs>
          <w:tab w:val="clear" w:pos="2268"/>
          <w:tab w:val="left" w:pos="2608"/>
          <w:tab w:val="left" w:pos="3345"/>
        </w:tabs>
        <w:spacing w:before="80"/>
        <w:ind w:left="1134" w:hanging="1134"/>
      </w:pPr>
      <w:r w:rsidRPr="002F64C2">
        <w:rPr>
          <w:i/>
        </w:rPr>
        <w:t>e)</w:t>
      </w:r>
      <w:r w:rsidRPr="002F64C2">
        <w:rPr>
          <w:iCs/>
          <w:position w:val="6"/>
          <w:sz w:val="18"/>
        </w:rPr>
        <w:footnoteReference w:customMarkFollows="1" w:id="6"/>
        <w:t>1</w:t>
      </w:r>
      <w:r w:rsidRPr="002F64C2">
        <w:rPr>
          <w:i/>
        </w:rPr>
        <w:tab/>
      </w:r>
      <w:bookmarkStart w:id="70" w:name="_Hlk1986870"/>
      <w:r w:rsidRPr="002F64C2">
        <w:t>maximum ten consecutive odd or even channels with standard Appendix </w:t>
      </w:r>
      <w:r w:rsidRPr="002F64C2">
        <w:rPr>
          <w:b/>
          <w:bCs/>
        </w:rPr>
        <w:t>30</w:t>
      </w:r>
      <w:r w:rsidRPr="002F64C2">
        <w:t xml:space="preserve"> assigned frequencies in the same polarization for a Region 1 administration or 12 consecutive odd or even channels with standard Appendix </w:t>
      </w:r>
      <w:r w:rsidRPr="002F64C2">
        <w:rPr>
          <w:b/>
          <w:bCs/>
        </w:rPr>
        <w:t>30</w:t>
      </w:r>
      <w:r w:rsidRPr="002F64C2">
        <w:t xml:space="preserve"> assigned frequencies in the same polarization for a Region 3 administration with a bandwidth of 27 MHz;</w:t>
      </w:r>
    </w:p>
    <w:p w:rsidR="002F64C2" w:rsidRPr="002F64C2" w:rsidRDefault="002F64C2" w:rsidP="002F64C2">
      <w:pPr>
        <w:ind w:left="1128" w:hanging="1128"/>
        <w:rPr>
          <w:rFonts w:eastAsia="Calibri"/>
          <w:lang w:eastAsia="zh-CN"/>
        </w:rPr>
      </w:pPr>
      <w:bookmarkStart w:id="71" w:name="_Hlk1995891"/>
      <w:bookmarkEnd w:id="70"/>
      <w:r w:rsidRPr="002F64C2">
        <w:rPr>
          <w:rFonts w:eastAsia="Calibri"/>
          <w:i/>
          <w:iCs/>
          <w:lang w:eastAsia="zh-CN"/>
        </w:rPr>
        <w:t>f)</w:t>
      </w:r>
      <w:r w:rsidRPr="002F64C2">
        <w:rPr>
          <w:rFonts w:eastAsia="Calibri"/>
          <w:lang w:eastAsia="zh-CN"/>
        </w:rPr>
        <w:tab/>
        <w:t xml:space="preserve">a corresponding submission for the Appendix </w:t>
      </w:r>
      <w:r w:rsidRPr="002F64C2">
        <w:rPr>
          <w:rFonts w:eastAsia="Calibri"/>
          <w:b/>
          <w:bCs/>
        </w:rPr>
        <w:t>30A</w:t>
      </w:r>
      <w:r w:rsidRPr="002F64C2">
        <w:rPr>
          <w:rFonts w:eastAsia="Calibri"/>
          <w:lang w:eastAsia="zh-CN"/>
        </w:rPr>
        <w:t xml:space="preserve"> feeder-link Plan in compliance with </w:t>
      </w:r>
      <w:r w:rsidRPr="002F64C2">
        <w:t xml:space="preserve">the </w:t>
      </w:r>
      <w:r w:rsidRPr="002F64C2">
        <w:rPr>
          <w:rFonts w:eastAsia="Calibri"/>
          <w:lang w:eastAsia="zh-CN"/>
        </w:rPr>
        <w:t>principle defined in items</w:t>
      </w:r>
      <w:r w:rsidRPr="002F64C2">
        <w:t> </w:t>
      </w:r>
      <w:r w:rsidRPr="002F64C2">
        <w:rPr>
          <w:rFonts w:eastAsia="Calibri"/>
          <w:i/>
          <w:lang w:eastAsia="zh-CN"/>
        </w:rPr>
        <w:t>b), c),</w:t>
      </w:r>
      <w:r w:rsidRPr="002F64C2">
        <w:rPr>
          <w:rFonts w:eastAsia="Calibri"/>
          <w:lang w:eastAsia="zh-CN"/>
        </w:rPr>
        <w:t xml:space="preserve"> </w:t>
      </w:r>
      <w:r w:rsidRPr="002F64C2">
        <w:rPr>
          <w:rFonts w:eastAsia="Calibri"/>
          <w:i/>
          <w:lang w:eastAsia="zh-CN"/>
        </w:rPr>
        <w:t xml:space="preserve">d) </w:t>
      </w:r>
      <w:r w:rsidRPr="002F64C2">
        <w:rPr>
          <w:rFonts w:eastAsia="Calibri"/>
          <w:iCs/>
          <w:lang w:eastAsia="zh-CN"/>
        </w:rPr>
        <w:t>and</w:t>
      </w:r>
      <w:r w:rsidRPr="002F64C2">
        <w:t> </w:t>
      </w:r>
      <w:r w:rsidRPr="002F64C2">
        <w:rPr>
          <w:rFonts w:eastAsia="Calibri"/>
          <w:i/>
          <w:lang w:eastAsia="zh-CN"/>
        </w:rPr>
        <w:t>e)</w:t>
      </w:r>
      <w:r w:rsidRPr="002F64C2">
        <w:rPr>
          <w:rFonts w:eastAsia="Calibri"/>
          <w:lang w:eastAsia="zh-CN"/>
        </w:rPr>
        <w:t xml:space="preserve"> above.</w:t>
      </w:r>
    </w:p>
    <w:bookmarkEnd w:id="71"/>
    <w:p w:rsidR="002F64C2" w:rsidRPr="002F64C2" w:rsidRDefault="002F64C2" w:rsidP="002F64C2">
      <w:r w:rsidRPr="002F64C2">
        <w:t>3</w:t>
      </w:r>
      <w:r w:rsidRPr="002F64C2">
        <w:tab/>
        <w:t>Upon receipt of the complete information from an administration sent under § 2 above, the Bureau shall process the submissions in date order in accordance with Article</w:t>
      </w:r>
      <w:r w:rsidRPr="002F64C2">
        <w:rPr>
          <w:b/>
          <w:bCs/>
        </w:rPr>
        <w:t> </w:t>
      </w:r>
      <w:r w:rsidRPr="002F64C2">
        <w:t>4 of Appendices </w:t>
      </w:r>
      <w:r w:rsidRPr="002F64C2">
        <w:rPr>
          <w:b/>
          <w:bCs/>
        </w:rPr>
        <w:t>30</w:t>
      </w:r>
      <w:r w:rsidRPr="002F64C2">
        <w:t xml:space="preserve"> and </w:t>
      </w:r>
      <w:r w:rsidRPr="002F64C2">
        <w:rPr>
          <w:b/>
          <w:bCs/>
        </w:rPr>
        <w:t>30A</w:t>
      </w:r>
      <w:r w:rsidRPr="002F64C2">
        <w:t>.</w:t>
      </w:r>
    </w:p>
    <w:p w:rsidR="001962A2" w:rsidRPr="0042498F" w:rsidRDefault="002F64C2" w:rsidP="002F64C2">
      <w:r w:rsidRPr="002F64C2">
        <w:lastRenderedPageBreak/>
        <w:t>4</w:t>
      </w:r>
      <w:r w:rsidRPr="002F64C2">
        <w:tab/>
        <w:t>The notifying administration shall request the subsequent WRCs to consider the inclusion in the Appendices </w:t>
      </w:r>
      <w:r w:rsidRPr="002F64C2">
        <w:rPr>
          <w:rFonts w:eastAsia="Calibri"/>
          <w:b/>
          <w:bCs/>
        </w:rPr>
        <w:t>30</w:t>
      </w:r>
      <w:r w:rsidRPr="002F64C2">
        <w:rPr>
          <w:rFonts w:eastAsia="Calibri"/>
          <w:lang w:eastAsia="zh-CN"/>
        </w:rPr>
        <w:t xml:space="preserve"> </w:t>
      </w:r>
      <w:r w:rsidRPr="002F64C2">
        <w:t>and </w:t>
      </w:r>
      <w:r w:rsidRPr="002F64C2">
        <w:rPr>
          <w:b/>
          <w:bCs/>
        </w:rPr>
        <w:t>30A</w:t>
      </w:r>
      <w:r w:rsidRPr="002F64C2">
        <w:t xml:space="preserve"> Plans as a replacement of its national assignments appearing in the Plans, pursuant to paragraph 4.1.27 of Article</w:t>
      </w:r>
      <w:r w:rsidRPr="002F64C2">
        <w:rPr>
          <w:b/>
          <w:bCs/>
        </w:rPr>
        <w:t xml:space="preserve"> </w:t>
      </w:r>
      <w:r w:rsidRPr="002F64C2">
        <w:t>4 of Appendices </w:t>
      </w:r>
      <w:r w:rsidRPr="002F64C2">
        <w:rPr>
          <w:b/>
          <w:bCs/>
        </w:rPr>
        <w:t>30</w:t>
      </w:r>
      <w:r w:rsidRPr="002F64C2">
        <w:t xml:space="preserve"> and </w:t>
      </w:r>
      <w:r w:rsidRPr="002F64C2">
        <w:rPr>
          <w:b/>
          <w:bCs/>
        </w:rPr>
        <w:t>30A</w:t>
      </w:r>
      <w:r w:rsidRPr="002F64C2">
        <w:t>.</w:t>
      </w:r>
    </w:p>
    <w:p w:rsidR="00684A95" w:rsidRDefault="00CB134E">
      <w:pPr>
        <w:pStyle w:val="Reasons"/>
      </w:pPr>
      <w:r>
        <w:rPr>
          <w:b/>
        </w:rPr>
        <w:t>Reasons:</w:t>
      </w:r>
      <w:r>
        <w:tab/>
      </w:r>
      <w:r w:rsidR="002F64C2" w:rsidRPr="002F64C2">
        <w:t>The addition of this new WRC-19 Resolution to the Radio Regulations is necessary in order to provide a period of priority to administrations having national assignments in the Regions 1 and 3 Plan with equivalent downlink protection margin values equal to or below −10 dB for the submission of new satellite networks and new authorized orbital positions.</w:t>
      </w:r>
    </w:p>
    <w:p w:rsidR="00684A95" w:rsidRDefault="00CB134E">
      <w:pPr>
        <w:pStyle w:val="Proposal"/>
      </w:pPr>
      <w:r>
        <w:t>ADD</w:t>
      </w:r>
      <w:r>
        <w:tab/>
        <w:t>RCC/12A4/12</w:t>
      </w:r>
      <w:r>
        <w:rPr>
          <w:vanish/>
          <w:color w:val="7F7F7F" w:themeColor="text1" w:themeTint="80"/>
          <w:vertAlign w:val="superscript"/>
        </w:rPr>
        <w:t>#49983</w:t>
      </w:r>
    </w:p>
    <w:p w:rsidR="002F64C2" w:rsidRPr="002F64C2" w:rsidRDefault="002F64C2" w:rsidP="002F64C2">
      <w:pPr>
        <w:keepNext/>
        <w:keepLines/>
        <w:spacing w:before="480"/>
        <w:jc w:val="center"/>
        <w:rPr>
          <w:caps/>
          <w:sz w:val="28"/>
        </w:rPr>
      </w:pPr>
      <w:r w:rsidRPr="002F64C2">
        <w:rPr>
          <w:caps/>
          <w:sz w:val="28"/>
        </w:rPr>
        <w:t>DRAFT NEW RESOLUTION [RCC/C14-LIMITA1A2] (WRC</w:t>
      </w:r>
      <w:r w:rsidRPr="002F64C2">
        <w:rPr>
          <w:caps/>
          <w:sz w:val="28"/>
        </w:rPr>
        <w:noBreakHyphen/>
        <w:t>19)</w:t>
      </w:r>
    </w:p>
    <w:p w:rsidR="002F64C2" w:rsidRPr="002F64C2" w:rsidRDefault="002F64C2" w:rsidP="002F64C2">
      <w:pPr>
        <w:keepNext/>
        <w:keepLines/>
        <w:spacing w:before="240"/>
        <w:jc w:val="center"/>
        <w:rPr>
          <w:rFonts w:ascii="Times New Roman Bold" w:hAnsi="Times New Roman Bold"/>
          <w:b/>
          <w:sz w:val="28"/>
        </w:rPr>
      </w:pPr>
      <w:r w:rsidRPr="002F64C2">
        <w:rPr>
          <w:rFonts w:ascii="Times New Roman Bold" w:hAnsi="Times New Roman Bold"/>
          <w:b/>
          <w:sz w:val="28"/>
        </w:rPr>
        <w:t>Need for coordination of Region 2 FSS networks in the frequency band 11.7</w:t>
      </w:r>
      <w:r w:rsidRPr="002F64C2">
        <w:rPr>
          <w:rFonts w:ascii="Times New Roman Bold" w:hAnsi="Times New Roman Bold"/>
          <w:b/>
          <w:sz w:val="28"/>
        </w:rPr>
        <w:noBreakHyphen/>
        <w:t>12.2 GHz with respect to the Region 1 BSS assignments located</w:t>
      </w:r>
      <w:r w:rsidRPr="002F64C2">
        <w:rPr>
          <w:rFonts w:ascii="Times New Roman Bold" w:hAnsi="Times New Roman Bold"/>
          <w:b/>
          <w:sz w:val="28"/>
        </w:rPr>
        <w:br/>
        <w:t>further west than 37.2</w:t>
      </w:r>
      <w:r w:rsidRPr="002F64C2">
        <w:rPr>
          <w:rFonts w:ascii="Times New Roman Bold" w:hAnsi="Times New Roman Bold" w:cs="Times New Roman Bold"/>
          <w:b/>
          <w:sz w:val="28"/>
        </w:rPr>
        <w:t>° </w:t>
      </w:r>
      <w:r w:rsidRPr="002F64C2">
        <w:rPr>
          <w:rFonts w:ascii="Times New Roman Bold" w:hAnsi="Times New Roman Bold"/>
          <w:b/>
          <w:sz w:val="28"/>
        </w:rPr>
        <w:t>W and of Region 1 FSS networks in the</w:t>
      </w:r>
      <w:r w:rsidRPr="002F64C2">
        <w:rPr>
          <w:rFonts w:ascii="Times New Roman Bold" w:hAnsi="Times New Roman Bold"/>
          <w:b/>
          <w:sz w:val="28"/>
        </w:rPr>
        <w:br/>
        <w:t>frequency band 12.5-12.7 GHz with respect to the Region 2</w:t>
      </w:r>
      <w:r w:rsidRPr="002F64C2">
        <w:rPr>
          <w:rFonts w:ascii="Times New Roman Bold" w:hAnsi="Times New Roman Bold"/>
          <w:b/>
          <w:sz w:val="28"/>
        </w:rPr>
        <w:br/>
        <w:t>BSS assignments located further east than 54</w:t>
      </w:r>
      <w:r w:rsidRPr="002F64C2">
        <w:rPr>
          <w:rFonts w:ascii="Times New Roman Bold" w:hAnsi="Times New Roman Bold" w:cs="Times New Roman Bold"/>
          <w:b/>
          <w:sz w:val="28"/>
        </w:rPr>
        <w:t>° </w:t>
      </w:r>
      <w:r w:rsidRPr="002F64C2">
        <w:rPr>
          <w:rFonts w:ascii="Times New Roman Bold" w:hAnsi="Times New Roman Bold"/>
          <w:b/>
          <w:sz w:val="28"/>
        </w:rPr>
        <w:t>W</w:t>
      </w:r>
    </w:p>
    <w:p w:rsidR="002F64C2" w:rsidRPr="002F64C2" w:rsidRDefault="002F64C2" w:rsidP="002F64C2">
      <w:pPr>
        <w:spacing w:before="280"/>
      </w:pPr>
      <w:r w:rsidRPr="002F64C2">
        <w:t>The World Radiocommunication Conference (Sharm el-Sheikh, 2019),</w:t>
      </w:r>
    </w:p>
    <w:p w:rsidR="002F64C2" w:rsidRPr="002F64C2" w:rsidRDefault="002F64C2" w:rsidP="002F64C2">
      <w:pPr>
        <w:keepNext/>
        <w:keepLines/>
        <w:spacing w:before="160"/>
        <w:ind w:left="1134"/>
        <w:rPr>
          <w:i/>
        </w:rPr>
      </w:pPr>
      <w:r w:rsidRPr="002F64C2">
        <w:rPr>
          <w:i/>
        </w:rPr>
        <w:t>considering</w:t>
      </w:r>
    </w:p>
    <w:p w:rsidR="002F64C2" w:rsidRPr="002F64C2" w:rsidRDefault="002F64C2" w:rsidP="002F64C2">
      <w:r w:rsidRPr="002F64C2">
        <w:rPr>
          <w:i/>
        </w:rPr>
        <w:t>a)</w:t>
      </w:r>
      <w:r w:rsidRPr="002F64C2">
        <w:rPr>
          <w:i/>
        </w:rPr>
        <w:tab/>
      </w:r>
      <w:r w:rsidRPr="002F64C2">
        <w:t>that WRC</w:t>
      </w:r>
      <w:r w:rsidRPr="002F64C2">
        <w:noBreakHyphen/>
        <w:t>15 decided to conduct studies on, review, and identify possible revisions to, if necessary, the limitations mentioned in Annex 7 to Appendix </w:t>
      </w:r>
      <w:r w:rsidRPr="002F64C2">
        <w:rPr>
          <w:b/>
          <w:bCs/>
        </w:rPr>
        <w:t>30 (Rev.WRC</w:t>
      </w:r>
      <w:r w:rsidRPr="002F64C2">
        <w:rPr>
          <w:b/>
          <w:bCs/>
        </w:rPr>
        <w:noBreakHyphen/>
        <w:t>15)</w:t>
      </w:r>
      <w:r w:rsidRPr="002F64C2">
        <w:t>, while ensuring the protection of, and without imposing additional constraints on, assignments in the Plan and in the List and the future of broadcasting-satellite service (BSS) networks and existing fixed-satellite service (FSS) networks;</w:t>
      </w:r>
    </w:p>
    <w:p w:rsidR="002F64C2" w:rsidRPr="002F64C2" w:rsidRDefault="002F64C2" w:rsidP="002F64C2">
      <w:pPr>
        <w:rPr>
          <w:i/>
        </w:rPr>
      </w:pPr>
      <w:r w:rsidRPr="002F64C2">
        <w:rPr>
          <w:i/>
        </w:rPr>
        <w:t>b)</w:t>
      </w:r>
      <w:r w:rsidRPr="002F64C2">
        <w:rPr>
          <w:i/>
        </w:rPr>
        <w:tab/>
      </w:r>
      <w:r w:rsidRPr="002F64C2">
        <w:t>that the provisions applying to the frequency assignments of the BSS in the frequency bands 11.7-12.5 GHz in Region 1 and 12.2-12.7 GHz in Region 2 are contained in Appendix </w:t>
      </w:r>
      <w:r w:rsidRPr="002F64C2">
        <w:rPr>
          <w:b/>
          <w:bCs/>
        </w:rPr>
        <w:t>30</w:t>
      </w:r>
      <w:r w:rsidRPr="002F64C2">
        <w:t>;</w:t>
      </w:r>
    </w:p>
    <w:p w:rsidR="002F64C2" w:rsidRPr="002F64C2" w:rsidRDefault="002F64C2" w:rsidP="002F64C2">
      <w:r w:rsidRPr="002F64C2">
        <w:rPr>
          <w:i/>
        </w:rPr>
        <w:t>c)</w:t>
      </w:r>
      <w:r w:rsidRPr="002F64C2">
        <w:rPr>
          <w:i/>
        </w:rPr>
        <w:tab/>
      </w:r>
      <w:r w:rsidRPr="002F64C2">
        <w:t>that the FSS has primary allocations in the frequency bands 12.5-12.75 GHz in Region 1 and 11.7-12.2 GHz in Region 2;</w:t>
      </w:r>
    </w:p>
    <w:p w:rsidR="002F64C2" w:rsidRPr="002F64C2" w:rsidRDefault="002F64C2" w:rsidP="002F64C2">
      <w:r w:rsidRPr="002F64C2">
        <w:rPr>
          <w:i/>
        </w:rPr>
        <w:t>d)</w:t>
      </w:r>
      <w:r w:rsidRPr="002F64C2">
        <w:tab/>
        <w:t>that the BSS has primary allocations in the frequency bands 11.7-12.5 GHz in Region 1 and 12.2-12.7 GHz in Region 2;</w:t>
      </w:r>
    </w:p>
    <w:p w:rsidR="002F64C2" w:rsidRPr="002F64C2" w:rsidRDefault="002F64C2" w:rsidP="002F64C2">
      <w:r w:rsidRPr="002F64C2">
        <w:rPr>
          <w:i/>
        </w:rPr>
        <w:t>e)</w:t>
      </w:r>
      <w:r w:rsidRPr="002F64C2">
        <w:rPr>
          <w:i/>
        </w:rPr>
        <w:tab/>
      </w:r>
      <w:r w:rsidRPr="002F64C2">
        <w:t>that WRC</w:t>
      </w:r>
      <w:r w:rsidRPr="002F64C2">
        <w:noBreakHyphen/>
        <w:t>19 suppressed the limitation in Annex </w:t>
      </w:r>
      <w:r w:rsidRPr="002F64C2">
        <w:rPr>
          <w:b/>
        </w:rPr>
        <w:t>7</w:t>
      </w:r>
      <w:r w:rsidRPr="002F64C2">
        <w:t xml:space="preserve"> to Appendix </w:t>
      </w:r>
      <w:r w:rsidRPr="002F64C2">
        <w:rPr>
          <w:b/>
          <w:bCs/>
        </w:rPr>
        <w:t>30</w:t>
      </w:r>
      <w:r w:rsidRPr="002F64C2">
        <w:rPr>
          <w:b/>
        </w:rPr>
        <w:t xml:space="preserve"> </w:t>
      </w:r>
      <w:r w:rsidRPr="002F64C2">
        <w:t>that prevented broadcasting satellites serving an area in Region 1 and using frequency assignments in the frequency band 11.7-12.2 GHz at orbital positions further west than 37.2° W;</w:t>
      </w:r>
    </w:p>
    <w:p w:rsidR="002F64C2" w:rsidRPr="002F64C2" w:rsidRDefault="002F64C2" w:rsidP="002F64C2">
      <w:pPr>
        <w:rPr>
          <w:i/>
        </w:rPr>
      </w:pPr>
      <w:r w:rsidRPr="002F64C2">
        <w:rPr>
          <w:i/>
        </w:rPr>
        <w:t>f)</w:t>
      </w:r>
      <w:r w:rsidRPr="002F64C2">
        <w:rPr>
          <w:i/>
        </w:rPr>
        <w:tab/>
      </w:r>
      <w:r w:rsidRPr="002F64C2">
        <w:t>that WRC</w:t>
      </w:r>
      <w:r w:rsidRPr="002F64C2">
        <w:noBreakHyphen/>
        <w:t>19 suppressed the limitation in Annex </w:t>
      </w:r>
      <w:r w:rsidRPr="002F64C2">
        <w:rPr>
          <w:bCs/>
        </w:rPr>
        <w:t>7</w:t>
      </w:r>
      <w:r w:rsidRPr="002F64C2">
        <w:t xml:space="preserve"> to Appendix </w:t>
      </w:r>
      <w:r w:rsidRPr="002F64C2">
        <w:rPr>
          <w:b/>
          <w:bCs/>
        </w:rPr>
        <w:t>30</w:t>
      </w:r>
      <w:r w:rsidRPr="002F64C2">
        <w:rPr>
          <w:b/>
        </w:rPr>
        <w:t xml:space="preserve"> </w:t>
      </w:r>
      <w:r w:rsidRPr="002F64C2">
        <w:t>that prevented broadcasting satellites serving an area in Region 2 and using frequency assignments in the frequency band 12.5-12.7 GHz at orbital positions further east than 54° W;</w:t>
      </w:r>
    </w:p>
    <w:p w:rsidR="002F64C2" w:rsidRPr="002F64C2" w:rsidRDefault="002F64C2" w:rsidP="002F64C2">
      <w:r w:rsidRPr="002F64C2">
        <w:rPr>
          <w:i/>
        </w:rPr>
        <w:t>g)</w:t>
      </w:r>
      <w:r w:rsidRPr="002F64C2">
        <w:rPr>
          <w:i/>
        </w:rPr>
        <w:tab/>
      </w:r>
      <w:r w:rsidRPr="002F64C2">
        <w:t>that the result of those suppressions shall ensure the protection of, and cannot impose additional constraints on, assignments in the Plan and the List and the future development of the BSS within the Plan, and existing and planned FSS networks,</w:t>
      </w:r>
    </w:p>
    <w:p w:rsidR="002F64C2" w:rsidRPr="002F64C2" w:rsidRDefault="002F64C2" w:rsidP="002F64C2">
      <w:pPr>
        <w:keepNext/>
        <w:keepLines/>
        <w:spacing w:before="160"/>
        <w:ind w:left="1134"/>
        <w:rPr>
          <w:i/>
        </w:rPr>
      </w:pPr>
      <w:r w:rsidRPr="002F64C2">
        <w:rPr>
          <w:i/>
        </w:rPr>
        <w:t>recognizing</w:t>
      </w:r>
    </w:p>
    <w:p w:rsidR="002F64C2" w:rsidRPr="002F64C2" w:rsidRDefault="002F64C2" w:rsidP="002F64C2">
      <w:r w:rsidRPr="002F64C2">
        <w:rPr>
          <w:i/>
        </w:rPr>
        <w:t>a)</w:t>
      </w:r>
      <w:r w:rsidRPr="002F64C2">
        <w:tab/>
        <w:t xml:space="preserve">that existing FSS networks operating in the frequency bands mentioned in </w:t>
      </w:r>
      <w:r w:rsidRPr="002F64C2">
        <w:rPr>
          <w:i/>
        </w:rPr>
        <w:t>considering</w:t>
      </w:r>
      <w:r w:rsidRPr="002F64C2">
        <w:t> </w:t>
      </w:r>
      <w:r w:rsidRPr="002F64C2">
        <w:rPr>
          <w:i/>
        </w:rPr>
        <w:t>c)</w:t>
      </w:r>
      <w:r w:rsidRPr="002F64C2">
        <w:t xml:space="preserve"> and BSS frequency assignments in the Plan and List implemented in accordance with </w:t>
      </w:r>
      <w:r w:rsidRPr="002F64C2">
        <w:lastRenderedPageBreak/>
        <w:t>the provisions of Annex 7 to Appendix </w:t>
      </w:r>
      <w:r w:rsidRPr="002F64C2">
        <w:rPr>
          <w:b/>
          <w:bCs/>
        </w:rPr>
        <w:t>30 (Rev.WRC</w:t>
      </w:r>
      <w:r w:rsidRPr="002F64C2">
        <w:rPr>
          <w:b/>
          <w:bCs/>
        </w:rPr>
        <w:noBreakHyphen/>
        <w:t>15)</w:t>
      </w:r>
      <w:r w:rsidRPr="002F64C2">
        <w:t xml:space="preserve"> prior to WRC</w:t>
      </w:r>
      <w:r w:rsidRPr="002F64C2">
        <w:rPr>
          <w:b/>
          <w:bCs/>
        </w:rPr>
        <w:noBreakHyphen/>
      </w:r>
      <w:r w:rsidRPr="002F64C2">
        <w:t>19 shall continue to be protected;</w:t>
      </w:r>
    </w:p>
    <w:p w:rsidR="002F64C2" w:rsidRPr="002F64C2" w:rsidRDefault="002F64C2" w:rsidP="002F64C2">
      <w:r w:rsidRPr="002F64C2">
        <w:rPr>
          <w:i/>
        </w:rPr>
        <w:t>b)</w:t>
      </w:r>
      <w:r w:rsidRPr="002F64C2">
        <w:rPr>
          <w:i/>
        </w:rPr>
        <w:tab/>
      </w:r>
      <w:r w:rsidRPr="002F64C2">
        <w:t>that the frequency bands 11.7-12.5 GHz in Region 1 and 12.2-12.7 GHz in Region 2 are widely used by BSS networks, subject to the provisions of Annex 7 to Appendix </w:t>
      </w:r>
      <w:r w:rsidRPr="002F64C2">
        <w:rPr>
          <w:b/>
          <w:bCs/>
        </w:rPr>
        <w:t>30</w:t>
      </w:r>
      <w:r w:rsidRPr="002F64C2">
        <w:t xml:space="preserve"> </w:t>
      </w:r>
      <w:r w:rsidRPr="002F64C2">
        <w:rPr>
          <w:b/>
          <w:bCs/>
        </w:rPr>
        <w:t>(Rev.WRC</w:t>
      </w:r>
      <w:r w:rsidRPr="002F64C2">
        <w:rPr>
          <w:b/>
          <w:bCs/>
        </w:rPr>
        <w:noBreakHyphen/>
        <w:t xml:space="preserve">15) </w:t>
      </w:r>
      <w:r w:rsidRPr="002F64C2">
        <w:t>prior to WRC</w:t>
      </w:r>
      <w:r w:rsidRPr="002F64C2">
        <w:rPr>
          <w:b/>
          <w:bCs/>
        </w:rPr>
        <w:noBreakHyphen/>
      </w:r>
      <w:r w:rsidRPr="002F64C2">
        <w:t>19;</w:t>
      </w:r>
    </w:p>
    <w:p w:rsidR="002F64C2" w:rsidRPr="002F64C2" w:rsidRDefault="002F64C2" w:rsidP="002F64C2">
      <w:r w:rsidRPr="002F64C2">
        <w:rPr>
          <w:i/>
        </w:rPr>
        <w:t>c)</w:t>
      </w:r>
      <w:r w:rsidRPr="002F64C2">
        <w:rPr>
          <w:i/>
        </w:rPr>
        <w:tab/>
      </w:r>
      <w:r w:rsidRPr="002F64C2">
        <w:t>that the frequency bands 12.5-12.75 GHz in Region 1 and 11.7-12.2 GHz in Region 2 are widely used by FSS networks,</w:t>
      </w:r>
    </w:p>
    <w:p w:rsidR="002F64C2" w:rsidRPr="002F64C2" w:rsidRDefault="002F64C2" w:rsidP="002F64C2">
      <w:pPr>
        <w:keepNext/>
        <w:keepLines/>
        <w:spacing w:before="160"/>
        <w:ind w:left="1134"/>
        <w:rPr>
          <w:i/>
        </w:rPr>
      </w:pPr>
      <w:r w:rsidRPr="002F64C2">
        <w:rPr>
          <w:i/>
        </w:rPr>
        <w:t>resolves</w:t>
      </w:r>
    </w:p>
    <w:p w:rsidR="002F64C2" w:rsidRPr="002F64C2" w:rsidRDefault="002F64C2" w:rsidP="002F64C2">
      <w:r w:rsidRPr="002F64C2">
        <w:t>1</w:t>
      </w:r>
      <w:r w:rsidRPr="002F64C2">
        <w:tab/>
        <w:t>that, in the frequency band 11.7-12.2 GHz, with respect to § 7.1 </w:t>
      </w:r>
      <w:r w:rsidRPr="002F64C2">
        <w:rPr>
          <w:i/>
          <w:iCs/>
        </w:rPr>
        <w:t>a)</w:t>
      </w:r>
      <w:r w:rsidRPr="002F64C2">
        <w:t>, 7.2.1 </w:t>
      </w:r>
      <w:r w:rsidRPr="002F64C2">
        <w:rPr>
          <w:i/>
          <w:iCs/>
        </w:rPr>
        <w:t xml:space="preserve">a), </w:t>
      </w:r>
      <w:r w:rsidRPr="002F64C2">
        <w:t>7.2.1 </w:t>
      </w:r>
      <w:r w:rsidRPr="002F64C2">
        <w:rPr>
          <w:i/>
          <w:iCs/>
        </w:rPr>
        <w:t>b)</w:t>
      </w:r>
      <w:r w:rsidRPr="002F64C2">
        <w:t xml:space="preserve"> and 7.2.1 </w:t>
      </w:r>
      <w:r w:rsidRPr="002F64C2">
        <w:rPr>
          <w:i/>
          <w:iCs/>
        </w:rPr>
        <w:t>c)</w:t>
      </w:r>
      <w:r w:rsidRPr="002F64C2">
        <w:t xml:space="preserve"> of Article 7 of Appendix </w:t>
      </w:r>
      <w:r w:rsidRPr="002F64C2">
        <w:rPr>
          <w:b/>
          <w:bCs/>
        </w:rPr>
        <w:t>30</w:t>
      </w:r>
      <w:r w:rsidRPr="002F64C2">
        <w:t xml:space="preserve">, the need for coordination of a transmitting space station in the FSS of Region 2 with a transmitting space station in the BSS of Region 1 at an orbital position further west than 37.2° W and with </w:t>
      </w:r>
      <w:r w:rsidRPr="002F64C2">
        <w:rPr>
          <w:szCs w:val="24"/>
        </w:rPr>
        <w:t>minimum geocentric orbital separation less than 4.2</w:t>
      </w:r>
      <w:r w:rsidRPr="002F64C2">
        <w:t> </w:t>
      </w:r>
      <w:r w:rsidRPr="002F64C2">
        <w:rPr>
          <w:szCs w:val="24"/>
        </w:rPr>
        <w:t>degrees between FSS and BSS space stations</w:t>
      </w:r>
      <w:r w:rsidRPr="002F64C2">
        <w:t>, the conditions in Annex 1 to this Resolution apply instead of those contained in Annex 4 to Appendix </w:t>
      </w:r>
      <w:r w:rsidRPr="002F64C2">
        <w:rPr>
          <w:b/>
          <w:bCs/>
        </w:rPr>
        <w:t>30</w:t>
      </w:r>
      <w:r w:rsidRPr="002F64C2">
        <w:t>;</w:t>
      </w:r>
    </w:p>
    <w:p w:rsidR="002F64C2" w:rsidRPr="002F64C2" w:rsidRDefault="002F64C2" w:rsidP="002F64C2">
      <w:r w:rsidRPr="002F64C2">
        <w:t>2</w:t>
      </w:r>
      <w:r w:rsidRPr="002F64C2">
        <w:tab/>
        <w:t>that, in the frequency band 12.5-12.7 GHz, with respect to § 7.1 </w:t>
      </w:r>
      <w:r w:rsidRPr="002F64C2">
        <w:rPr>
          <w:i/>
          <w:iCs/>
        </w:rPr>
        <w:t>a)</w:t>
      </w:r>
      <w:r w:rsidRPr="002F64C2">
        <w:t>, 7.2.1 </w:t>
      </w:r>
      <w:r w:rsidRPr="002F64C2">
        <w:rPr>
          <w:i/>
          <w:iCs/>
        </w:rPr>
        <w:t>a)</w:t>
      </w:r>
      <w:r w:rsidRPr="002F64C2">
        <w:t xml:space="preserve"> and 7.2.1 </w:t>
      </w:r>
      <w:r w:rsidRPr="002F64C2">
        <w:rPr>
          <w:i/>
          <w:iCs/>
        </w:rPr>
        <w:t>c)</w:t>
      </w:r>
      <w:r w:rsidRPr="002F64C2">
        <w:t xml:space="preserve"> of Article 7 of Appendix </w:t>
      </w:r>
      <w:r w:rsidRPr="002F64C2">
        <w:rPr>
          <w:b/>
          <w:bCs/>
        </w:rPr>
        <w:t>30</w:t>
      </w:r>
      <w:r w:rsidRPr="002F64C2">
        <w:t>, the need for coordination of a transmitting space station in the FSS of Region 1 with a transmitting space station in the BSS of Region 2 at an orbital position further east than 54° W and not within its clusters in the Region 2 Plan of Appendix </w:t>
      </w:r>
      <w:r w:rsidRPr="002F64C2">
        <w:rPr>
          <w:b/>
          <w:bCs/>
        </w:rPr>
        <w:t>30</w:t>
      </w:r>
      <w:r w:rsidRPr="002F64C2">
        <w:t xml:space="preserve">, and with </w:t>
      </w:r>
      <w:r w:rsidRPr="002F64C2">
        <w:rPr>
          <w:szCs w:val="24"/>
        </w:rPr>
        <w:t>minimum geocentric orbital separation less than 4.2</w:t>
      </w:r>
      <w:r w:rsidRPr="002F64C2">
        <w:t> </w:t>
      </w:r>
      <w:r w:rsidRPr="002F64C2">
        <w:rPr>
          <w:szCs w:val="24"/>
        </w:rPr>
        <w:t xml:space="preserve">degrees between FSS and BSS space stations, </w:t>
      </w:r>
      <w:r w:rsidRPr="002F64C2">
        <w:t>the conditions in Annex 2 to this Resolution apply instead of those contained in Annex 4 to Appendix </w:t>
      </w:r>
      <w:r w:rsidRPr="002F64C2">
        <w:rPr>
          <w:b/>
          <w:bCs/>
        </w:rPr>
        <w:t>30</w:t>
      </w:r>
      <w:r w:rsidRPr="002F64C2">
        <w:t>;</w:t>
      </w:r>
    </w:p>
    <w:p w:rsidR="002F64C2" w:rsidRPr="002F64C2" w:rsidRDefault="002F64C2" w:rsidP="002F64C2">
      <w:r w:rsidRPr="002F64C2">
        <w:t>3</w:t>
      </w:r>
      <w:r w:rsidRPr="002F64C2">
        <w:tab/>
        <w:t xml:space="preserve">that, except the cases specified in </w:t>
      </w:r>
      <w:r w:rsidRPr="002F64C2">
        <w:rPr>
          <w:i/>
        </w:rPr>
        <w:t>resolves</w:t>
      </w:r>
      <w:r w:rsidRPr="002F64C2">
        <w:t> 1 and 2, the conditions in Annex 4 to Appendix </w:t>
      </w:r>
      <w:r w:rsidRPr="002F64C2">
        <w:rPr>
          <w:b/>
          <w:bCs/>
        </w:rPr>
        <w:t>30</w:t>
      </w:r>
      <w:r w:rsidRPr="002F64C2">
        <w:t xml:space="preserve"> continue to apply.</w:t>
      </w:r>
    </w:p>
    <w:p w:rsidR="002F64C2" w:rsidRPr="002F64C2" w:rsidRDefault="002F64C2" w:rsidP="002F64C2">
      <w:pPr>
        <w:keepNext/>
        <w:keepLines/>
        <w:spacing w:before="480" w:after="80"/>
        <w:jc w:val="center"/>
        <w:rPr>
          <w:caps/>
          <w:sz w:val="28"/>
        </w:rPr>
      </w:pPr>
      <w:r w:rsidRPr="002F64C2">
        <w:rPr>
          <w:caps/>
          <w:sz w:val="28"/>
        </w:rPr>
        <w:t>ANNEX 1 TO draft new RESOLUTION [RCC/C14-LIMITA1A2] (WRC-19)</w:t>
      </w:r>
    </w:p>
    <w:p w:rsidR="002F64C2" w:rsidRPr="002F64C2" w:rsidRDefault="002F64C2" w:rsidP="002F64C2">
      <w:pPr>
        <w:spacing w:before="280"/>
      </w:pPr>
      <w:r w:rsidRPr="002F64C2">
        <w:t>With respect to § 7.1 </w:t>
      </w:r>
      <w:r w:rsidRPr="002F64C2">
        <w:rPr>
          <w:i/>
        </w:rPr>
        <w:t>a)</w:t>
      </w:r>
      <w:r w:rsidRPr="002F64C2">
        <w:t>, 7.2.1 </w:t>
      </w:r>
      <w:r w:rsidRPr="002F64C2">
        <w:rPr>
          <w:i/>
          <w:iCs/>
        </w:rPr>
        <w:t>a),</w:t>
      </w:r>
      <w:r w:rsidRPr="002F64C2">
        <w:t xml:space="preserve"> 7.2.1 </w:t>
      </w:r>
      <w:r w:rsidRPr="002F64C2">
        <w:rPr>
          <w:i/>
        </w:rPr>
        <w:t xml:space="preserve">b) </w:t>
      </w:r>
      <w:r w:rsidRPr="002F64C2">
        <w:t>and 7.2.1 </w:t>
      </w:r>
      <w:r w:rsidRPr="002F64C2">
        <w:rPr>
          <w:i/>
        </w:rPr>
        <w:t>c)</w:t>
      </w:r>
      <w:r w:rsidRPr="002F64C2">
        <w:t xml:space="preserve"> of Article 7 of Appendix </w:t>
      </w:r>
      <w:r w:rsidRPr="002F64C2">
        <w:rPr>
          <w:b/>
          <w:bCs/>
        </w:rPr>
        <w:t>30</w:t>
      </w:r>
      <w:r w:rsidRPr="002F64C2">
        <w:t>, coordination of a transmitting space station in the fixed-satellite service (FSS) (space-to-Earth) of Region 2 is required with a broadcasting-satellite station serving an area in Region 1 and using a frequency assignment in the frequency band 11.7-12.2 GHz with a nominal orbital position further west than 37.2° W when, under assumed free-space propagation conditions, the power flux-density at any test point within the service area of the overlapping frequency assignments in the BSS exceeds the following values:</w:t>
      </w:r>
    </w:p>
    <w:p w:rsidR="002F64C2" w:rsidRPr="002F64C2" w:rsidRDefault="002F64C2" w:rsidP="002F64C2">
      <w:pPr>
        <w:tabs>
          <w:tab w:val="left" w:pos="2835"/>
          <w:tab w:val="left" w:pos="5670"/>
          <w:tab w:val="left" w:pos="6521"/>
          <w:tab w:val="left" w:pos="7371"/>
          <w:tab w:val="left" w:pos="8364"/>
        </w:tabs>
        <w:ind w:left="720"/>
        <w:rPr>
          <w:szCs w:val="24"/>
        </w:rPr>
      </w:pPr>
      <w:r w:rsidRPr="002F64C2">
        <w:rPr>
          <w:szCs w:val="24"/>
        </w:rPr>
        <w:t>−147 </w:t>
      </w:r>
      <w:r w:rsidRPr="002F64C2">
        <w:rPr>
          <w:szCs w:val="24"/>
        </w:rPr>
        <w:tab/>
      </w:r>
      <w:r w:rsidRPr="002F64C2">
        <w:rPr>
          <w:szCs w:val="24"/>
        </w:rPr>
        <w:tab/>
      </w:r>
      <w:r w:rsidRPr="002F64C2">
        <w:rPr>
          <w:szCs w:val="24"/>
        </w:rPr>
        <w:tab/>
        <w:t>dB (W/(m</w:t>
      </w:r>
      <w:r w:rsidRPr="002F64C2">
        <w:rPr>
          <w:szCs w:val="24"/>
          <w:vertAlign w:val="superscript"/>
        </w:rPr>
        <w:t>2</w:t>
      </w:r>
      <w:r w:rsidRPr="002F64C2">
        <w:rPr>
          <w:szCs w:val="24"/>
        </w:rPr>
        <w:t xml:space="preserve"> · 27 MHz)) </w:t>
      </w:r>
      <w:r w:rsidRPr="002F64C2">
        <w:rPr>
          <w:szCs w:val="24"/>
        </w:rPr>
        <w:tab/>
        <w:t xml:space="preserve">for </w:t>
      </w:r>
      <w:r w:rsidRPr="002F64C2">
        <w:rPr>
          <w:szCs w:val="24"/>
        </w:rPr>
        <w:tab/>
        <w:t>0° </w:t>
      </w:r>
      <w:r w:rsidRPr="002F64C2">
        <w:rPr>
          <w:szCs w:val="24"/>
        </w:rPr>
        <w:tab/>
      </w:r>
      <w:r w:rsidRPr="002F64C2">
        <w:rPr>
          <w:szCs w:val="24"/>
        </w:rPr>
        <w:sym w:font="Symbol" w:char="F0A3"/>
      </w:r>
      <w:r w:rsidRPr="002F64C2">
        <w:rPr>
          <w:szCs w:val="24"/>
        </w:rPr>
        <w:sym w:font="Symbol" w:char="F071"/>
      </w:r>
      <w:r w:rsidRPr="002F64C2">
        <w:rPr>
          <w:szCs w:val="24"/>
        </w:rPr>
        <w:t>&lt; 0.23° </w:t>
      </w:r>
    </w:p>
    <w:p w:rsidR="002F64C2" w:rsidRPr="002F64C2" w:rsidRDefault="002F64C2" w:rsidP="002F64C2">
      <w:pPr>
        <w:tabs>
          <w:tab w:val="left" w:pos="2835"/>
          <w:tab w:val="left" w:pos="5670"/>
          <w:tab w:val="left" w:pos="6521"/>
          <w:tab w:val="left" w:pos="7371"/>
          <w:tab w:val="left" w:pos="8364"/>
        </w:tabs>
        <w:ind w:left="720"/>
        <w:rPr>
          <w:szCs w:val="24"/>
        </w:rPr>
      </w:pPr>
      <w:r w:rsidRPr="002F64C2">
        <w:rPr>
          <w:szCs w:val="24"/>
        </w:rPr>
        <w:t xml:space="preserve">−135.7 + 17.74 log </w:t>
      </w:r>
      <w:r w:rsidRPr="002F64C2">
        <w:rPr>
          <w:rFonts w:ascii="Symbol" w:hAnsi="Symbol"/>
          <w:szCs w:val="24"/>
        </w:rPr>
        <w:t></w:t>
      </w:r>
      <w:r w:rsidRPr="002F64C2">
        <w:rPr>
          <w:rFonts w:ascii="Symbol" w:hAnsi="Symbol"/>
          <w:szCs w:val="24"/>
        </w:rPr>
        <w:t></w:t>
      </w:r>
      <w:r w:rsidRPr="002F64C2">
        <w:rPr>
          <w:rFonts w:ascii="Symbol" w:hAnsi="Symbol"/>
          <w:szCs w:val="24"/>
        </w:rPr>
        <w:tab/>
      </w:r>
      <w:r w:rsidRPr="002F64C2">
        <w:rPr>
          <w:szCs w:val="24"/>
        </w:rPr>
        <w:t>dB (W/(m</w:t>
      </w:r>
      <w:r w:rsidRPr="002F64C2">
        <w:rPr>
          <w:szCs w:val="24"/>
          <w:vertAlign w:val="superscript"/>
        </w:rPr>
        <w:t>2</w:t>
      </w:r>
      <w:r w:rsidRPr="002F64C2">
        <w:rPr>
          <w:szCs w:val="24"/>
        </w:rPr>
        <w:t xml:space="preserve"> · 27 MHz)) </w:t>
      </w:r>
      <w:r w:rsidRPr="002F64C2">
        <w:rPr>
          <w:szCs w:val="24"/>
        </w:rPr>
        <w:tab/>
        <w:t xml:space="preserve">for </w:t>
      </w:r>
      <w:r w:rsidRPr="002F64C2">
        <w:rPr>
          <w:szCs w:val="24"/>
        </w:rPr>
        <w:tab/>
        <w:t>0.23° </w:t>
      </w:r>
      <w:r w:rsidRPr="002F64C2">
        <w:rPr>
          <w:szCs w:val="24"/>
        </w:rPr>
        <w:tab/>
      </w:r>
      <w:r w:rsidRPr="002F64C2">
        <w:rPr>
          <w:szCs w:val="24"/>
        </w:rPr>
        <w:sym w:font="Symbol" w:char="F0A3"/>
      </w:r>
      <w:r w:rsidRPr="002F64C2">
        <w:rPr>
          <w:szCs w:val="24"/>
        </w:rPr>
        <w:sym w:font="Symbol" w:char="F071"/>
      </w:r>
      <w:r w:rsidRPr="002F64C2">
        <w:rPr>
          <w:szCs w:val="24"/>
        </w:rPr>
        <w:t>&lt; 2.0° </w:t>
      </w:r>
    </w:p>
    <w:p w:rsidR="002F64C2" w:rsidRPr="002F64C2" w:rsidRDefault="002F64C2" w:rsidP="002F64C2">
      <w:pPr>
        <w:tabs>
          <w:tab w:val="left" w:pos="2835"/>
          <w:tab w:val="left" w:pos="5670"/>
          <w:tab w:val="left" w:pos="6521"/>
          <w:tab w:val="left" w:pos="7371"/>
          <w:tab w:val="left" w:pos="8364"/>
        </w:tabs>
        <w:ind w:left="720"/>
        <w:rPr>
          <w:szCs w:val="24"/>
        </w:rPr>
      </w:pPr>
      <w:r w:rsidRPr="002F64C2">
        <w:rPr>
          <w:szCs w:val="24"/>
        </w:rPr>
        <w:t xml:space="preserve">−136.7 + 1.66 </w:t>
      </w:r>
      <w:r w:rsidRPr="002F64C2">
        <w:rPr>
          <w:rFonts w:ascii="Symbol" w:hAnsi="Symbol"/>
          <w:szCs w:val="24"/>
        </w:rPr>
        <w:t></w:t>
      </w:r>
      <w:r w:rsidRPr="002F64C2">
        <w:rPr>
          <w:szCs w:val="24"/>
          <w:vertAlign w:val="superscript"/>
        </w:rPr>
        <w:t xml:space="preserve">2 </w:t>
      </w:r>
      <w:r w:rsidRPr="002F64C2">
        <w:rPr>
          <w:szCs w:val="24"/>
          <w:vertAlign w:val="superscript"/>
        </w:rPr>
        <w:tab/>
      </w:r>
      <w:r w:rsidRPr="002F64C2">
        <w:rPr>
          <w:szCs w:val="24"/>
        </w:rPr>
        <w:t>dB (W/(m</w:t>
      </w:r>
      <w:r w:rsidRPr="002F64C2">
        <w:rPr>
          <w:szCs w:val="24"/>
          <w:vertAlign w:val="superscript"/>
        </w:rPr>
        <w:t>2</w:t>
      </w:r>
      <w:r w:rsidRPr="002F64C2">
        <w:rPr>
          <w:szCs w:val="24"/>
        </w:rPr>
        <w:t xml:space="preserve"> · 27 MHz)) </w:t>
      </w:r>
      <w:r w:rsidRPr="002F64C2">
        <w:rPr>
          <w:szCs w:val="24"/>
        </w:rPr>
        <w:tab/>
        <w:t xml:space="preserve">for </w:t>
      </w:r>
      <w:r w:rsidRPr="002F64C2">
        <w:rPr>
          <w:szCs w:val="24"/>
        </w:rPr>
        <w:tab/>
        <w:t>2.0° </w:t>
      </w:r>
      <w:r w:rsidRPr="002F64C2">
        <w:rPr>
          <w:szCs w:val="24"/>
        </w:rPr>
        <w:tab/>
      </w:r>
      <w:r w:rsidRPr="002F64C2">
        <w:rPr>
          <w:szCs w:val="24"/>
        </w:rPr>
        <w:sym w:font="Symbol" w:char="F0A3"/>
      </w:r>
      <w:r w:rsidRPr="002F64C2">
        <w:rPr>
          <w:szCs w:val="24"/>
        </w:rPr>
        <w:sym w:font="Symbol" w:char="F071"/>
      </w:r>
      <w:r w:rsidRPr="002F64C2">
        <w:rPr>
          <w:szCs w:val="24"/>
        </w:rPr>
        <w:t>&lt; 3.59° </w:t>
      </w:r>
    </w:p>
    <w:p w:rsidR="002F64C2" w:rsidRPr="002F64C2" w:rsidRDefault="002F64C2" w:rsidP="002F64C2">
      <w:pPr>
        <w:tabs>
          <w:tab w:val="left" w:pos="2835"/>
          <w:tab w:val="left" w:pos="5670"/>
          <w:tab w:val="left" w:pos="6521"/>
          <w:tab w:val="left" w:pos="7371"/>
          <w:tab w:val="left" w:pos="8364"/>
        </w:tabs>
        <w:ind w:left="720" w:right="-421"/>
        <w:rPr>
          <w:szCs w:val="24"/>
        </w:rPr>
      </w:pPr>
      <w:r w:rsidRPr="002F64C2">
        <w:rPr>
          <w:szCs w:val="24"/>
        </w:rPr>
        <w:t xml:space="preserve">−129.2 + 25 log </w:t>
      </w:r>
      <w:r w:rsidRPr="002F64C2">
        <w:rPr>
          <w:rFonts w:ascii="Symbol" w:hAnsi="Symbol"/>
          <w:szCs w:val="24"/>
        </w:rPr>
        <w:t></w:t>
      </w:r>
      <w:r w:rsidRPr="002F64C2">
        <w:rPr>
          <w:rFonts w:ascii="Symbol" w:hAnsi="Symbol"/>
          <w:szCs w:val="24"/>
        </w:rPr>
        <w:t></w:t>
      </w:r>
      <w:r w:rsidRPr="002F64C2">
        <w:rPr>
          <w:rFonts w:ascii="Symbol" w:hAnsi="Symbol"/>
          <w:szCs w:val="24"/>
        </w:rPr>
        <w:tab/>
      </w:r>
      <w:r w:rsidRPr="002F64C2">
        <w:rPr>
          <w:szCs w:val="24"/>
        </w:rPr>
        <w:t>dB (W/(m</w:t>
      </w:r>
      <w:r w:rsidRPr="002F64C2">
        <w:rPr>
          <w:szCs w:val="24"/>
          <w:vertAlign w:val="superscript"/>
        </w:rPr>
        <w:t>2</w:t>
      </w:r>
      <w:r w:rsidRPr="002F64C2">
        <w:rPr>
          <w:szCs w:val="24"/>
        </w:rPr>
        <w:t xml:space="preserve"> · 27 MHz)) </w:t>
      </w:r>
      <w:r w:rsidRPr="002F64C2">
        <w:rPr>
          <w:szCs w:val="24"/>
        </w:rPr>
        <w:tab/>
        <w:t xml:space="preserve">for </w:t>
      </w:r>
      <w:r w:rsidRPr="002F64C2">
        <w:rPr>
          <w:szCs w:val="24"/>
        </w:rPr>
        <w:tab/>
        <w:t>3.59° </w:t>
      </w:r>
      <w:r w:rsidRPr="002F64C2">
        <w:rPr>
          <w:szCs w:val="24"/>
        </w:rPr>
        <w:tab/>
      </w:r>
      <w:r w:rsidRPr="002F64C2">
        <w:rPr>
          <w:szCs w:val="24"/>
        </w:rPr>
        <w:sym w:font="Symbol" w:char="F0A3"/>
      </w:r>
      <w:r w:rsidRPr="002F64C2">
        <w:rPr>
          <w:szCs w:val="24"/>
        </w:rPr>
        <w:sym w:font="Symbol" w:char="F071"/>
      </w:r>
      <w:r w:rsidRPr="002F64C2">
        <w:rPr>
          <w:szCs w:val="24"/>
        </w:rPr>
        <w:t>&lt; 4.2° </w:t>
      </w:r>
    </w:p>
    <w:p w:rsidR="002F64C2" w:rsidRPr="002F64C2" w:rsidRDefault="002F64C2" w:rsidP="002F64C2">
      <w:pPr>
        <w:rPr>
          <w:szCs w:val="24"/>
        </w:rPr>
      </w:pPr>
      <w:r w:rsidRPr="002F64C2">
        <w:rPr>
          <w:szCs w:val="24"/>
        </w:rPr>
        <w:t xml:space="preserve">where </w:t>
      </w:r>
      <w:r w:rsidRPr="002F64C2">
        <w:rPr>
          <w:rFonts w:ascii="Symbol" w:hAnsi="Symbol"/>
          <w:szCs w:val="24"/>
        </w:rPr>
        <w:t></w:t>
      </w:r>
      <w:r w:rsidRPr="002F64C2">
        <w:rPr>
          <w:szCs w:val="24"/>
        </w:rPr>
        <w:t xml:space="preserve"> is the minimum geocentric orbital separation in degrees between the wanted and interfering space stations, taking into account the respective east-west station-keeping accuracies.</w:t>
      </w:r>
    </w:p>
    <w:p w:rsidR="002F64C2" w:rsidRPr="002F64C2" w:rsidRDefault="002F64C2" w:rsidP="002F64C2">
      <w:pPr>
        <w:keepNext/>
        <w:keepLines/>
        <w:spacing w:before="480" w:after="80"/>
        <w:jc w:val="center"/>
        <w:rPr>
          <w:caps/>
          <w:sz w:val="28"/>
        </w:rPr>
      </w:pPr>
      <w:r w:rsidRPr="002F64C2">
        <w:rPr>
          <w:caps/>
          <w:sz w:val="28"/>
        </w:rPr>
        <w:lastRenderedPageBreak/>
        <w:t>ANNEX 2 TO draft new RESOLUTION [RCC/C14-LIMITA1A2] (WRC-19)</w:t>
      </w:r>
    </w:p>
    <w:p w:rsidR="002F64C2" w:rsidRPr="002F64C2" w:rsidRDefault="002F64C2" w:rsidP="002F64C2">
      <w:pPr>
        <w:spacing w:before="280"/>
      </w:pPr>
      <w:r w:rsidRPr="002F64C2">
        <w:t>With respect to § 7.1 </w:t>
      </w:r>
      <w:r w:rsidRPr="002F64C2">
        <w:rPr>
          <w:i/>
        </w:rPr>
        <w:t>a)</w:t>
      </w:r>
      <w:r w:rsidRPr="002F64C2">
        <w:t>, 7.2.1 </w:t>
      </w:r>
      <w:r w:rsidRPr="002F64C2">
        <w:rPr>
          <w:i/>
        </w:rPr>
        <w:t xml:space="preserve">a) </w:t>
      </w:r>
      <w:r w:rsidRPr="002F64C2">
        <w:t>and 7.2.1 </w:t>
      </w:r>
      <w:r w:rsidRPr="002F64C2">
        <w:rPr>
          <w:i/>
        </w:rPr>
        <w:t>c)</w:t>
      </w:r>
      <w:r w:rsidRPr="002F64C2">
        <w:t xml:space="preserve"> of Article 7 of Appendix </w:t>
      </w:r>
      <w:r w:rsidRPr="002F64C2">
        <w:rPr>
          <w:b/>
          <w:bCs/>
        </w:rPr>
        <w:t>30</w:t>
      </w:r>
      <w:r w:rsidRPr="002F64C2">
        <w:t>, coordination of a transmitting space station in the fixed-satellite service (FSS) (space-to-Earth) of Region 1 is required with a broadcasting-satellite station serving an area in Region 2 and using a frequency assignment in the frequency band 12.5-12.7 GHz with a nominal orbital position further east than 54° W and not within its clusters in the Region 2 Plan of Appendix </w:t>
      </w:r>
      <w:r w:rsidRPr="002F64C2">
        <w:rPr>
          <w:b/>
          <w:bCs/>
        </w:rPr>
        <w:t xml:space="preserve">30 </w:t>
      </w:r>
      <w:r w:rsidRPr="002F64C2">
        <w:t>when, under assumed free-space propagation conditions, the power flux-density at any test point within the service area of the overlapping frequency assignments in the BSS exceeds the following values:</w:t>
      </w:r>
    </w:p>
    <w:p w:rsidR="002F64C2" w:rsidRPr="002F64C2" w:rsidRDefault="002F64C2" w:rsidP="002F64C2">
      <w:pPr>
        <w:tabs>
          <w:tab w:val="left" w:pos="2835"/>
          <w:tab w:val="left" w:pos="5670"/>
          <w:tab w:val="left" w:pos="6521"/>
          <w:tab w:val="left" w:pos="7371"/>
          <w:tab w:val="left" w:pos="8364"/>
        </w:tabs>
        <w:ind w:left="720"/>
        <w:rPr>
          <w:szCs w:val="24"/>
        </w:rPr>
      </w:pPr>
      <w:r w:rsidRPr="002F64C2">
        <w:rPr>
          <w:szCs w:val="24"/>
        </w:rPr>
        <w:t>−147 </w:t>
      </w:r>
      <w:r w:rsidRPr="002F64C2">
        <w:rPr>
          <w:szCs w:val="24"/>
        </w:rPr>
        <w:tab/>
      </w:r>
      <w:r w:rsidRPr="002F64C2">
        <w:rPr>
          <w:szCs w:val="24"/>
        </w:rPr>
        <w:tab/>
      </w:r>
      <w:r w:rsidRPr="002F64C2">
        <w:rPr>
          <w:szCs w:val="24"/>
        </w:rPr>
        <w:tab/>
        <w:t>dB (W/(m</w:t>
      </w:r>
      <w:r w:rsidRPr="002F64C2">
        <w:rPr>
          <w:szCs w:val="24"/>
          <w:vertAlign w:val="superscript"/>
        </w:rPr>
        <w:t>2</w:t>
      </w:r>
      <w:r w:rsidRPr="002F64C2">
        <w:rPr>
          <w:szCs w:val="24"/>
        </w:rPr>
        <w:t xml:space="preserve"> · 27 MHz))</w:t>
      </w:r>
      <w:r w:rsidRPr="002F64C2">
        <w:rPr>
          <w:szCs w:val="24"/>
        </w:rPr>
        <w:tab/>
        <w:t xml:space="preserve">for </w:t>
      </w:r>
      <w:r w:rsidRPr="002F64C2">
        <w:rPr>
          <w:szCs w:val="24"/>
        </w:rPr>
        <w:tab/>
        <w:t>0° </w:t>
      </w:r>
      <w:r w:rsidRPr="002F64C2">
        <w:rPr>
          <w:szCs w:val="24"/>
        </w:rPr>
        <w:tab/>
      </w:r>
      <w:r w:rsidRPr="002F64C2">
        <w:rPr>
          <w:szCs w:val="24"/>
        </w:rPr>
        <w:sym w:font="Symbol" w:char="F0A3"/>
      </w:r>
      <w:r w:rsidRPr="002F64C2">
        <w:rPr>
          <w:szCs w:val="24"/>
        </w:rPr>
        <w:sym w:font="Symbol" w:char="F071"/>
      </w:r>
      <w:r w:rsidRPr="002F64C2">
        <w:rPr>
          <w:szCs w:val="24"/>
        </w:rPr>
        <w:t>&lt; 0.23° </w:t>
      </w:r>
    </w:p>
    <w:p w:rsidR="002F64C2" w:rsidRPr="002F64C2" w:rsidRDefault="002F64C2" w:rsidP="002F64C2">
      <w:pPr>
        <w:tabs>
          <w:tab w:val="left" w:pos="2835"/>
          <w:tab w:val="left" w:pos="5670"/>
          <w:tab w:val="left" w:pos="6521"/>
          <w:tab w:val="left" w:pos="7371"/>
          <w:tab w:val="left" w:pos="8364"/>
        </w:tabs>
        <w:ind w:left="720"/>
        <w:rPr>
          <w:szCs w:val="24"/>
        </w:rPr>
      </w:pPr>
      <w:r w:rsidRPr="002F64C2">
        <w:rPr>
          <w:szCs w:val="24"/>
        </w:rPr>
        <w:t xml:space="preserve">−135.7 + 17.74 log </w:t>
      </w:r>
      <w:r w:rsidRPr="002F64C2">
        <w:rPr>
          <w:rFonts w:ascii="Symbol" w:hAnsi="Symbol"/>
          <w:szCs w:val="24"/>
        </w:rPr>
        <w:t></w:t>
      </w:r>
      <w:r w:rsidRPr="002F64C2">
        <w:rPr>
          <w:rFonts w:ascii="Symbol" w:hAnsi="Symbol"/>
          <w:szCs w:val="24"/>
        </w:rPr>
        <w:t></w:t>
      </w:r>
      <w:r w:rsidRPr="002F64C2">
        <w:rPr>
          <w:rFonts w:ascii="Symbol" w:hAnsi="Symbol"/>
          <w:szCs w:val="24"/>
        </w:rPr>
        <w:tab/>
      </w:r>
      <w:r w:rsidRPr="002F64C2">
        <w:rPr>
          <w:szCs w:val="24"/>
        </w:rPr>
        <w:t>dB (W/(m</w:t>
      </w:r>
      <w:r w:rsidRPr="002F64C2">
        <w:rPr>
          <w:szCs w:val="24"/>
          <w:vertAlign w:val="superscript"/>
        </w:rPr>
        <w:t>2</w:t>
      </w:r>
      <w:r w:rsidRPr="002F64C2">
        <w:rPr>
          <w:szCs w:val="24"/>
        </w:rPr>
        <w:t xml:space="preserve"> · 27 MHz)) </w:t>
      </w:r>
      <w:r w:rsidRPr="002F64C2">
        <w:rPr>
          <w:szCs w:val="24"/>
        </w:rPr>
        <w:tab/>
        <w:t xml:space="preserve">for </w:t>
      </w:r>
      <w:r w:rsidRPr="002F64C2">
        <w:rPr>
          <w:szCs w:val="24"/>
        </w:rPr>
        <w:tab/>
        <w:t>0.23° </w:t>
      </w:r>
      <w:r w:rsidRPr="002F64C2">
        <w:rPr>
          <w:szCs w:val="24"/>
        </w:rPr>
        <w:tab/>
      </w:r>
      <w:r w:rsidRPr="002F64C2">
        <w:rPr>
          <w:szCs w:val="24"/>
        </w:rPr>
        <w:sym w:font="Symbol" w:char="F0A3"/>
      </w:r>
      <w:r w:rsidRPr="002F64C2">
        <w:rPr>
          <w:szCs w:val="24"/>
        </w:rPr>
        <w:sym w:font="Symbol" w:char="F071"/>
      </w:r>
      <w:r w:rsidRPr="002F64C2">
        <w:rPr>
          <w:szCs w:val="24"/>
        </w:rPr>
        <w:t>&lt; 1.8° </w:t>
      </w:r>
    </w:p>
    <w:p w:rsidR="002F64C2" w:rsidRPr="002F64C2" w:rsidRDefault="002F64C2" w:rsidP="002F64C2">
      <w:pPr>
        <w:tabs>
          <w:tab w:val="left" w:pos="2835"/>
          <w:tab w:val="left" w:pos="5670"/>
          <w:tab w:val="left" w:pos="6521"/>
          <w:tab w:val="left" w:pos="7371"/>
          <w:tab w:val="left" w:pos="8364"/>
        </w:tabs>
        <w:ind w:left="720" w:right="-421"/>
        <w:rPr>
          <w:szCs w:val="24"/>
        </w:rPr>
      </w:pPr>
      <w:r w:rsidRPr="002F64C2">
        <w:rPr>
          <w:szCs w:val="24"/>
        </w:rPr>
        <w:t xml:space="preserve">−134.0 + 0.89 </w:t>
      </w:r>
      <w:r w:rsidRPr="002F64C2">
        <w:rPr>
          <w:rFonts w:ascii="Symbol" w:hAnsi="Symbol"/>
          <w:szCs w:val="24"/>
        </w:rPr>
        <w:t></w:t>
      </w:r>
      <w:r w:rsidRPr="002F64C2">
        <w:rPr>
          <w:szCs w:val="24"/>
          <w:vertAlign w:val="superscript"/>
        </w:rPr>
        <w:t xml:space="preserve">2 </w:t>
      </w:r>
      <w:r w:rsidRPr="002F64C2">
        <w:rPr>
          <w:szCs w:val="24"/>
          <w:vertAlign w:val="superscript"/>
        </w:rPr>
        <w:tab/>
      </w:r>
      <w:r w:rsidRPr="002F64C2">
        <w:rPr>
          <w:szCs w:val="24"/>
        </w:rPr>
        <w:t>dB (W/(m</w:t>
      </w:r>
      <w:r w:rsidRPr="002F64C2">
        <w:rPr>
          <w:szCs w:val="24"/>
          <w:vertAlign w:val="superscript"/>
        </w:rPr>
        <w:t>2</w:t>
      </w:r>
      <w:r w:rsidRPr="002F64C2">
        <w:rPr>
          <w:szCs w:val="24"/>
        </w:rPr>
        <w:t xml:space="preserve"> · 27 MHz)) </w:t>
      </w:r>
      <w:r w:rsidRPr="002F64C2">
        <w:rPr>
          <w:szCs w:val="24"/>
        </w:rPr>
        <w:tab/>
        <w:t xml:space="preserve">for </w:t>
      </w:r>
      <w:r w:rsidRPr="002F64C2">
        <w:rPr>
          <w:szCs w:val="24"/>
        </w:rPr>
        <w:tab/>
        <w:t>1.8° </w:t>
      </w:r>
      <w:r w:rsidRPr="002F64C2">
        <w:rPr>
          <w:szCs w:val="24"/>
        </w:rPr>
        <w:tab/>
      </w:r>
      <w:r w:rsidRPr="002F64C2">
        <w:rPr>
          <w:szCs w:val="24"/>
        </w:rPr>
        <w:sym w:font="Symbol" w:char="F0A3"/>
      </w:r>
      <w:r w:rsidRPr="002F64C2">
        <w:rPr>
          <w:szCs w:val="24"/>
        </w:rPr>
        <w:sym w:font="Symbol" w:char="F071"/>
      </w:r>
      <w:r w:rsidRPr="002F64C2">
        <w:rPr>
          <w:szCs w:val="24"/>
        </w:rPr>
        <w:t>&lt; 4.2° </w:t>
      </w:r>
    </w:p>
    <w:p w:rsidR="001962A2" w:rsidRPr="0042498F" w:rsidRDefault="002F64C2" w:rsidP="002F64C2">
      <w:pPr>
        <w:rPr>
          <w:szCs w:val="24"/>
        </w:rPr>
      </w:pPr>
      <w:r w:rsidRPr="002F64C2">
        <w:rPr>
          <w:szCs w:val="24"/>
        </w:rPr>
        <w:t xml:space="preserve">where </w:t>
      </w:r>
      <w:r w:rsidRPr="002F64C2">
        <w:rPr>
          <w:rFonts w:ascii="Symbol" w:hAnsi="Symbol"/>
          <w:szCs w:val="24"/>
        </w:rPr>
        <w:t></w:t>
      </w:r>
      <w:r w:rsidRPr="002F64C2">
        <w:rPr>
          <w:szCs w:val="24"/>
        </w:rPr>
        <w:t xml:space="preserve"> is the minimum geocentric orbital separation in degrees between the wanted and interfering space stations, taking into account the respective east-west station-keeping accuracies.</w:t>
      </w:r>
    </w:p>
    <w:p w:rsidR="00684A95" w:rsidRDefault="00CB134E">
      <w:pPr>
        <w:pStyle w:val="Reasons"/>
      </w:pPr>
      <w:r>
        <w:rPr>
          <w:b/>
        </w:rPr>
        <w:t>Reasons:</w:t>
      </w:r>
      <w:r>
        <w:tab/>
      </w:r>
      <w:bookmarkStart w:id="72" w:name="_Hlk22135785"/>
      <w:r w:rsidR="002F64C2" w:rsidRPr="002F64C2">
        <w:t>Necessary addition to the Radio Regulations of this new WRC-19 Resolution</w:t>
      </w:r>
      <w:bookmarkEnd w:id="72"/>
      <w:r w:rsidR="002F64C2" w:rsidRPr="002F64C2">
        <w:t>, which, in order to mitigate possible coordination issues that may arise in special cases further to the deletion of limitations A1a and A2a, specifies the conditions necessitating coordination at certain orbital separations between new FSS networks and new BSS networks.</w:t>
      </w:r>
    </w:p>
    <w:p w:rsidR="00684A95" w:rsidRDefault="00CB134E">
      <w:pPr>
        <w:pStyle w:val="Proposal"/>
      </w:pPr>
      <w:r>
        <w:t>ADD</w:t>
      </w:r>
      <w:r>
        <w:tab/>
        <w:t>RCC/12A4/13</w:t>
      </w:r>
      <w:r>
        <w:rPr>
          <w:vanish/>
          <w:color w:val="7F7F7F" w:themeColor="text1" w:themeTint="80"/>
          <w:vertAlign w:val="superscript"/>
        </w:rPr>
        <w:t>#49984</w:t>
      </w:r>
    </w:p>
    <w:p w:rsidR="002F64C2" w:rsidRPr="002F64C2" w:rsidRDefault="002F64C2" w:rsidP="002F64C2">
      <w:pPr>
        <w:keepNext/>
        <w:keepLines/>
        <w:spacing w:before="480"/>
        <w:jc w:val="center"/>
        <w:rPr>
          <w:caps/>
          <w:sz w:val="28"/>
        </w:rPr>
      </w:pPr>
      <w:r w:rsidRPr="002F64C2">
        <w:rPr>
          <w:caps/>
          <w:sz w:val="28"/>
        </w:rPr>
        <w:t xml:space="preserve">DRAFT NEW RESOLUTION </w:t>
      </w:r>
      <w:r w:rsidRPr="002F64C2">
        <w:rPr>
          <w:sz w:val="28"/>
          <w:szCs w:val="28"/>
        </w:rPr>
        <w:t>[RCC/D14-ENTRY-INTO-FORCE]</w:t>
      </w:r>
      <w:r w:rsidRPr="002F64C2">
        <w:rPr>
          <w:caps/>
          <w:sz w:val="28"/>
        </w:rPr>
        <w:t xml:space="preserve"> (WRC-19)</w:t>
      </w:r>
    </w:p>
    <w:p w:rsidR="002F64C2" w:rsidRPr="002F64C2" w:rsidRDefault="002F64C2" w:rsidP="002F64C2">
      <w:pPr>
        <w:keepNext/>
        <w:keepLines/>
        <w:spacing w:before="240"/>
        <w:jc w:val="center"/>
        <w:rPr>
          <w:rFonts w:ascii="Times New Roman Bold" w:hAnsi="Times New Roman Bold"/>
          <w:b/>
          <w:sz w:val="28"/>
        </w:rPr>
      </w:pPr>
      <w:r w:rsidRPr="002F64C2">
        <w:rPr>
          <w:rFonts w:ascii="Times New Roman Bold" w:hAnsi="Times New Roman Bold"/>
          <w:b/>
          <w:sz w:val="28"/>
        </w:rPr>
        <w:t>Provisional application of certain provisions of the Radio Regulations as revised by the 2019 World Radiocommunication Conference</w:t>
      </w:r>
    </w:p>
    <w:p w:rsidR="002F64C2" w:rsidRPr="002F64C2" w:rsidRDefault="002F64C2" w:rsidP="002F64C2">
      <w:pPr>
        <w:keepNext/>
        <w:spacing w:before="280"/>
      </w:pPr>
      <w:r w:rsidRPr="002F64C2">
        <w:t>The World Radiocommunication Conference (Sharm el-Sheikh, 2019),</w:t>
      </w:r>
    </w:p>
    <w:p w:rsidR="002F64C2" w:rsidRPr="002F64C2" w:rsidRDefault="002F64C2" w:rsidP="002F64C2">
      <w:pPr>
        <w:keepNext/>
        <w:keepLines/>
        <w:spacing w:before="160"/>
        <w:ind w:left="1134"/>
        <w:rPr>
          <w:i/>
        </w:rPr>
      </w:pPr>
      <w:r w:rsidRPr="002F64C2">
        <w:rPr>
          <w:i/>
        </w:rPr>
        <w:t>considering</w:t>
      </w:r>
    </w:p>
    <w:p w:rsidR="002F64C2" w:rsidRPr="002F64C2" w:rsidRDefault="002F64C2" w:rsidP="002F64C2">
      <w:pPr>
        <w:rPr>
          <w:rFonts w:eastAsia="Calibri"/>
          <w:lang w:eastAsia="zh-CN"/>
        </w:rPr>
      </w:pPr>
      <w:r w:rsidRPr="002F64C2">
        <w:rPr>
          <w:i/>
          <w:iCs/>
        </w:rPr>
        <w:t>a)</w:t>
      </w:r>
      <w:r w:rsidRPr="002F64C2">
        <w:tab/>
        <w:t>that this conference has, in accordance with its terms of reference, adopted a partial revision to the Radio Regulations (RR), which will enter into force on 1 January 2021</w:t>
      </w:r>
      <w:r w:rsidRPr="002F64C2">
        <w:rPr>
          <w:rFonts w:eastAsia="Calibri"/>
          <w:lang w:eastAsia="zh-CN"/>
        </w:rPr>
        <w:t>;</w:t>
      </w:r>
    </w:p>
    <w:p w:rsidR="002F64C2" w:rsidRPr="002F64C2" w:rsidRDefault="002F64C2" w:rsidP="002F64C2">
      <w:r w:rsidRPr="002F64C2">
        <w:rPr>
          <w:rFonts w:eastAsia="Calibri"/>
          <w:i/>
          <w:lang w:eastAsia="zh-CN"/>
        </w:rPr>
        <w:t>b)</w:t>
      </w:r>
      <w:r w:rsidRPr="002F64C2">
        <w:rPr>
          <w:rFonts w:eastAsia="Calibri"/>
          <w:i/>
          <w:lang w:eastAsia="zh-CN"/>
        </w:rPr>
        <w:tab/>
      </w:r>
      <w:r w:rsidRPr="002F64C2">
        <w:t>that some of the provisions, as amended by this conference, need to apply provisionally before that date;</w:t>
      </w:r>
    </w:p>
    <w:p w:rsidR="002F64C2" w:rsidRPr="002F64C2" w:rsidRDefault="002F64C2" w:rsidP="002F64C2">
      <w:r w:rsidRPr="002F64C2">
        <w:rPr>
          <w:i/>
        </w:rPr>
        <w:t>c)</w:t>
      </w:r>
      <w:r w:rsidRPr="002F64C2">
        <w:tab/>
        <w:t>that, as a general rule, new and revised Resolutions and Recommendations enter into force at the time of the signing of the Final Acts of a conference,</w:t>
      </w:r>
    </w:p>
    <w:p w:rsidR="002F64C2" w:rsidRPr="002F64C2" w:rsidRDefault="002F64C2" w:rsidP="002F64C2">
      <w:pPr>
        <w:keepNext/>
        <w:keepLines/>
        <w:spacing w:before="160"/>
        <w:ind w:left="1134"/>
        <w:rPr>
          <w:i/>
        </w:rPr>
      </w:pPr>
      <w:r w:rsidRPr="002F64C2">
        <w:rPr>
          <w:i/>
        </w:rPr>
        <w:t>resolves</w:t>
      </w:r>
    </w:p>
    <w:p w:rsidR="001962A2" w:rsidRPr="0042498F" w:rsidRDefault="002F64C2" w:rsidP="002F64C2">
      <w:r w:rsidRPr="002F64C2">
        <w:t>that, as of 23 November 2019, the following provisions of the RR, as revised or established by this conference, shall provisionally apply: Annex 7 to Appendix </w:t>
      </w:r>
      <w:r w:rsidRPr="002F64C2">
        <w:rPr>
          <w:b/>
          <w:bCs/>
        </w:rPr>
        <w:t>30</w:t>
      </w:r>
      <w:r w:rsidRPr="002F64C2">
        <w:t>.</w:t>
      </w:r>
    </w:p>
    <w:p w:rsidR="00684A95" w:rsidRDefault="00CB134E">
      <w:pPr>
        <w:pStyle w:val="Reasons"/>
      </w:pPr>
      <w:r>
        <w:rPr>
          <w:b/>
        </w:rPr>
        <w:t>Reasons:</w:t>
      </w:r>
      <w:r>
        <w:tab/>
      </w:r>
      <w:r w:rsidR="002F64C2" w:rsidRPr="002F64C2">
        <w:t xml:space="preserve">Addition to the Radio Regulations of this new WRC-19 Resolution is necessary in order to specify the date of application of Annex 7 to RR Appendix </w:t>
      </w:r>
      <w:r w:rsidR="002F64C2" w:rsidRPr="002F64C2">
        <w:rPr>
          <w:b/>
          <w:bCs/>
        </w:rPr>
        <w:t>30</w:t>
      </w:r>
      <w:r w:rsidR="002F64C2" w:rsidRPr="002F64C2">
        <w:t xml:space="preserve"> as revised by WRC-19.</w:t>
      </w:r>
    </w:p>
    <w:p w:rsidR="00684A95" w:rsidRDefault="00CB134E">
      <w:pPr>
        <w:pStyle w:val="Proposal"/>
      </w:pPr>
      <w:r>
        <w:lastRenderedPageBreak/>
        <w:t>SUP</w:t>
      </w:r>
      <w:r>
        <w:tab/>
        <w:t>RCC/12A4/14</w:t>
      </w:r>
      <w:r>
        <w:rPr>
          <w:vanish/>
          <w:color w:val="7F7F7F" w:themeColor="text1" w:themeTint="80"/>
          <w:vertAlign w:val="superscript"/>
        </w:rPr>
        <w:t>#49985</w:t>
      </w:r>
    </w:p>
    <w:p w:rsidR="001962A2" w:rsidRPr="0042498F" w:rsidRDefault="00CB134E" w:rsidP="00130FDA">
      <w:pPr>
        <w:pStyle w:val="ResNo"/>
      </w:pPr>
      <w:r w:rsidRPr="0042498F">
        <w:t>Resolution 557 (WRC-15)</w:t>
      </w:r>
    </w:p>
    <w:p w:rsidR="001962A2" w:rsidRPr="0042498F" w:rsidRDefault="00CB134E" w:rsidP="00130FDA">
      <w:pPr>
        <w:pStyle w:val="Restitle"/>
      </w:pPr>
      <w:r w:rsidRPr="0042498F">
        <w:t xml:space="preserve">Consideration of possible revision of Annex 7 to </w:t>
      </w:r>
      <w:r w:rsidRPr="0042498F">
        <w:br/>
        <w:t>Appendix 30 of the Radio Regulations</w:t>
      </w:r>
    </w:p>
    <w:p w:rsidR="002F64C2" w:rsidRDefault="00CB134E" w:rsidP="00411C49">
      <w:pPr>
        <w:pStyle w:val="Reasons"/>
      </w:pPr>
      <w:r>
        <w:rPr>
          <w:b/>
        </w:rPr>
        <w:t>Reasons:</w:t>
      </w:r>
      <w:r>
        <w:tab/>
      </w:r>
      <w:r w:rsidR="002F64C2" w:rsidRPr="002F64C2">
        <w:t xml:space="preserve">The studies under this Resolution, involving consideration of the orbital position limitations indicated in Annex 7 to RR Appendix </w:t>
      </w:r>
      <w:r w:rsidR="002F64C2" w:rsidRPr="002F64C2">
        <w:rPr>
          <w:b/>
          <w:bCs/>
        </w:rPr>
        <w:t>30</w:t>
      </w:r>
      <w:r w:rsidR="002F64C2" w:rsidRPr="002F64C2">
        <w:t>, having been completed, this Resolution is not required.</w:t>
      </w:r>
    </w:p>
    <w:p w:rsidR="00684A95" w:rsidRDefault="002F64C2" w:rsidP="00A61B74">
      <w:pPr>
        <w:jc w:val="center"/>
      </w:pPr>
      <w:r>
        <w:t>______________</w:t>
      </w:r>
      <w:bookmarkStart w:id="73" w:name="_GoBack"/>
      <w:bookmarkEnd w:id="73"/>
    </w:p>
    <w:sectPr w:rsidR="00684A95">
      <w:headerReference w:type="default" r:id="rId13"/>
      <w:footerReference w:type="even" r:id="rId14"/>
      <w:footerReference w:type="default" r:id="rId15"/>
      <w:footerReference w:type="first" r:id="rId16"/>
      <w:pgSz w:w="11907" w:h="16834" w:code="9"/>
      <w:pgMar w:top="1418" w:right="1134" w:bottom="1418" w:left="1134"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E514B" w:rsidRDefault="00AE514B">
      <w:r>
        <w:separator/>
      </w:r>
    </w:p>
  </w:endnote>
  <w:endnote w:type="continuationSeparator" w:id="0">
    <w:p w:rsidR="00AE514B" w:rsidRDefault="00AE51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Tms Rmn">
    <w:panose1 w:val="02020603040505020304"/>
    <w:charset w:val="00"/>
    <w:family w:val="roman"/>
    <w:notTrueType/>
    <w:pitch w:val="variable"/>
    <w:sig w:usb0="00000003" w:usb1="00000000" w:usb2="00000000" w:usb3="00000000" w:csb0="00000001"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TimesNewRoman,Italic">
    <w:altName w:val="Times New Roman"/>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5D05" w:rsidRDefault="00E45D05">
    <w:pPr>
      <w:framePr w:wrap="around" w:vAnchor="text" w:hAnchor="margin" w:xAlign="right" w:y="1"/>
    </w:pPr>
    <w:r>
      <w:fldChar w:fldCharType="begin"/>
    </w:r>
    <w:r>
      <w:instrText xml:space="preserve">PAGE  </w:instrText>
    </w:r>
    <w:r>
      <w:fldChar w:fldCharType="end"/>
    </w:r>
  </w:p>
  <w:p w:rsidR="00E45D05" w:rsidRPr="0041348E" w:rsidRDefault="00E45D05">
    <w:pPr>
      <w:ind w:right="360"/>
      <w:rPr>
        <w:lang w:val="en-US"/>
      </w:rPr>
    </w:pPr>
    <w:r>
      <w:fldChar w:fldCharType="begin"/>
    </w:r>
    <w:r w:rsidRPr="0041348E">
      <w:rPr>
        <w:lang w:val="en-US"/>
      </w:rPr>
      <w:instrText xml:space="preserve"> FILENAME \p  \* MERGEFORMAT </w:instrText>
    </w:r>
    <w:r>
      <w:fldChar w:fldCharType="separate"/>
    </w:r>
    <w:r w:rsidR="005F04D8">
      <w:rPr>
        <w:noProof/>
        <w:lang w:val="en-US"/>
      </w:rPr>
      <w:t>C:\Users\murphy\Dropbox\ProposalSharing\WRC-19\Template\English.docx</w:t>
    </w:r>
    <w:r>
      <w:fldChar w:fldCharType="end"/>
    </w:r>
    <w:r w:rsidRPr="0041348E">
      <w:rPr>
        <w:lang w:val="en-US"/>
      </w:rPr>
      <w:tab/>
    </w:r>
    <w:r>
      <w:fldChar w:fldCharType="begin"/>
    </w:r>
    <w:r>
      <w:instrText xml:space="preserve"> SAVEDATE \@ DD.MM.YY </w:instrText>
    </w:r>
    <w:r>
      <w:fldChar w:fldCharType="separate"/>
    </w:r>
    <w:r w:rsidR="00A61B74">
      <w:rPr>
        <w:noProof/>
      </w:rPr>
      <w:t>20.10.19</w:t>
    </w:r>
    <w:r>
      <w:fldChar w:fldCharType="end"/>
    </w:r>
    <w:r w:rsidRPr="0041348E">
      <w:rPr>
        <w:lang w:val="en-US"/>
      </w:rPr>
      <w:tab/>
    </w:r>
    <w:r>
      <w:fldChar w:fldCharType="begin"/>
    </w:r>
    <w:r>
      <w:instrText xml:space="preserve"> PRINTDATE \@ DD.MM.YY </w:instrText>
    </w:r>
    <w:r>
      <w:fldChar w:fldCharType="separate"/>
    </w:r>
    <w:r w:rsidR="005F04D8">
      <w:rPr>
        <w:noProof/>
      </w:rPr>
      <w:t>10.02.17</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5D05" w:rsidRDefault="00E45D05" w:rsidP="009B1EA1">
    <w:pPr>
      <w:pStyle w:val="Footer"/>
    </w:pPr>
    <w:r>
      <w:fldChar w:fldCharType="begin"/>
    </w:r>
    <w:r w:rsidRPr="0041348E">
      <w:rPr>
        <w:lang w:val="en-US"/>
      </w:rPr>
      <w:instrText xml:space="preserve"> FILENAME \p  \* MERGEFORMAT </w:instrText>
    </w:r>
    <w:r>
      <w:fldChar w:fldCharType="separate"/>
    </w:r>
    <w:r w:rsidR="005F04D8">
      <w:rPr>
        <w:lang w:val="en-US"/>
      </w:rPr>
      <w:t>C:\Users\murphy\Dropbox\ProposalSharing\WRC-19\Template\English.docx</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5D05" w:rsidRPr="0041348E" w:rsidRDefault="00E45D05" w:rsidP="00302605">
    <w:pPr>
      <w:pStyle w:val="Footer"/>
      <w:rPr>
        <w:lang w:val="en-US"/>
      </w:rPr>
    </w:pPr>
    <w:r>
      <w:fldChar w:fldCharType="begin"/>
    </w:r>
    <w:r w:rsidRPr="0041348E">
      <w:rPr>
        <w:lang w:val="en-US"/>
      </w:rPr>
      <w:instrText xml:space="preserve"> FILENAME \p  \* MERGEFORMAT </w:instrText>
    </w:r>
    <w:r>
      <w:fldChar w:fldCharType="separate"/>
    </w:r>
    <w:r w:rsidR="005F04D8">
      <w:rPr>
        <w:lang w:val="en-US"/>
      </w:rPr>
      <w:t>C:\Users\murphy\Dropbox\ProposalSharing\WRC-19\Template\English.docx</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E514B" w:rsidRDefault="00AE514B">
      <w:r>
        <w:rPr>
          <w:b/>
        </w:rPr>
        <w:t>_______________</w:t>
      </w:r>
    </w:p>
  </w:footnote>
  <w:footnote w:type="continuationSeparator" w:id="0">
    <w:p w:rsidR="00AE514B" w:rsidRDefault="00AE514B">
      <w:r>
        <w:continuationSeparator/>
      </w:r>
    </w:p>
  </w:footnote>
  <w:footnote w:id="1">
    <w:p w:rsidR="00915A96" w:rsidRPr="001B614A" w:rsidRDefault="00CB134E" w:rsidP="001F0862">
      <w:pPr>
        <w:pStyle w:val="FootnoteText"/>
        <w:rPr>
          <w:rFonts w:eastAsiaTheme="minorHAnsi"/>
        </w:rPr>
      </w:pPr>
      <w:r w:rsidRPr="0050254A">
        <w:rPr>
          <w:rStyle w:val="FootnoteReference"/>
          <w:rFonts w:eastAsiaTheme="minorHAnsi"/>
        </w:rPr>
        <w:t>*</w:t>
      </w:r>
      <w:r w:rsidRPr="001B614A">
        <w:rPr>
          <w:rStyle w:val="FootnoteTextChar"/>
          <w:rFonts w:eastAsiaTheme="minorHAnsi"/>
        </w:rPr>
        <w:tab/>
        <w:t>The expression “frequency assignment to a space station”, wherever it appears in this Appendix, shall be understood to refer to a frequency assignment associated with a given orbital position. See also Annex 7 for the orbital limitations</w:t>
      </w:r>
      <w:r>
        <w:rPr>
          <w:rStyle w:val="FootnoteTextChar"/>
          <w:rFonts w:eastAsiaTheme="minorHAnsi"/>
        </w:rPr>
        <w:t>.</w:t>
      </w:r>
      <w:r w:rsidRPr="00672737">
        <w:rPr>
          <w:rStyle w:val="FootnoteTextChar"/>
          <w:rFonts w:eastAsiaTheme="minorHAnsi"/>
          <w:sz w:val="16"/>
        </w:rPr>
        <w:t>    </w:t>
      </w:r>
      <w:r w:rsidRPr="00C53CE6">
        <w:rPr>
          <w:rStyle w:val="FootnoteTextChar"/>
          <w:rFonts w:eastAsiaTheme="minorHAnsi"/>
          <w:sz w:val="16"/>
          <w:szCs w:val="16"/>
        </w:rPr>
        <w:t> (</w:t>
      </w:r>
      <w:r w:rsidRPr="00C53CE6">
        <w:rPr>
          <w:rFonts w:eastAsiaTheme="minorHAnsi"/>
          <w:sz w:val="16"/>
          <w:szCs w:val="16"/>
        </w:rPr>
        <w:t>WRC</w:t>
      </w:r>
      <w:r w:rsidRPr="00C53CE6">
        <w:rPr>
          <w:rFonts w:eastAsiaTheme="minorHAnsi"/>
          <w:sz w:val="16"/>
          <w:szCs w:val="16"/>
        </w:rPr>
        <w:noBreakHyphen/>
        <w:t>2000)</w:t>
      </w:r>
    </w:p>
  </w:footnote>
  <w:footnote w:id="2">
    <w:p w:rsidR="00915A96" w:rsidRPr="001B614A" w:rsidRDefault="00CB134E" w:rsidP="001F0862">
      <w:pPr>
        <w:pStyle w:val="FootnoteText"/>
        <w:rPr>
          <w:rStyle w:val="FootnoteTextChar"/>
          <w:rFonts w:eastAsiaTheme="minorHAnsi"/>
        </w:rPr>
      </w:pPr>
      <w:r w:rsidRPr="0050254A">
        <w:rPr>
          <w:rStyle w:val="FootnoteReference"/>
          <w:rFonts w:eastAsiaTheme="minorHAnsi"/>
        </w:rPr>
        <w:t>1</w:t>
      </w:r>
      <w:r w:rsidRPr="001B614A">
        <w:rPr>
          <w:rStyle w:val="FootnoteTextChar"/>
          <w:rFonts w:eastAsiaTheme="minorHAnsi"/>
        </w:rPr>
        <w:tab/>
        <w:t>The Regions 1 and 3 List of additional uses is annexed to the Master Intern</w:t>
      </w:r>
      <w:r>
        <w:rPr>
          <w:rStyle w:val="FootnoteTextChar"/>
          <w:rFonts w:eastAsiaTheme="minorHAnsi"/>
        </w:rPr>
        <w:t>ational Frequency Register (see </w:t>
      </w:r>
      <w:r w:rsidRPr="001B614A">
        <w:rPr>
          <w:rStyle w:val="FootnoteTextChar"/>
          <w:rFonts w:eastAsiaTheme="minorHAnsi"/>
        </w:rPr>
        <w:t>Resolution </w:t>
      </w:r>
      <w:r w:rsidRPr="00BD661A">
        <w:rPr>
          <w:rStyle w:val="FootnoteTextChar"/>
          <w:rFonts w:eastAsiaTheme="minorHAnsi"/>
          <w:b/>
          <w:bCs/>
        </w:rPr>
        <w:t>542 (</w:t>
      </w:r>
      <w:r>
        <w:rPr>
          <w:rStyle w:val="FootnoteTextChar"/>
          <w:rFonts w:eastAsiaTheme="minorHAnsi"/>
          <w:b/>
          <w:bCs/>
        </w:rPr>
        <w:t>WRC</w:t>
      </w:r>
      <w:r>
        <w:rPr>
          <w:rStyle w:val="FootnoteTextChar"/>
          <w:rFonts w:eastAsiaTheme="minorHAnsi"/>
          <w:b/>
          <w:bCs/>
        </w:rPr>
        <w:noBreakHyphen/>
      </w:r>
      <w:r w:rsidRPr="00BD661A">
        <w:rPr>
          <w:rStyle w:val="FootnoteTextChar"/>
          <w:rFonts w:eastAsiaTheme="minorHAnsi"/>
          <w:b/>
          <w:bCs/>
        </w:rPr>
        <w:t>2000)</w:t>
      </w:r>
      <w:r w:rsidRPr="00787F7E">
        <w:rPr>
          <w:rStyle w:val="FootnoteReference"/>
          <w:rFonts w:eastAsiaTheme="minorHAnsi"/>
        </w:rPr>
        <w:t>**</w:t>
      </w:r>
      <w:r w:rsidRPr="001B614A">
        <w:rPr>
          <w:rStyle w:val="FootnoteTextChar"/>
          <w:rFonts w:eastAsiaTheme="minorHAnsi"/>
        </w:rPr>
        <w:t>).</w:t>
      </w:r>
      <w:r w:rsidRPr="00672737">
        <w:rPr>
          <w:rFonts w:eastAsiaTheme="minorHAnsi"/>
          <w:sz w:val="16"/>
        </w:rPr>
        <w:t>     (</w:t>
      </w:r>
      <w:r w:rsidRPr="00C53CE6">
        <w:rPr>
          <w:rFonts w:eastAsiaTheme="minorHAnsi"/>
          <w:sz w:val="16"/>
          <w:szCs w:val="16"/>
        </w:rPr>
        <w:t>WRC</w:t>
      </w:r>
      <w:r w:rsidRPr="00C53CE6">
        <w:rPr>
          <w:rFonts w:eastAsiaTheme="minorHAnsi"/>
          <w:sz w:val="16"/>
          <w:szCs w:val="16"/>
        </w:rPr>
        <w:noBreakHyphen/>
        <w:t>03)</w:t>
      </w:r>
    </w:p>
    <w:p w:rsidR="00915A96" w:rsidRPr="005B42BE" w:rsidRDefault="00CB134E" w:rsidP="00656F1C">
      <w:pPr>
        <w:pStyle w:val="FootnoteText"/>
        <w:tabs>
          <w:tab w:val="left" w:pos="567"/>
        </w:tabs>
      </w:pPr>
      <w:r>
        <w:tab/>
      </w:r>
      <w:r w:rsidRPr="0050254A">
        <w:rPr>
          <w:rStyle w:val="FootnoteReference"/>
        </w:rPr>
        <w:t>**</w:t>
      </w:r>
      <w:r w:rsidRPr="00023556">
        <w:rPr>
          <w:rStyle w:val="FootnoteTextChar"/>
        </w:rPr>
        <w:tab/>
      </w:r>
      <w:r w:rsidRPr="00023556">
        <w:rPr>
          <w:rStyle w:val="FootnoteTextChar"/>
          <w:i/>
          <w:iCs/>
        </w:rPr>
        <w:t>Note by the Secretariat</w:t>
      </w:r>
      <w:r w:rsidRPr="00EE4DDE">
        <w:rPr>
          <w:rStyle w:val="FootnoteTextChar"/>
          <w:iCs/>
        </w:rPr>
        <w:t>:</w:t>
      </w:r>
      <w:r w:rsidRPr="00023556">
        <w:rPr>
          <w:rStyle w:val="FootnoteTextChar"/>
        </w:rPr>
        <w:t xml:space="preserve"> This Resolution was abrogated by </w:t>
      </w:r>
      <w:r>
        <w:rPr>
          <w:rStyle w:val="FootnoteTextChar"/>
        </w:rPr>
        <w:t>WRC</w:t>
      </w:r>
      <w:r>
        <w:rPr>
          <w:rStyle w:val="FootnoteTextChar"/>
        </w:rPr>
        <w:noBreakHyphen/>
      </w:r>
      <w:r w:rsidRPr="00023556">
        <w:rPr>
          <w:rStyle w:val="FootnoteTextChar"/>
        </w:rPr>
        <w:t>03.</w:t>
      </w:r>
    </w:p>
    <w:p w:rsidR="00915A96" w:rsidRPr="00023556" w:rsidRDefault="00CB134E" w:rsidP="001F0862">
      <w:pPr>
        <w:pStyle w:val="FootnoteText"/>
        <w:rPr>
          <w:i/>
          <w:iCs/>
        </w:rPr>
      </w:pPr>
      <w:r w:rsidRPr="00023556">
        <w:rPr>
          <w:i/>
          <w:iCs/>
        </w:rPr>
        <w:t>Note by the Secretariat</w:t>
      </w:r>
      <w:r w:rsidRPr="00444190">
        <w:rPr>
          <w:iCs/>
        </w:rPr>
        <w:t>: Reference to an Article with the number in roman is referring to an Article in this Appendix.</w:t>
      </w:r>
    </w:p>
  </w:footnote>
  <w:footnote w:id="3">
    <w:p w:rsidR="00891764" w:rsidRPr="00817E53" w:rsidRDefault="00CB134E" w:rsidP="00130FDA">
      <w:pPr>
        <w:pStyle w:val="FootnoteText"/>
        <w:rPr>
          <w:lang w:val="en-US"/>
        </w:rPr>
      </w:pPr>
      <w:ins w:id="19" w:author="Unknown" w:date="2018-07-21T14:40:00Z">
        <w:r w:rsidRPr="000F3C27">
          <w:rPr>
            <w:rStyle w:val="FootnoteReference"/>
          </w:rPr>
          <w:t>YY</w:t>
        </w:r>
      </w:ins>
      <w:ins w:id="20" w:author="Unknown" w:date="2018-07-24T09:05:00Z">
        <w:r w:rsidRPr="00AA5238">
          <w:tab/>
        </w:r>
      </w:ins>
      <w:ins w:id="21" w:author="Unknown" w:date="2018-07-21T14:40:00Z">
        <w:r w:rsidRPr="00AA5238">
          <w:t xml:space="preserve">See Resolution </w:t>
        </w:r>
        <w:r w:rsidRPr="00AA5238">
          <w:rPr>
            <w:b/>
            <w:bCs/>
          </w:rPr>
          <w:t>[A14-LIMITA3] (WRC</w:t>
        </w:r>
      </w:ins>
      <w:ins w:id="22" w:author="Unknown" w:date="2018-09-12T15:17:00Z">
        <w:r>
          <w:rPr>
            <w:b/>
            <w:bCs/>
          </w:rPr>
          <w:noBreakHyphen/>
        </w:r>
      </w:ins>
      <w:ins w:id="23" w:author="Unknown" w:date="2018-07-21T14:40:00Z">
        <w:r w:rsidRPr="00AA5238">
          <w:rPr>
            <w:b/>
            <w:bCs/>
          </w:rPr>
          <w:t>19)</w:t>
        </w:r>
        <w:r w:rsidRPr="00AA5238">
          <w:t>.</w:t>
        </w:r>
      </w:ins>
    </w:p>
  </w:footnote>
  <w:footnote w:id="4">
    <w:p w:rsidR="00891764" w:rsidRPr="00026F7D" w:rsidRDefault="00CB134E" w:rsidP="00130FDA">
      <w:pPr>
        <w:pStyle w:val="FootnoteText"/>
        <w:rPr>
          <w:lang w:val="en-US"/>
        </w:rPr>
      </w:pPr>
      <w:bookmarkStart w:id="27" w:name="_Hlk1821696"/>
      <w:ins w:id="28" w:author="Unknown" w:date="2018-07-21T14:42:00Z">
        <w:r w:rsidRPr="00783C20">
          <w:rPr>
            <w:rStyle w:val="FootnoteReference"/>
          </w:rPr>
          <w:t>ZZ</w:t>
        </w:r>
      </w:ins>
      <w:ins w:id="29" w:author="Unknown" w:date="2018-07-24T14:29:00Z">
        <w:r w:rsidRPr="00783C20">
          <w:tab/>
        </w:r>
        <w:r w:rsidRPr="00783C20">
          <w:tab/>
        </w:r>
      </w:ins>
      <w:ins w:id="30" w:author="Unknown" w:date="2019-02-23T11:57:00Z">
        <w:r w:rsidRPr="00783C20">
          <w:rPr>
            <w:lang w:val="en-US"/>
          </w:rPr>
          <w:t xml:space="preserve">Resolution </w:t>
        </w:r>
        <w:r w:rsidRPr="00783C20">
          <w:rPr>
            <w:b/>
            <w:bCs/>
            <w:lang w:val="en-US"/>
          </w:rPr>
          <w:t>[C14-LIMITA1A2] (WRC</w:t>
        </w:r>
        <w:r w:rsidRPr="00783C20">
          <w:rPr>
            <w:b/>
            <w:bCs/>
            <w:lang w:val="en-US"/>
          </w:rPr>
          <w:noBreakHyphen/>
          <w:t xml:space="preserve">19) </w:t>
        </w:r>
        <w:r w:rsidRPr="00783C20">
          <w:rPr>
            <w:bCs/>
            <w:lang w:val="en-US"/>
            <w:rPrChange w:id="31" w:author="Unknown" w:date="2019-02-25T13:22:00Z">
              <w:rPr>
                <w:b/>
                <w:bCs/>
                <w:highlight w:val="red"/>
                <w:lang w:val="en-US"/>
              </w:rPr>
            </w:rPrChange>
          </w:rPr>
          <w:t>applie</w:t>
        </w:r>
        <w:r w:rsidRPr="00783C20">
          <w:rPr>
            <w:bCs/>
            <w:lang w:val="en-US"/>
            <w:rPrChange w:id="32" w:author="Unknown" w:date="2019-02-25T13:23:00Z">
              <w:rPr>
                <w:b/>
                <w:bCs/>
                <w:highlight w:val="red"/>
                <w:lang w:val="en-US"/>
              </w:rPr>
            </w:rPrChange>
          </w:rPr>
          <w:t>s</w:t>
        </w:r>
        <w:r w:rsidRPr="00783C20">
          <w:rPr>
            <w:rPrChange w:id="33" w:author="Unknown" w:date="2019-02-25T13:23:00Z">
              <w:rPr>
                <w:highlight w:val="green"/>
              </w:rPr>
            </w:rPrChange>
          </w:rPr>
          <w:t xml:space="preserve"> </w:t>
        </w:r>
      </w:ins>
      <w:ins w:id="34" w:author="Unknown" w:date="2019-02-23T11:58:00Z">
        <w:r w:rsidRPr="00783C20">
          <w:rPr>
            <w:rPrChange w:id="35" w:author="Unknown" w:date="2019-02-25T13:23:00Z">
              <w:rPr>
                <w:highlight w:val="green"/>
              </w:rPr>
            </w:rPrChange>
          </w:rPr>
          <w:t>to</w:t>
        </w:r>
      </w:ins>
      <w:ins w:id="36" w:author="Unknown" w:date="2019-02-17T16:59:00Z">
        <w:r w:rsidRPr="00783C20">
          <w:t xml:space="preserve"> </w:t>
        </w:r>
        <w:r w:rsidRPr="00783C20">
          <w:rPr>
            <w:lang w:val="en-US"/>
          </w:rPr>
          <w:t>b</w:t>
        </w:r>
      </w:ins>
      <w:ins w:id="37" w:author="Unknown" w:date="2018-07-21T14:42:00Z">
        <w:r w:rsidRPr="00783C20">
          <w:rPr>
            <w:lang w:val="en-US"/>
          </w:rPr>
          <w:t>roadcasting satellites serving area</w:t>
        </w:r>
      </w:ins>
      <w:ins w:id="38" w:author="Unknown" w:date="2019-02-23T14:23:00Z">
        <w:r w:rsidRPr="00783C20">
          <w:rPr>
            <w:lang w:val="en-US"/>
          </w:rPr>
          <w:t>s</w:t>
        </w:r>
      </w:ins>
      <w:ins w:id="39" w:author="Unknown" w:date="2018-07-21T14:42:00Z">
        <w:r w:rsidRPr="00783C20">
          <w:rPr>
            <w:lang w:val="en-US"/>
          </w:rPr>
          <w:t xml:space="preserve"> in Region 1 in the band 11.7-12.2 GHz </w:t>
        </w:r>
      </w:ins>
      <w:ins w:id="40" w:author="Unknown" w:date="2019-02-23T14:24:00Z">
        <w:r w:rsidRPr="00783C20">
          <w:rPr>
            <w:lang w:val="en-US"/>
          </w:rPr>
          <w:t xml:space="preserve">from </w:t>
        </w:r>
      </w:ins>
      <w:ins w:id="41" w:author="Unknown" w:date="2018-07-21T14:42:00Z">
        <w:r w:rsidRPr="00783C20">
          <w:rPr>
            <w:lang w:val="en-US"/>
          </w:rPr>
          <w:t>nominal orbital position</w:t>
        </w:r>
      </w:ins>
      <w:ins w:id="42" w:author="Unknown" w:date="2019-02-23T14:25:00Z">
        <w:r w:rsidRPr="00783C20">
          <w:rPr>
            <w:lang w:val="en-US"/>
          </w:rPr>
          <w:t>s</w:t>
        </w:r>
      </w:ins>
      <w:ins w:id="43" w:author="Unknown" w:date="2018-07-21T14:42:00Z">
        <w:r w:rsidRPr="00783C20">
          <w:rPr>
            <w:lang w:val="en-US"/>
          </w:rPr>
          <w:t xml:space="preserve"> further west than 37.2°</w:t>
        </w:r>
      </w:ins>
      <w:ins w:id="44" w:author="Ruepp, Rowena [2]" w:date="2018-08-07T11:47:00Z">
        <w:r w:rsidRPr="00783C20">
          <w:rPr>
            <w:lang w:val="en-US"/>
          </w:rPr>
          <w:t> </w:t>
        </w:r>
      </w:ins>
      <w:ins w:id="45" w:author="Unknown" w:date="2018-07-21T14:42:00Z">
        <w:r w:rsidRPr="00783C20">
          <w:rPr>
            <w:lang w:val="en-US"/>
          </w:rPr>
          <w:t xml:space="preserve">W and </w:t>
        </w:r>
      </w:ins>
      <w:ins w:id="46" w:author="Unknown" w:date="2019-02-24T21:55:00Z">
        <w:r w:rsidRPr="00783C20">
          <w:rPr>
            <w:lang w:val="en-US"/>
          </w:rPr>
          <w:t xml:space="preserve">broadcasting satellites </w:t>
        </w:r>
      </w:ins>
      <w:ins w:id="47" w:author="Unknown" w:date="2019-02-23T14:26:00Z">
        <w:r w:rsidRPr="00783C20">
          <w:rPr>
            <w:lang w:val="en-US"/>
          </w:rPr>
          <w:t xml:space="preserve">serving areas </w:t>
        </w:r>
      </w:ins>
      <w:ins w:id="48" w:author="Unknown" w:date="2018-07-21T14:42:00Z">
        <w:r w:rsidRPr="00783C20">
          <w:rPr>
            <w:lang w:val="en-US"/>
          </w:rPr>
          <w:t xml:space="preserve">in Region 2 in the band 12.5-12.7 GHz </w:t>
        </w:r>
      </w:ins>
      <w:ins w:id="49" w:author="Unknown" w:date="2019-02-23T14:27:00Z">
        <w:r w:rsidRPr="00783C20">
          <w:rPr>
            <w:lang w:val="en-US"/>
          </w:rPr>
          <w:t xml:space="preserve">from </w:t>
        </w:r>
      </w:ins>
      <w:ins w:id="50" w:author="Unknown" w:date="2018-07-21T14:42:00Z">
        <w:r w:rsidRPr="00783C20">
          <w:rPr>
            <w:lang w:val="en-US"/>
          </w:rPr>
          <w:t>nominal orbital position</w:t>
        </w:r>
      </w:ins>
      <w:ins w:id="51" w:author="Unknown" w:date="2019-02-24T21:56:00Z">
        <w:r w:rsidRPr="00783C20">
          <w:rPr>
            <w:lang w:val="en-US"/>
          </w:rPr>
          <w:t>s</w:t>
        </w:r>
      </w:ins>
      <w:ins w:id="52" w:author="Unknown" w:date="2018-07-21T14:42:00Z">
        <w:r w:rsidRPr="00783C20">
          <w:rPr>
            <w:lang w:val="en-US"/>
          </w:rPr>
          <w:t xml:space="preserve"> further</w:t>
        </w:r>
      </w:ins>
      <w:ins w:id="53" w:author="Unknown" w:date="2018-08-06T12:11:00Z">
        <w:r w:rsidRPr="00783C20">
          <w:rPr>
            <w:lang w:val="en-US"/>
          </w:rPr>
          <w:t xml:space="preserve"> </w:t>
        </w:r>
      </w:ins>
      <w:ins w:id="54" w:author="Unknown" w:date="2018-07-21T14:42:00Z">
        <w:r w:rsidRPr="00783C20">
          <w:rPr>
            <w:lang w:val="en-US"/>
          </w:rPr>
          <w:t>east than 54°</w:t>
        </w:r>
      </w:ins>
      <w:ins w:id="55" w:author="Ruepp, Rowena [2]" w:date="2018-08-07T11:47:00Z">
        <w:r w:rsidRPr="00783C20">
          <w:rPr>
            <w:lang w:val="en-US"/>
          </w:rPr>
          <w:t> </w:t>
        </w:r>
      </w:ins>
      <w:ins w:id="56" w:author="Unknown" w:date="2018-07-21T14:42:00Z">
        <w:r w:rsidRPr="00783C20">
          <w:rPr>
            <w:lang w:val="en-US"/>
          </w:rPr>
          <w:t>W.</w:t>
        </w:r>
      </w:ins>
      <w:bookmarkEnd w:id="27"/>
      <w:r w:rsidRPr="00E72E78">
        <w:t xml:space="preserve"> </w:t>
      </w:r>
    </w:p>
  </w:footnote>
  <w:footnote w:id="5">
    <w:p w:rsidR="002F64C2" w:rsidRPr="00835C90" w:rsidRDefault="002F64C2" w:rsidP="002F64C2">
      <w:pPr>
        <w:pStyle w:val="FootnoteText"/>
        <w:rPr>
          <w:lang w:val="en-US"/>
        </w:rPr>
      </w:pPr>
      <w:r>
        <w:rPr>
          <w:rStyle w:val="FootnoteReference"/>
        </w:rPr>
        <w:t>1</w:t>
      </w:r>
      <w:r>
        <w:tab/>
      </w:r>
      <w:r w:rsidRPr="00493658">
        <w:rPr>
          <w:lang w:val="en-US"/>
        </w:rPr>
        <w:t xml:space="preserve">For the avoidance of </w:t>
      </w:r>
      <w:r w:rsidRPr="00835C90">
        <w:rPr>
          <w:lang w:val="en-US"/>
        </w:rPr>
        <w:t>doubt, the “implemented” networks referred to are related to Regions</w:t>
      </w:r>
      <w:r>
        <w:rPr>
          <w:lang w:val="en-US"/>
        </w:rPr>
        <w:t> 1 and 3</w:t>
      </w:r>
      <w:r w:rsidRPr="00835C90">
        <w:rPr>
          <w:lang w:val="en-US"/>
        </w:rPr>
        <w:t xml:space="preserve"> BSS networks in the orbital arc 37.2°</w:t>
      </w:r>
      <w:r>
        <w:rPr>
          <w:lang w:val="en-US"/>
        </w:rPr>
        <w:t> </w:t>
      </w:r>
      <w:r w:rsidRPr="00835C90">
        <w:rPr>
          <w:lang w:val="en-US"/>
        </w:rPr>
        <w:t>W and 10°</w:t>
      </w:r>
      <w:r>
        <w:rPr>
          <w:lang w:val="en-US"/>
        </w:rPr>
        <w:t> </w:t>
      </w:r>
      <w:r w:rsidRPr="00835C90">
        <w:rPr>
          <w:lang w:val="en-US"/>
        </w:rPr>
        <w:t>E:</w:t>
      </w:r>
    </w:p>
    <w:p w:rsidR="002F64C2" w:rsidRPr="00835C90" w:rsidRDefault="002F64C2" w:rsidP="002F64C2">
      <w:pPr>
        <w:pStyle w:val="FootnoteText"/>
        <w:ind w:left="255" w:hanging="255"/>
        <w:rPr>
          <w:lang w:val="en-US"/>
        </w:rPr>
      </w:pPr>
      <w:r w:rsidRPr="00835C90">
        <w:rPr>
          <w:lang w:val="en-US"/>
        </w:rPr>
        <w:t>−</w:t>
      </w:r>
      <w:r w:rsidRPr="00835C90">
        <w:rPr>
          <w:lang w:val="en-US"/>
        </w:rPr>
        <w:tab/>
        <w:t>for which complete Appendix</w:t>
      </w:r>
      <w:r>
        <w:rPr>
          <w:lang w:val="en-US"/>
        </w:rPr>
        <w:t> </w:t>
      </w:r>
      <w:r w:rsidRPr="00A3062A">
        <w:rPr>
          <w:rStyle w:val="Appref"/>
          <w:b/>
          <w:bCs/>
        </w:rPr>
        <w:t>4</w:t>
      </w:r>
      <w:r w:rsidRPr="00835C90">
        <w:rPr>
          <w:lang w:val="en-US"/>
        </w:rPr>
        <w:t xml:space="preserve"> information had been received by the Bureau under § 4.1.3 of Appendix</w:t>
      </w:r>
      <w:r>
        <w:rPr>
          <w:lang w:val="en-US"/>
        </w:rPr>
        <w:t> </w:t>
      </w:r>
      <w:r w:rsidRPr="00A3062A">
        <w:rPr>
          <w:rStyle w:val="Appref"/>
          <w:b/>
          <w:bCs/>
        </w:rPr>
        <w:t>30</w:t>
      </w:r>
      <w:r>
        <w:rPr>
          <w:lang w:val="en-US"/>
        </w:rPr>
        <w:t xml:space="preserve"> prior to 28 November 2015</w:t>
      </w:r>
      <w:r w:rsidRPr="00BB7C63">
        <w:rPr>
          <w:lang w:val="en-US"/>
        </w:rPr>
        <w:t>,</w:t>
      </w:r>
      <w:r w:rsidRPr="00835C90">
        <w:rPr>
          <w:lang w:val="en-US"/>
        </w:rPr>
        <w:t xml:space="preserve"> and</w:t>
      </w:r>
    </w:p>
    <w:p w:rsidR="002F64C2" w:rsidRPr="00835C90" w:rsidRDefault="002F64C2" w:rsidP="002F64C2">
      <w:pPr>
        <w:pStyle w:val="FootnoteText"/>
        <w:ind w:left="255" w:hanging="255"/>
        <w:rPr>
          <w:lang w:val="en-US"/>
        </w:rPr>
      </w:pPr>
      <w:r w:rsidRPr="00835C90">
        <w:rPr>
          <w:lang w:val="en-US"/>
        </w:rPr>
        <w:t>−</w:t>
      </w:r>
      <w:r w:rsidRPr="00835C90">
        <w:rPr>
          <w:lang w:val="en-US"/>
        </w:rPr>
        <w:tab/>
        <w:t>for which complete Appendix</w:t>
      </w:r>
      <w:r>
        <w:rPr>
          <w:lang w:val="en-US"/>
        </w:rPr>
        <w:t> </w:t>
      </w:r>
      <w:r w:rsidRPr="00A3062A">
        <w:rPr>
          <w:rStyle w:val="Appref"/>
          <w:b/>
          <w:bCs/>
        </w:rPr>
        <w:t>4</w:t>
      </w:r>
      <w:r w:rsidRPr="00835C90">
        <w:rPr>
          <w:lang w:val="en-US"/>
        </w:rPr>
        <w:t xml:space="preserve"> information had been received by the Bureau under § 4.1.12 of Appendix</w:t>
      </w:r>
      <w:r>
        <w:rPr>
          <w:lang w:val="en-US"/>
        </w:rPr>
        <w:t> </w:t>
      </w:r>
      <w:r w:rsidRPr="00A3062A">
        <w:rPr>
          <w:rStyle w:val="Appref"/>
          <w:b/>
          <w:bCs/>
        </w:rPr>
        <w:t>30</w:t>
      </w:r>
      <w:r w:rsidRPr="00835C90">
        <w:rPr>
          <w:lang w:val="en-US"/>
        </w:rPr>
        <w:t xml:space="preserve"> prior to 23</w:t>
      </w:r>
      <w:r>
        <w:rPr>
          <w:lang w:val="en-US"/>
        </w:rPr>
        <w:t> </w:t>
      </w:r>
      <w:r w:rsidRPr="00835C90">
        <w:rPr>
          <w:lang w:val="en-US"/>
        </w:rPr>
        <w:t>November</w:t>
      </w:r>
      <w:r>
        <w:rPr>
          <w:lang w:val="en-US"/>
        </w:rPr>
        <w:t> </w:t>
      </w:r>
      <w:r w:rsidRPr="00835C90">
        <w:rPr>
          <w:lang w:val="en-US"/>
        </w:rPr>
        <w:t>2019</w:t>
      </w:r>
      <w:r w:rsidRPr="00BB7C63">
        <w:rPr>
          <w:lang w:val="en-US"/>
        </w:rPr>
        <w:t>,</w:t>
      </w:r>
      <w:r>
        <w:rPr>
          <w:lang w:val="en-US"/>
        </w:rPr>
        <w:t xml:space="preserve"> </w:t>
      </w:r>
      <w:r w:rsidRPr="00835C90">
        <w:rPr>
          <w:lang w:val="en-US"/>
        </w:rPr>
        <w:t>and</w:t>
      </w:r>
    </w:p>
    <w:p w:rsidR="002F64C2" w:rsidRPr="00835C90" w:rsidRDefault="002F64C2" w:rsidP="002F64C2">
      <w:pPr>
        <w:pStyle w:val="FootnoteText"/>
        <w:ind w:left="255" w:hanging="255"/>
        <w:rPr>
          <w:lang w:val="en-US"/>
        </w:rPr>
      </w:pPr>
      <w:r w:rsidRPr="00835C90">
        <w:rPr>
          <w:lang w:val="en-US"/>
        </w:rPr>
        <w:t>−</w:t>
      </w:r>
      <w:r w:rsidRPr="00835C90">
        <w:rPr>
          <w:lang w:val="en-US"/>
        </w:rPr>
        <w:tab/>
        <w:t>for which the complete due diligence information, in accordance with Annex</w:t>
      </w:r>
      <w:r>
        <w:rPr>
          <w:lang w:val="en-US"/>
        </w:rPr>
        <w:t> </w:t>
      </w:r>
      <w:r w:rsidRPr="00835C90">
        <w:rPr>
          <w:lang w:val="en-US"/>
        </w:rPr>
        <w:t>2 to Resolution</w:t>
      </w:r>
      <w:r>
        <w:rPr>
          <w:lang w:val="en-US"/>
        </w:rPr>
        <w:t> </w:t>
      </w:r>
      <w:r>
        <w:rPr>
          <w:b/>
          <w:bCs/>
          <w:lang w:val="en-US"/>
        </w:rPr>
        <w:t>49 (Rev.WRC</w:t>
      </w:r>
      <w:r>
        <w:rPr>
          <w:b/>
          <w:bCs/>
          <w:lang w:val="en-US"/>
        </w:rPr>
        <w:noBreakHyphen/>
      </w:r>
      <w:r w:rsidRPr="00835C90">
        <w:rPr>
          <w:b/>
          <w:bCs/>
          <w:lang w:val="en-US"/>
        </w:rPr>
        <w:t>15)</w:t>
      </w:r>
      <w:r w:rsidRPr="00835C90">
        <w:rPr>
          <w:lang w:val="en-US"/>
        </w:rPr>
        <w:t>, had been received by the Bureau prior to 23</w:t>
      </w:r>
      <w:r>
        <w:rPr>
          <w:lang w:val="en-US"/>
        </w:rPr>
        <w:t> </w:t>
      </w:r>
      <w:r w:rsidRPr="00835C90">
        <w:rPr>
          <w:lang w:val="en-US"/>
        </w:rPr>
        <w:t>November</w:t>
      </w:r>
      <w:r>
        <w:rPr>
          <w:lang w:val="en-US"/>
        </w:rPr>
        <w:t> </w:t>
      </w:r>
      <w:r w:rsidRPr="00835C90">
        <w:rPr>
          <w:lang w:val="en-US"/>
        </w:rPr>
        <w:t>2019</w:t>
      </w:r>
      <w:r>
        <w:rPr>
          <w:lang w:val="en-US"/>
        </w:rPr>
        <w:t>,</w:t>
      </w:r>
      <w:r w:rsidRPr="00835C90">
        <w:rPr>
          <w:lang w:val="en-US"/>
        </w:rPr>
        <w:t xml:space="preserve"> and</w:t>
      </w:r>
    </w:p>
    <w:p w:rsidR="002F64C2" w:rsidRPr="00835C90" w:rsidRDefault="002F64C2" w:rsidP="002F64C2">
      <w:pPr>
        <w:pStyle w:val="FootnoteText"/>
        <w:ind w:left="255" w:hanging="255"/>
        <w:rPr>
          <w:lang w:val="en-US"/>
        </w:rPr>
      </w:pPr>
      <w:r w:rsidRPr="00835C90">
        <w:rPr>
          <w:lang w:val="en-US"/>
        </w:rPr>
        <w:t>−</w:t>
      </w:r>
      <w:r w:rsidRPr="00835C90">
        <w:rPr>
          <w:lang w:val="en-US"/>
        </w:rPr>
        <w:tab/>
        <w:t>for which complete Appendix</w:t>
      </w:r>
      <w:r>
        <w:rPr>
          <w:lang w:val="en-US"/>
        </w:rPr>
        <w:t> </w:t>
      </w:r>
      <w:r w:rsidRPr="0062233E">
        <w:rPr>
          <w:rStyle w:val="Appref"/>
          <w:b/>
          <w:bCs/>
        </w:rPr>
        <w:t>4</w:t>
      </w:r>
      <w:r w:rsidRPr="00835C90">
        <w:rPr>
          <w:lang w:val="en-US"/>
        </w:rPr>
        <w:t xml:space="preserve"> information had been received by the Bureau under § 5.1.2 of Appendix</w:t>
      </w:r>
      <w:r>
        <w:rPr>
          <w:lang w:val="en-US"/>
        </w:rPr>
        <w:t> </w:t>
      </w:r>
      <w:r w:rsidRPr="00A3062A">
        <w:rPr>
          <w:rStyle w:val="Appref"/>
          <w:b/>
          <w:bCs/>
        </w:rPr>
        <w:t>30</w:t>
      </w:r>
      <w:r>
        <w:rPr>
          <w:lang w:val="en-US"/>
        </w:rPr>
        <w:t xml:space="preserve"> </w:t>
      </w:r>
      <w:r w:rsidRPr="00835C90">
        <w:rPr>
          <w:lang w:val="en-US"/>
        </w:rPr>
        <w:t>prior to 23</w:t>
      </w:r>
      <w:r>
        <w:rPr>
          <w:lang w:val="en-US"/>
        </w:rPr>
        <w:t> </w:t>
      </w:r>
      <w:r w:rsidRPr="00835C90">
        <w:rPr>
          <w:lang w:val="en-US"/>
        </w:rPr>
        <w:t>November</w:t>
      </w:r>
      <w:r>
        <w:rPr>
          <w:lang w:val="en-US"/>
        </w:rPr>
        <w:t> </w:t>
      </w:r>
      <w:r w:rsidRPr="00835C90">
        <w:rPr>
          <w:lang w:val="en-US"/>
        </w:rPr>
        <w:t>2019</w:t>
      </w:r>
      <w:r>
        <w:rPr>
          <w:lang w:val="en-US"/>
        </w:rPr>
        <w:t>,</w:t>
      </w:r>
      <w:r w:rsidRPr="00835C90">
        <w:rPr>
          <w:lang w:val="en-US"/>
        </w:rPr>
        <w:t xml:space="preserve"> and</w:t>
      </w:r>
    </w:p>
    <w:p w:rsidR="002F64C2" w:rsidRPr="00D52121" w:rsidRDefault="002F64C2" w:rsidP="002F64C2">
      <w:pPr>
        <w:pStyle w:val="FootnoteText"/>
        <w:ind w:left="255" w:hanging="255"/>
      </w:pPr>
      <w:r w:rsidRPr="00835C90">
        <w:rPr>
          <w:lang w:val="en-US"/>
        </w:rPr>
        <w:t>−</w:t>
      </w:r>
      <w:r w:rsidRPr="00835C90">
        <w:rPr>
          <w:lang w:val="en-US"/>
        </w:rPr>
        <w:tab/>
        <w:t>brought into use, and for which the date of bringing into use has been confirmed to the Bureau before 23</w:t>
      </w:r>
      <w:r>
        <w:rPr>
          <w:lang w:val="en-US"/>
        </w:rPr>
        <w:t> </w:t>
      </w:r>
      <w:r w:rsidRPr="00835C90">
        <w:rPr>
          <w:lang w:val="en-US"/>
        </w:rPr>
        <w:t>November</w:t>
      </w:r>
      <w:r>
        <w:rPr>
          <w:lang w:val="en-US"/>
        </w:rPr>
        <w:t> </w:t>
      </w:r>
      <w:r w:rsidRPr="00835C90">
        <w:rPr>
          <w:lang w:val="en-US"/>
        </w:rPr>
        <w:t>2019.</w:t>
      </w:r>
    </w:p>
  </w:footnote>
  <w:footnote w:id="6">
    <w:p w:rsidR="002F64C2" w:rsidRPr="00631BF6" w:rsidRDefault="002F64C2" w:rsidP="002F64C2">
      <w:pPr>
        <w:pStyle w:val="FootnoteText"/>
        <w:rPr>
          <w:lang w:val="en-US"/>
        </w:rPr>
      </w:pPr>
      <w:r>
        <w:rPr>
          <w:rStyle w:val="FootnoteReference"/>
        </w:rPr>
        <w:t>1</w:t>
      </w:r>
      <w:r>
        <w:t xml:space="preserve"> </w:t>
      </w:r>
      <w:r>
        <w:rPr>
          <w:lang w:val="en-US"/>
        </w:rPr>
        <w:tab/>
      </w:r>
      <w:r w:rsidRPr="00656A9A">
        <w:rPr>
          <w:rFonts w:eastAsia="Calibri"/>
          <w:lang w:eastAsia="zh-CN"/>
        </w:rPr>
        <w:t xml:space="preserve">In case of submission for the Appendix </w:t>
      </w:r>
      <w:r w:rsidRPr="00656A9A">
        <w:rPr>
          <w:rStyle w:val="Appref"/>
          <w:rFonts w:eastAsia="Calibri"/>
          <w:b/>
          <w:bCs/>
        </w:rPr>
        <w:t>30A</w:t>
      </w:r>
      <w:r w:rsidRPr="00656A9A">
        <w:rPr>
          <w:rFonts w:eastAsia="Calibri"/>
          <w:lang w:eastAsia="zh-CN"/>
        </w:rPr>
        <w:t xml:space="preserve"> feeder-link Plan in the 14 GHz band, the maximum ten channels </w:t>
      </w:r>
      <w:r w:rsidRPr="00656A9A">
        <w:t>for a Region 1 administration or twelve channels for a Region 3 administration with a bandwidth of 27 MHz could be in different polarization.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5D05" w:rsidRDefault="00A066F1" w:rsidP="00187BD9">
    <w:pPr>
      <w:pStyle w:val="Header"/>
    </w:pPr>
    <w:r>
      <w:fldChar w:fldCharType="begin"/>
    </w:r>
    <w:r>
      <w:instrText xml:space="preserve"> PAGE  \* MERGEFORMAT </w:instrText>
    </w:r>
    <w:r>
      <w:fldChar w:fldCharType="separate"/>
    </w:r>
    <w:r w:rsidR="00A61B74">
      <w:rPr>
        <w:noProof/>
      </w:rPr>
      <w:t>14</w:t>
    </w:r>
    <w:r>
      <w:fldChar w:fldCharType="end"/>
    </w:r>
  </w:p>
  <w:p w:rsidR="00A066F1" w:rsidRPr="00A066F1" w:rsidRDefault="00187BD9" w:rsidP="00241FA2">
    <w:pPr>
      <w:pStyle w:val="Header"/>
    </w:pPr>
    <w:r>
      <w:t>CMR1</w:t>
    </w:r>
    <w:r w:rsidR="00202756">
      <w:t>9</w:t>
    </w:r>
    <w:r w:rsidR="00A066F1">
      <w:t>/</w:t>
    </w:r>
    <w:bookmarkStart w:id="74" w:name="OLE_LINK1"/>
    <w:bookmarkStart w:id="75" w:name="OLE_LINK2"/>
    <w:bookmarkStart w:id="76" w:name="OLE_LINK3"/>
    <w:r w:rsidR="00EB55C6">
      <w:t>12(Add.4)</w:t>
    </w:r>
    <w:bookmarkEnd w:id="74"/>
    <w:bookmarkEnd w:id="75"/>
    <w:bookmarkEnd w:id="76"/>
    <w:r>
      <w:t>-</w:t>
    </w:r>
    <w:r w:rsidR="004A26C4" w:rsidRPr="004A26C4">
      <w:t>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881657E8"/>
    <w:lvl w:ilvl="0">
      <w:start w:val="1"/>
      <w:numFmt w:val="decimal"/>
      <w:lvlText w:val="%1."/>
      <w:lvlJc w:val="left"/>
      <w:pPr>
        <w:tabs>
          <w:tab w:val="num" w:pos="360"/>
        </w:tabs>
        <w:ind w:left="360" w:hanging="360"/>
      </w:pPr>
    </w:lvl>
  </w:abstractNum>
  <w:abstractNum w:abstractNumId="1" w15:restartNumberingAfterBreak="0">
    <w:nsid w:val="FFFFFFFE"/>
    <w:multiLevelType w:val="singleLevel"/>
    <w:tmpl w:val="B39284A0"/>
    <w:lvl w:ilvl="0">
      <w:numFmt w:val="decimal"/>
      <w:lvlText w:val="*"/>
      <w:lvlJc w:val="left"/>
    </w:lvl>
  </w:abstractNum>
  <w:num w:numId="1">
    <w:abstractNumId w:val="0"/>
  </w:num>
  <w:num w:numId="2">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intFractionalCharacterWidth/>
  <w:embedSystemFonts/>
  <w:hideGrammaticalErrors/>
  <w:activeWritingStyle w:appName="MSWord" w:lang="fr-CH" w:vendorID="64" w:dllVersion="131078" w:nlCheck="1" w:checkStyle="0"/>
  <w:activeWritingStyle w:appName="MSWord" w:lang="en-GB" w:vendorID="64" w:dllVersion="131078" w:nlCheck="1" w:checkStyle="1"/>
  <w:activeWritingStyle w:appName="MSWord" w:lang="en-US" w:vendorID="64" w:dllVersion="131078" w:nlCheck="1" w:checkStyle="1"/>
  <w:activeWritingStyle w:appName="MSWord" w:lang="es-ES_tradnl"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66F1"/>
    <w:rsid w:val="000041EA"/>
    <w:rsid w:val="00022A29"/>
    <w:rsid w:val="000355FD"/>
    <w:rsid w:val="00051E39"/>
    <w:rsid w:val="000705F2"/>
    <w:rsid w:val="00077239"/>
    <w:rsid w:val="0007795D"/>
    <w:rsid w:val="00086491"/>
    <w:rsid w:val="00091346"/>
    <w:rsid w:val="0009706C"/>
    <w:rsid w:val="000D154B"/>
    <w:rsid w:val="000D2DAF"/>
    <w:rsid w:val="000E463E"/>
    <w:rsid w:val="000F73FF"/>
    <w:rsid w:val="00114CF7"/>
    <w:rsid w:val="00116C7A"/>
    <w:rsid w:val="00123B68"/>
    <w:rsid w:val="00126F2E"/>
    <w:rsid w:val="00146F6F"/>
    <w:rsid w:val="00187BD9"/>
    <w:rsid w:val="00190B55"/>
    <w:rsid w:val="001C3B5F"/>
    <w:rsid w:val="001D058F"/>
    <w:rsid w:val="002009EA"/>
    <w:rsid w:val="00202756"/>
    <w:rsid w:val="00202CA0"/>
    <w:rsid w:val="00216B6D"/>
    <w:rsid w:val="00241FA2"/>
    <w:rsid w:val="00271316"/>
    <w:rsid w:val="002B349C"/>
    <w:rsid w:val="002D58BE"/>
    <w:rsid w:val="002F4747"/>
    <w:rsid w:val="002F64C2"/>
    <w:rsid w:val="00302605"/>
    <w:rsid w:val="00361B37"/>
    <w:rsid w:val="00377BD3"/>
    <w:rsid w:val="00384088"/>
    <w:rsid w:val="003852CE"/>
    <w:rsid w:val="0039169B"/>
    <w:rsid w:val="003A7F8C"/>
    <w:rsid w:val="003B2284"/>
    <w:rsid w:val="003B532E"/>
    <w:rsid w:val="003D0F8B"/>
    <w:rsid w:val="003E0DB6"/>
    <w:rsid w:val="0041348E"/>
    <w:rsid w:val="00420873"/>
    <w:rsid w:val="00492075"/>
    <w:rsid w:val="004969AD"/>
    <w:rsid w:val="004A26C4"/>
    <w:rsid w:val="004B13CB"/>
    <w:rsid w:val="004D26EA"/>
    <w:rsid w:val="004D2BFB"/>
    <w:rsid w:val="004D5D5C"/>
    <w:rsid w:val="004F3DC0"/>
    <w:rsid w:val="0050139F"/>
    <w:rsid w:val="0055140B"/>
    <w:rsid w:val="005964AB"/>
    <w:rsid w:val="005C099A"/>
    <w:rsid w:val="005C31A5"/>
    <w:rsid w:val="005E10C9"/>
    <w:rsid w:val="005E290B"/>
    <w:rsid w:val="005E61DD"/>
    <w:rsid w:val="005F04D8"/>
    <w:rsid w:val="006023DF"/>
    <w:rsid w:val="00615426"/>
    <w:rsid w:val="00616219"/>
    <w:rsid w:val="00645B7D"/>
    <w:rsid w:val="00657DE0"/>
    <w:rsid w:val="00684A95"/>
    <w:rsid w:val="00685313"/>
    <w:rsid w:val="00692833"/>
    <w:rsid w:val="006A6E9B"/>
    <w:rsid w:val="006B7C2A"/>
    <w:rsid w:val="006C23DA"/>
    <w:rsid w:val="006E3D45"/>
    <w:rsid w:val="0070607A"/>
    <w:rsid w:val="007149F9"/>
    <w:rsid w:val="00733A30"/>
    <w:rsid w:val="00745AEE"/>
    <w:rsid w:val="00750F10"/>
    <w:rsid w:val="007742CA"/>
    <w:rsid w:val="00790D70"/>
    <w:rsid w:val="007A6F1F"/>
    <w:rsid w:val="007D5320"/>
    <w:rsid w:val="00800972"/>
    <w:rsid w:val="00804475"/>
    <w:rsid w:val="00811633"/>
    <w:rsid w:val="00814037"/>
    <w:rsid w:val="00841216"/>
    <w:rsid w:val="00842AF0"/>
    <w:rsid w:val="0086171E"/>
    <w:rsid w:val="00872FC8"/>
    <w:rsid w:val="008845D0"/>
    <w:rsid w:val="00884D60"/>
    <w:rsid w:val="008B43F2"/>
    <w:rsid w:val="008B6CFF"/>
    <w:rsid w:val="009274B4"/>
    <w:rsid w:val="00934EA2"/>
    <w:rsid w:val="00944A5C"/>
    <w:rsid w:val="00952A66"/>
    <w:rsid w:val="009B1EA1"/>
    <w:rsid w:val="009B7C9A"/>
    <w:rsid w:val="009C56E5"/>
    <w:rsid w:val="009C7716"/>
    <w:rsid w:val="009E5FC8"/>
    <w:rsid w:val="009E687A"/>
    <w:rsid w:val="009F236F"/>
    <w:rsid w:val="00A066F1"/>
    <w:rsid w:val="00A141AF"/>
    <w:rsid w:val="00A16D29"/>
    <w:rsid w:val="00A30305"/>
    <w:rsid w:val="00A31D2D"/>
    <w:rsid w:val="00A4600A"/>
    <w:rsid w:val="00A538A6"/>
    <w:rsid w:val="00A54C25"/>
    <w:rsid w:val="00A61B74"/>
    <w:rsid w:val="00A710E7"/>
    <w:rsid w:val="00A7372E"/>
    <w:rsid w:val="00A93B85"/>
    <w:rsid w:val="00AA0B18"/>
    <w:rsid w:val="00AA3C65"/>
    <w:rsid w:val="00AA666F"/>
    <w:rsid w:val="00AD7914"/>
    <w:rsid w:val="00AE514B"/>
    <w:rsid w:val="00B40888"/>
    <w:rsid w:val="00B639E9"/>
    <w:rsid w:val="00B817CD"/>
    <w:rsid w:val="00B81A7D"/>
    <w:rsid w:val="00B94AD0"/>
    <w:rsid w:val="00BB3A95"/>
    <w:rsid w:val="00BD6CCE"/>
    <w:rsid w:val="00C0018F"/>
    <w:rsid w:val="00C16A5A"/>
    <w:rsid w:val="00C20466"/>
    <w:rsid w:val="00C214ED"/>
    <w:rsid w:val="00C234E6"/>
    <w:rsid w:val="00C324A8"/>
    <w:rsid w:val="00C54517"/>
    <w:rsid w:val="00C56F70"/>
    <w:rsid w:val="00C57B91"/>
    <w:rsid w:val="00C64CD8"/>
    <w:rsid w:val="00C82695"/>
    <w:rsid w:val="00C97C68"/>
    <w:rsid w:val="00CA1A47"/>
    <w:rsid w:val="00CA3DFC"/>
    <w:rsid w:val="00CB134E"/>
    <w:rsid w:val="00CB44E5"/>
    <w:rsid w:val="00CC247A"/>
    <w:rsid w:val="00CE388F"/>
    <w:rsid w:val="00CE5E47"/>
    <w:rsid w:val="00CF020F"/>
    <w:rsid w:val="00CF2B5B"/>
    <w:rsid w:val="00D14CE0"/>
    <w:rsid w:val="00D268B3"/>
    <w:rsid w:val="00D52FD6"/>
    <w:rsid w:val="00D54009"/>
    <w:rsid w:val="00D5651D"/>
    <w:rsid w:val="00D57A34"/>
    <w:rsid w:val="00D74898"/>
    <w:rsid w:val="00D801ED"/>
    <w:rsid w:val="00D936BC"/>
    <w:rsid w:val="00D96530"/>
    <w:rsid w:val="00DA1CB1"/>
    <w:rsid w:val="00DD44AF"/>
    <w:rsid w:val="00DE2AC3"/>
    <w:rsid w:val="00DE5692"/>
    <w:rsid w:val="00DE6300"/>
    <w:rsid w:val="00DF4BC6"/>
    <w:rsid w:val="00E03C94"/>
    <w:rsid w:val="00E205BC"/>
    <w:rsid w:val="00E26226"/>
    <w:rsid w:val="00E45D05"/>
    <w:rsid w:val="00E55816"/>
    <w:rsid w:val="00E55AEF"/>
    <w:rsid w:val="00E976C1"/>
    <w:rsid w:val="00EA12E5"/>
    <w:rsid w:val="00EB55C6"/>
    <w:rsid w:val="00EF1932"/>
    <w:rsid w:val="00EF71B6"/>
    <w:rsid w:val="00F02766"/>
    <w:rsid w:val="00F05BD4"/>
    <w:rsid w:val="00F06473"/>
    <w:rsid w:val="00F6155B"/>
    <w:rsid w:val="00F65C19"/>
    <w:rsid w:val="00FD08E2"/>
    <w:rsid w:val="00FD18DA"/>
    <w:rsid w:val="00FD2546"/>
    <w:rsid w:val="00FD772E"/>
    <w:rsid w:val="00FE78C7"/>
    <w:rsid w:val="00FF43AC"/>
    <w:rsid w:val="00FF5EA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47107561"/>
  <w15:docId w15:val="{E6966D8B-79D4-482D-9546-7B185F7586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0B55"/>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gendaitem">
    <w:name w:val="Agenda_item"/>
    <w:basedOn w:val="Normal"/>
    <w:next w:val="Normal"/>
    <w:qFormat/>
    <w:rsid w:val="00745AEE"/>
    <w:pPr>
      <w:overflowPunct/>
      <w:autoSpaceDE/>
      <w:autoSpaceDN/>
      <w:adjustRightInd/>
      <w:spacing w:before="240"/>
      <w:jc w:val="center"/>
      <w:textAlignment w:val="auto"/>
    </w:pPr>
    <w:rPr>
      <w:sz w:val="28"/>
      <w:lang w:val="es-ES_tradnl"/>
    </w:rPr>
  </w:style>
  <w:style w:type="paragraph" w:customStyle="1" w:styleId="AnnexNo">
    <w:name w:val="Annex_No"/>
    <w:basedOn w:val="Normal"/>
    <w:next w:val="Normal"/>
    <w:rsid w:val="00745AEE"/>
    <w:pPr>
      <w:keepNext/>
      <w:keepLines/>
      <w:spacing w:before="480" w:after="80"/>
      <w:jc w:val="center"/>
    </w:pPr>
    <w:rPr>
      <w:caps/>
      <w:sz w:val="28"/>
    </w:rPr>
  </w:style>
  <w:style w:type="paragraph" w:customStyle="1" w:styleId="Annexref">
    <w:name w:val="Annex_ref"/>
    <w:basedOn w:val="Normal"/>
    <w:next w:val="Normal"/>
    <w:rsid w:val="00745AEE"/>
    <w:pPr>
      <w:keepNext/>
      <w:keepLines/>
      <w:spacing w:after="280"/>
      <w:jc w:val="center"/>
    </w:pPr>
  </w:style>
  <w:style w:type="paragraph" w:customStyle="1" w:styleId="Annextitle">
    <w:name w:val="Annex_title"/>
    <w:basedOn w:val="Normal"/>
    <w:next w:val="Normal"/>
    <w:rsid w:val="00745AEE"/>
    <w:pPr>
      <w:keepNext/>
      <w:keepLines/>
      <w:spacing w:before="240" w:after="280"/>
      <w:jc w:val="center"/>
    </w:pPr>
    <w:rPr>
      <w:rFonts w:ascii="Times New Roman Bold" w:hAnsi="Times New Roman Bold"/>
      <w:b/>
      <w:sz w:val="28"/>
    </w:rPr>
  </w:style>
  <w:style w:type="character" w:customStyle="1" w:styleId="Appdef">
    <w:name w:val="App_def"/>
    <w:basedOn w:val="DefaultParagraphFont"/>
    <w:rsid w:val="00745AEE"/>
    <w:rPr>
      <w:rFonts w:ascii="Times New Roman" w:hAnsi="Times New Roman"/>
      <w:b/>
    </w:rPr>
  </w:style>
  <w:style w:type="character" w:customStyle="1" w:styleId="Appref">
    <w:name w:val="App_ref"/>
    <w:basedOn w:val="DefaultParagraphFont"/>
    <w:rsid w:val="00745AEE"/>
  </w:style>
  <w:style w:type="paragraph" w:customStyle="1" w:styleId="AppendixNo">
    <w:name w:val="Appendix_No"/>
    <w:basedOn w:val="AnnexNo"/>
    <w:next w:val="Annexref"/>
    <w:rsid w:val="00745AEE"/>
  </w:style>
  <w:style w:type="paragraph" w:customStyle="1" w:styleId="ApptoAnnex">
    <w:name w:val="App_to_Annex"/>
    <w:basedOn w:val="AppendixNo"/>
    <w:next w:val="Normal"/>
    <w:qFormat/>
    <w:rsid w:val="00745AEE"/>
  </w:style>
  <w:style w:type="paragraph" w:customStyle="1" w:styleId="Appendixref">
    <w:name w:val="Appendix_ref"/>
    <w:basedOn w:val="Annexref"/>
    <w:next w:val="Annextitle"/>
    <w:rsid w:val="00745AEE"/>
  </w:style>
  <w:style w:type="paragraph" w:customStyle="1" w:styleId="Appendixtitle">
    <w:name w:val="Appendix_title"/>
    <w:basedOn w:val="Annextitle"/>
    <w:next w:val="Normal"/>
    <w:rsid w:val="00745AEE"/>
  </w:style>
  <w:style w:type="character" w:customStyle="1" w:styleId="Artdef">
    <w:name w:val="Art_def"/>
    <w:basedOn w:val="DefaultParagraphFont"/>
    <w:rsid w:val="00745AEE"/>
    <w:rPr>
      <w:rFonts w:ascii="Times New Roman" w:hAnsi="Times New Roman"/>
      <w:b/>
    </w:rPr>
  </w:style>
  <w:style w:type="paragraph" w:customStyle="1" w:styleId="Artheading">
    <w:name w:val="Art_heading"/>
    <w:basedOn w:val="Normal"/>
    <w:next w:val="Normal"/>
    <w:rsid w:val="00745AEE"/>
    <w:pPr>
      <w:spacing w:before="480"/>
      <w:jc w:val="center"/>
    </w:pPr>
    <w:rPr>
      <w:rFonts w:ascii="Times New Roman Bold" w:hAnsi="Times New Roman Bold"/>
      <w:b/>
      <w:sz w:val="28"/>
    </w:rPr>
  </w:style>
  <w:style w:type="paragraph" w:customStyle="1" w:styleId="ArtNo">
    <w:name w:val="Art_No"/>
    <w:basedOn w:val="Normal"/>
    <w:next w:val="Normal"/>
    <w:rsid w:val="00745AEE"/>
    <w:pPr>
      <w:keepNext/>
      <w:keepLines/>
      <w:spacing w:before="480"/>
      <w:jc w:val="center"/>
    </w:pPr>
    <w:rPr>
      <w:caps/>
      <w:sz w:val="28"/>
    </w:rPr>
  </w:style>
  <w:style w:type="character" w:customStyle="1" w:styleId="Artref">
    <w:name w:val="Art_ref"/>
    <w:basedOn w:val="DefaultParagraphFont"/>
    <w:rsid w:val="00745AEE"/>
  </w:style>
  <w:style w:type="paragraph" w:customStyle="1" w:styleId="Arttitle">
    <w:name w:val="Art_title"/>
    <w:basedOn w:val="Normal"/>
    <w:next w:val="Normal"/>
    <w:rsid w:val="00745AEE"/>
    <w:pPr>
      <w:keepNext/>
      <w:keepLines/>
      <w:spacing w:before="240"/>
      <w:jc w:val="center"/>
    </w:pPr>
    <w:rPr>
      <w:b/>
      <w:sz w:val="28"/>
    </w:rPr>
  </w:style>
  <w:style w:type="paragraph" w:customStyle="1" w:styleId="Border">
    <w:name w:val="Border"/>
    <w:basedOn w:val="Normal"/>
    <w:rsid w:val="00745AEE"/>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customStyle="1" w:styleId="Call">
    <w:name w:val="Call"/>
    <w:basedOn w:val="Normal"/>
    <w:next w:val="Normal"/>
    <w:rsid w:val="00745AEE"/>
    <w:pPr>
      <w:keepNext/>
      <w:keepLines/>
      <w:spacing w:before="160"/>
      <w:ind w:left="1134"/>
    </w:pPr>
    <w:rPr>
      <w:i/>
    </w:rPr>
  </w:style>
  <w:style w:type="paragraph" w:customStyle="1" w:styleId="ChapNo">
    <w:name w:val="Chap_No"/>
    <w:basedOn w:val="ArtNo"/>
    <w:next w:val="Normal"/>
    <w:rsid w:val="00745AEE"/>
    <w:rPr>
      <w:rFonts w:ascii="Times New Roman Bold" w:hAnsi="Times New Roman Bold"/>
      <w:b/>
    </w:rPr>
  </w:style>
  <w:style w:type="paragraph" w:customStyle="1" w:styleId="Chaptitle">
    <w:name w:val="Chap_title"/>
    <w:basedOn w:val="Arttitle"/>
    <w:next w:val="Normal"/>
    <w:rsid w:val="00745AEE"/>
  </w:style>
  <w:style w:type="character" w:styleId="EndnoteReference">
    <w:name w:val="endnote reference"/>
    <w:basedOn w:val="DefaultParagraphFont"/>
    <w:rsid w:val="00745AEE"/>
    <w:rPr>
      <w:vertAlign w:val="superscript"/>
    </w:rPr>
  </w:style>
  <w:style w:type="paragraph" w:customStyle="1" w:styleId="enumlev1">
    <w:name w:val="enumlev1"/>
    <w:basedOn w:val="Normal"/>
    <w:rsid w:val="00745AEE"/>
    <w:pPr>
      <w:tabs>
        <w:tab w:val="clear" w:pos="2268"/>
        <w:tab w:val="left" w:pos="2608"/>
        <w:tab w:val="left" w:pos="3345"/>
      </w:tabs>
      <w:spacing w:before="80"/>
      <w:ind w:left="1134" w:hanging="1134"/>
    </w:pPr>
  </w:style>
  <w:style w:type="paragraph" w:customStyle="1" w:styleId="enumlev2">
    <w:name w:val="enumlev2"/>
    <w:basedOn w:val="enumlev1"/>
    <w:rsid w:val="00745AEE"/>
    <w:pPr>
      <w:ind w:left="1871" w:hanging="737"/>
    </w:pPr>
  </w:style>
  <w:style w:type="paragraph" w:customStyle="1" w:styleId="enumlev3">
    <w:name w:val="enumlev3"/>
    <w:basedOn w:val="enumlev2"/>
    <w:rsid w:val="00745AEE"/>
    <w:pPr>
      <w:ind w:left="2268" w:hanging="397"/>
    </w:pPr>
  </w:style>
  <w:style w:type="paragraph" w:customStyle="1" w:styleId="Equation">
    <w:name w:val="Equation"/>
    <w:basedOn w:val="Normal"/>
    <w:rsid w:val="00745AEE"/>
    <w:pPr>
      <w:tabs>
        <w:tab w:val="clear" w:pos="1871"/>
        <w:tab w:val="clear" w:pos="2268"/>
        <w:tab w:val="center" w:pos="4820"/>
        <w:tab w:val="right" w:pos="9639"/>
      </w:tabs>
    </w:pPr>
  </w:style>
  <w:style w:type="paragraph" w:customStyle="1" w:styleId="Equationlegend">
    <w:name w:val="Equation_legend"/>
    <w:basedOn w:val="NormalIndent"/>
    <w:rsid w:val="00745AEE"/>
    <w:pPr>
      <w:tabs>
        <w:tab w:val="clear" w:pos="1134"/>
        <w:tab w:val="clear" w:pos="2268"/>
        <w:tab w:val="right" w:pos="1871"/>
        <w:tab w:val="left" w:pos="2041"/>
      </w:tabs>
      <w:spacing w:before="80"/>
      <w:ind w:left="2041" w:hanging="2041"/>
    </w:pPr>
  </w:style>
  <w:style w:type="paragraph" w:styleId="NormalIndent">
    <w:name w:val="Normal Indent"/>
    <w:basedOn w:val="Normal"/>
    <w:rsid w:val="00190B55"/>
    <w:pPr>
      <w:ind w:left="1134"/>
    </w:pPr>
  </w:style>
  <w:style w:type="paragraph" w:customStyle="1" w:styleId="Figure">
    <w:name w:val="Figure"/>
    <w:basedOn w:val="Normal"/>
    <w:next w:val="Normal"/>
    <w:rsid w:val="00745AEE"/>
    <w:pPr>
      <w:keepNext/>
      <w:keepLines/>
      <w:jc w:val="center"/>
    </w:pPr>
  </w:style>
  <w:style w:type="paragraph" w:customStyle="1" w:styleId="Figurelegend">
    <w:name w:val="Figure_legend"/>
    <w:basedOn w:val="Normal"/>
    <w:rsid w:val="00745AEE"/>
    <w:pPr>
      <w:keepNext/>
      <w:keepLines/>
      <w:spacing w:before="20" w:after="20"/>
    </w:pPr>
    <w:rPr>
      <w:sz w:val="18"/>
    </w:rPr>
  </w:style>
  <w:style w:type="paragraph" w:customStyle="1" w:styleId="FigureNo">
    <w:name w:val="Figure_No"/>
    <w:basedOn w:val="Normal"/>
    <w:next w:val="Normal"/>
    <w:rsid w:val="00745AEE"/>
    <w:pPr>
      <w:keepNext/>
      <w:keepLines/>
      <w:spacing w:before="480" w:after="120"/>
      <w:jc w:val="center"/>
    </w:pPr>
    <w:rPr>
      <w:caps/>
      <w:sz w:val="20"/>
    </w:rPr>
  </w:style>
  <w:style w:type="paragraph" w:customStyle="1" w:styleId="Figuretitle">
    <w:name w:val="Figure_title"/>
    <w:basedOn w:val="Normal"/>
    <w:next w:val="Normal"/>
    <w:rsid w:val="00745AEE"/>
    <w:pPr>
      <w:keepNext/>
      <w:keepLines/>
      <w:spacing w:before="0" w:after="480"/>
      <w:jc w:val="center"/>
    </w:pPr>
    <w:rPr>
      <w:rFonts w:ascii="Times New Roman Bold" w:hAnsi="Times New Roman Bold"/>
      <w:b/>
      <w:sz w:val="20"/>
    </w:rPr>
  </w:style>
  <w:style w:type="paragraph" w:customStyle="1" w:styleId="Figurewithouttitle">
    <w:name w:val="Figure_without_title"/>
    <w:basedOn w:val="FigureNo"/>
    <w:next w:val="Normal"/>
    <w:rsid w:val="00745AEE"/>
    <w:pPr>
      <w:keepNext w:val="0"/>
    </w:pPr>
  </w:style>
  <w:style w:type="paragraph" w:styleId="Footer">
    <w:name w:val="footer"/>
    <w:basedOn w:val="Normal"/>
    <w:link w:val="FooterChar"/>
    <w:rsid w:val="00745AEE"/>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basedOn w:val="DefaultParagraphFont"/>
    <w:link w:val="Footer"/>
    <w:rsid w:val="00745AEE"/>
    <w:rPr>
      <w:rFonts w:ascii="Times New Roman" w:hAnsi="Times New Roman"/>
      <w:caps/>
      <w:noProof/>
      <w:sz w:val="16"/>
      <w:lang w:val="en-GB" w:eastAsia="en-US"/>
    </w:rPr>
  </w:style>
  <w:style w:type="paragraph" w:customStyle="1" w:styleId="FirstFooter">
    <w:name w:val="FirstFooter"/>
    <w:basedOn w:val="Footer"/>
    <w:rsid w:val="00745AE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745AEE"/>
    <w:rPr>
      <w:position w:val="6"/>
      <w:sz w:val="18"/>
    </w:rPr>
  </w:style>
  <w:style w:type="paragraph" w:styleId="FootnoteText">
    <w:name w:val="footnote text"/>
    <w:basedOn w:val="Normal"/>
    <w:link w:val="FootnoteTextChar"/>
    <w:rsid w:val="00745AEE"/>
    <w:pPr>
      <w:keepLines/>
      <w:tabs>
        <w:tab w:val="left" w:pos="255"/>
      </w:tabs>
    </w:pPr>
  </w:style>
  <w:style w:type="character" w:customStyle="1" w:styleId="FootnoteTextChar">
    <w:name w:val="Footnote Text Char"/>
    <w:basedOn w:val="DefaultParagraphFont"/>
    <w:link w:val="FootnoteText"/>
    <w:rsid w:val="00745AEE"/>
    <w:rPr>
      <w:rFonts w:ascii="Times New Roman" w:hAnsi="Times New Roman"/>
      <w:sz w:val="24"/>
      <w:lang w:val="en-GB" w:eastAsia="en-US"/>
    </w:rPr>
  </w:style>
  <w:style w:type="paragraph" w:styleId="Header">
    <w:name w:val="header"/>
    <w:basedOn w:val="Normal"/>
    <w:link w:val="HeaderChar"/>
    <w:rsid w:val="00745AEE"/>
    <w:pPr>
      <w:spacing w:before="0"/>
      <w:jc w:val="center"/>
    </w:pPr>
    <w:rPr>
      <w:sz w:val="18"/>
    </w:rPr>
  </w:style>
  <w:style w:type="character" w:customStyle="1" w:styleId="HeaderChar">
    <w:name w:val="Header Char"/>
    <w:basedOn w:val="DefaultParagraphFont"/>
    <w:link w:val="Header"/>
    <w:rsid w:val="00745AEE"/>
    <w:rPr>
      <w:rFonts w:ascii="Times New Roman" w:hAnsi="Times New Roman"/>
      <w:sz w:val="18"/>
      <w:lang w:val="en-GB" w:eastAsia="en-US"/>
    </w:rPr>
  </w:style>
  <w:style w:type="paragraph" w:customStyle="1" w:styleId="Normalaftertitle">
    <w:name w:val="Normal after title"/>
    <w:basedOn w:val="Normal"/>
    <w:next w:val="Normal"/>
    <w:rsid w:val="00190B55"/>
    <w:pPr>
      <w:spacing w:before="280"/>
    </w:pPr>
  </w:style>
  <w:style w:type="paragraph" w:customStyle="1" w:styleId="Section1">
    <w:name w:val="Section_1"/>
    <w:basedOn w:val="Normal"/>
    <w:rsid w:val="00190B55"/>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190B55"/>
    <w:rPr>
      <w:b w:val="0"/>
      <w:i/>
    </w:rPr>
  </w:style>
  <w:style w:type="paragraph" w:customStyle="1" w:styleId="Section3">
    <w:name w:val="Section_3"/>
    <w:basedOn w:val="Section1"/>
    <w:rsid w:val="00190B55"/>
    <w:rPr>
      <w:b w:val="0"/>
    </w:rPr>
  </w:style>
  <w:style w:type="paragraph" w:customStyle="1" w:styleId="SectionNo">
    <w:name w:val="Section_No"/>
    <w:basedOn w:val="AnnexNo"/>
    <w:next w:val="Normal"/>
    <w:rsid w:val="00190B55"/>
  </w:style>
  <w:style w:type="paragraph" w:customStyle="1" w:styleId="Sectiontitle">
    <w:name w:val="Section_title"/>
    <w:basedOn w:val="Annextitle"/>
    <w:next w:val="Normalaftertitle"/>
    <w:rsid w:val="00190B55"/>
  </w:style>
  <w:style w:type="paragraph" w:customStyle="1" w:styleId="Source">
    <w:name w:val="Source"/>
    <w:basedOn w:val="Normal"/>
    <w:next w:val="Normal"/>
    <w:rsid w:val="00190B55"/>
    <w:pPr>
      <w:spacing w:before="840"/>
      <w:jc w:val="center"/>
    </w:pPr>
    <w:rPr>
      <w:b/>
      <w:sz w:val="28"/>
    </w:rPr>
  </w:style>
  <w:style w:type="paragraph" w:customStyle="1" w:styleId="SpecialFooter">
    <w:name w:val="Special Footer"/>
    <w:basedOn w:val="Footer"/>
    <w:rsid w:val="00190B55"/>
    <w:pPr>
      <w:tabs>
        <w:tab w:val="left" w:pos="567"/>
        <w:tab w:val="left" w:pos="1134"/>
        <w:tab w:val="left" w:pos="1701"/>
        <w:tab w:val="left" w:pos="2268"/>
        <w:tab w:val="left" w:pos="2835"/>
      </w:tabs>
      <w:jc w:val="both"/>
    </w:pPr>
    <w:rPr>
      <w:caps w:val="0"/>
      <w:noProof w:val="0"/>
    </w:rPr>
  </w:style>
  <w:style w:type="paragraph" w:customStyle="1" w:styleId="Subsection1">
    <w:name w:val="Subsection_1"/>
    <w:basedOn w:val="Section1"/>
    <w:next w:val="Normalaftertitle"/>
    <w:qFormat/>
    <w:rsid w:val="00190B55"/>
  </w:style>
  <w:style w:type="character" w:customStyle="1" w:styleId="Tablefreq">
    <w:name w:val="Table_freq"/>
    <w:basedOn w:val="DefaultParagraphFont"/>
    <w:rsid w:val="00190B55"/>
    <w:rPr>
      <w:b/>
      <w:color w:val="auto"/>
      <w:sz w:val="20"/>
    </w:rPr>
  </w:style>
  <w:style w:type="paragraph" w:customStyle="1" w:styleId="Tablehead">
    <w:name w:val="Table_head"/>
    <w:basedOn w:val="Normal"/>
    <w:rsid w:val="00FD772E"/>
    <w:pPr>
      <w:keepNext/>
      <w:spacing w:before="80" w:after="80"/>
      <w:jc w:val="center"/>
    </w:pPr>
    <w:rPr>
      <w:rFonts w:ascii="Times New Roman Bold" w:hAnsi="Times New Roman Bold" w:cs="Times New Roman Bold"/>
      <w:b/>
      <w:sz w:val="20"/>
    </w:rPr>
  </w:style>
  <w:style w:type="paragraph" w:customStyle="1" w:styleId="Tablelegend">
    <w:name w:val="Table_legend"/>
    <w:basedOn w:val="Normal"/>
    <w:rsid w:val="00C214ED"/>
    <w:rPr>
      <w:sz w:val="20"/>
    </w:rPr>
  </w:style>
  <w:style w:type="paragraph" w:customStyle="1" w:styleId="TableNo">
    <w:name w:val="Table_No"/>
    <w:basedOn w:val="Normal"/>
    <w:next w:val="Normal"/>
    <w:rsid w:val="001D058F"/>
    <w:pPr>
      <w:keepNext/>
      <w:spacing w:before="560" w:after="120"/>
      <w:jc w:val="center"/>
    </w:pPr>
    <w:rPr>
      <w:caps/>
      <w:sz w:val="20"/>
    </w:rPr>
  </w:style>
  <w:style w:type="paragraph" w:customStyle="1" w:styleId="Tableref">
    <w:name w:val="Table_ref"/>
    <w:basedOn w:val="Normal"/>
    <w:next w:val="Normal"/>
    <w:rsid w:val="00190B55"/>
    <w:pPr>
      <w:keepNext/>
      <w:spacing w:before="560"/>
      <w:jc w:val="center"/>
    </w:pPr>
    <w:rPr>
      <w:sz w:val="20"/>
    </w:rPr>
  </w:style>
  <w:style w:type="paragraph" w:customStyle="1" w:styleId="Normalend">
    <w:name w:val="Normal_end"/>
    <w:basedOn w:val="Normal"/>
    <w:next w:val="Normal"/>
    <w:qFormat/>
    <w:rsid w:val="00D801ED"/>
    <w:rPr>
      <w:lang w:val="en-US"/>
    </w:rPr>
  </w:style>
  <w:style w:type="paragraph" w:customStyle="1" w:styleId="Proposal">
    <w:name w:val="Proposal"/>
    <w:basedOn w:val="Normal"/>
    <w:next w:val="Normal"/>
    <w:rsid w:val="00241FA2"/>
    <w:pPr>
      <w:keepNext/>
      <w:spacing w:before="240"/>
    </w:pPr>
    <w:rPr>
      <w:rFonts w:hAnsi="Times New Roman Bold"/>
      <w:b/>
    </w:rPr>
  </w:style>
  <w:style w:type="paragraph" w:customStyle="1" w:styleId="Reasons">
    <w:name w:val="Reasons"/>
    <w:basedOn w:val="Normal"/>
    <w:qFormat/>
    <w:rsid w:val="00DE5692"/>
    <w:pPr>
      <w:tabs>
        <w:tab w:val="clear" w:pos="1871"/>
        <w:tab w:val="clear" w:pos="2268"/>
        <w:tab w:val="left" w:pos="1588"/>
        <w:tab w:val="left" w:pos="1985"/>
      </w:tabs>
    </w:pPr>
  </w:style>
  <w:style w:type="paragraph" w:customStyle="1" w:styleId="Questiondate">
    <w:name w:val="Question_date"/>
    <w:basedOn w:val="Normal"/>
    <w:next w:val="Normalaftertitle"/>
    <w:rsid w:val="004969AD"/>
    <w:pPr>
      <w:keepNext/>
      <w:keepLines/>
      <w:jc w:val="right"/>
    </w:pPr>
    <w:rPr>
      <w:sz w:val="22"/>
    </w:rPr>
  </w:style>
  <w:style w:type="paragraph" w:customStyle="1" w:styleId="QuestionNo">
    <w:name w:val="Question_No"/>
    <w:basedOn w:val="Normal"/>
    <w:next w:val="Normal"/>
    <w:rsid w:val="004969AD"/>
    <w:pPr>
      <w:keepNext/>
      <w:keepLines/>
      <w:spacing w:before="480"/>
      <w:jc w:val="center"/>
    </w:pPr>
    <w:rPr>
      <w:caps/>
      <w:sz w:val="28"/>
    </w:rPr>
  </w:style>
  <w:style w:type="paragraph" w:customStyle="1" w:styleId="Questiontitle">
    <w:name w:val="Question_title"/>
    <w:basedOn w:val="Normal"/>
    <w:next w:val="Normal"/>
    <w:rsid w:val="00A54C25"/>
    <w:pPr>
      <w:keepNext/>
      <w:keepLines/>
      <w:spacing w:before="240"/>
      <w:jc w:val="center"/>
    </w:pPr>
    <w:rPr>
      <w:rFonts w:ascii="Times New Roman Bold" w:hAnsi="Times New Roman Bold"/>
      <w:b/>
      <w:sz w:val="28"/>
    </w:rPr>
  </w:style>
  <w:style w:type="paragraph" w:styleId="TOC1">
    <w:name w:val="toc 1"/>
    <w:basedOn w:val="Normal"/>
    <w:rsid w:val="001D058F"/>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1D058F"/>
    <w:pPr>
      <w:spacing w:before="120"/>
    </w:pPr>
  </w:style>
  <w:style w:type="paragraph" w:styleId="TOC3">
    <w:name w:val="toc 3"/>
    <w:basedOn w:val="TOC2"/>
    <w:rsid w:val="001D058F"/>
  </w:style>
  <w:style w:type="paragraph" w:styleId="TOC4">
    <w:name w:val="toc 4"/>
    <w:basedOn w:val="TOC3"/>
    <w:rsid w:val="001D058F"/>
  </w:style>
  <w:style w:type="paragraph" w:styleId="TOC5">
    <w:name w:val="toc 5"/>
    <w:basedOn w:val="TOC4"/>
    <w:rsid w:val="001D058F"/>
  </w:style>
  <w:style w:type="paragraph" w:styleId="TOC6">
    <w:name w:val="toc 6"/>
    <w:basedOn w:val="TOC4"/>
    <w:rsid w:val="001D058F"/>
  </w:style>
  <w:style w:type="paragraph" w:styleId="TOC7">
    <w:name w:val="toc 7"/>
    <w:basedOn w:val="TOC4"/>
    <w:rsid w:val="001D058F"/>
  </w:style>
  <w:style w:type="paragraph" w:styleId="TOC8">
    <w:name w:val="toc 8"/>
    <w:basedOn w:val="TOC4"/>
    <w:rsid w:val="001D058F"/>
  </w:style>
  <w:style w:type="paragraph" w:customStyle="1" w:styleId="Title1">
    <w:name w:val="Title 1"/>
    <w:basedOn w:val="Source"/>
    <w:next w:val="Normal"/>
    <w:rsid w:val="001D058F"/>
    <w:pPr>
      <w:tabs>
        <w:tab w:val="left" w:pos="567"/>
        <w:tab w:val="left" w:pos="1701"/>
        <w:tab w:val="left" w:pos="2835"/>
      </w:tabs>
      <w:spacing w:before="240"/>
    </w:pPr>
    <w:rPr>
      <w:b w:val="0"/>
      <w:caps/>
    </w:rPr>
  </w:style>
  <w:style w:type="paragraph" w:customStyle="1" w:styleId="Title2">
    <w:name w:val="Title 2"/>
    <w:basedOn w:val="Source"/>
    <w:next w:val="Normal"/>
    <w:rsid w:val="001D058F"/>
    <w:pPr>
      <w:overflowPunct/>
      <w:autoSpaceDE/>
      <w:autoSpaceDN/>
      <w:adjustRightInd/>
      <w:spacing w:before="480"/>
      <w:textAlignment w:val="auto"/>
    </w:pPr>
    <w:rPr>
      <w:b w:val="0"/>
      <w:caps/>
    </w:rPr>
  </w:style>
  <w:style w:type="paragraph" w:customStyle="1" w:styleId="Title3">
    <w:name w:val="Title 3"/>
    <w:basedOn w:val="Title2"/>
    <w:next w:val="Normal"/>
    <w:rsid w:val="001D058F"/>
    <w:pPr>
      <w:spacing w:before="240"/>
    </w:pPr>
    <w:rPr>
      <w:caps w:val="0"/>
    </w:rPr>
  </w:style>
  <w:style w:type="paragraph" w:customStyle="1" w:styleId="Title4">
    <w:name w:val="Title 4"/>
    <w:basedOn w:val="Title3"/>
    <w:next w:val="Heading1"/>
    <w:rsid w:val="001D058F"/>
    <w:rPr>
      <w:b/>
    </w:rPr>
  </w:style>
  <w:style w:type="paragraph" w:customStyle="1" w:styleId="Tabletext">
    <w:name w:val="Table_text"/>
    <w:basedOn w:val="Normal"/>
    <w:rsid w:val="001D058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title">
    <w:name w:val="Table_title"/>
    <w:basedOn w:val="Normal"/>
    <w:next w:val="Tabletext"/>
    <w:rsid w:val="001D058F"/>
    <w:pPr>
      <w:keepNext/>
      <w:keepLines/>
      <w:spacing w:before="0" w:after="120"/>
      <w:jc w:val="center"/>
    </w:pPr>
    <w:rPr>
      <w:rFonts w:ascii="Times New Roman Bold" w:hAnsi="Times New Roman Bold"/>
      <w:b/>
      <w:sz w:val="20"/>
    </w:rPr>
  </w:style>
  <w:style w:type="paragraph" w:customStyle="1" w:styleId="Headingi">
    <w:name w:val="Heading_i"/>
    <w:basedOn w:val="Normal"/>
    <w:next w:val="Normal"/>
    <w:qFormat/>
    <w:rsid w:val="00EA12E5"/>
    <w:pPr>
      <w:spacing w:before="160"/>
    </w:pPr>
    <w:rPr>
      <w:i/>
    </w:rPr>
  </w:style>
  <w:style w:type="paragraph" w:customStyle="1" w:styleId="Headingb">
    <w:name w:val="Heading_b"/>
    <w:basedOn w:val="Normal"/>
    <w:next w:val="Normal"/>
    <w:qFormat/>
    <w:rsid w:val="00EA12E5"/>
    <w:pPr>
      <w:spacing w:before="160"/>
    </w:pPr>
    <w:rPr>
      <w:rFonts w:ascii="Times New Roman Bold" w:hAnsi="Times New Roman Bold" w:cs="Times New Roman Bold"/>
      <w:b/>
      <w:lang w:val="fr-CH"/>
    </w:rPr>
  </w:style>
  <w:style w:type="paragraph" w:customStyle="1" w:styleId="Note">
    <w:name w:val="Note"/>
    <w:basedOn w:val="Normal"/>
    <w:next w:val="Normal"/>
    <w:rsid w:val="00FD772E"/>
    <w:pPr>
      <w:tabs>
        <w:tab w:val="left" w:pos="284"/>
      </w:tabs>
      <w:spacing w:before="80"/>
    </w:pPr>
  </w:style>
  <w:style w:type="paragraph" w:customStyle="1" w:styleId="Part1">
    <w:name w:val="Part_1"/>
    <w:basedOn w:val="Section1"/>
    <w:next w:val="Section1"/>
    <w:qFormat/>
    <w:rsid w:val="00DE2AC3"/>
  </w:style>
  <w:style w:type="paragraph" w:customStyle="1" w:styleId="PartNo">
    <w:name w:val="Part_No"/>
    <w:basedOn w:val="AnnexNo"/>
    <w:next w:val="Normal"/>
    <w:rsid w:val="00DE2AC3"/>
  </w:style>
  <w:style w:type="paragraph" w:customStyle="1" w:styleId="Partref">
    <w:name w:val="Part_ref"/>
    <w:basedOn w:val="Annexref"/>
    <w:next w:val="Normal"/>
    <w:rsid w:val="00DE2AC3"/>
  </w:style>
  <w:style w:type="paragraph" w:customStyle="1" w:styleId="Parttitle">
    <w:name w:val="Part_title"/>
    <w:basedOn w:val="Annextitle"/>
    <w:next w:val="Normalaftertitle"/>
    <w:rsid w:val="00DE2AC3"/>
  </w:style>
  <w:style w:type="paragraph" w:customStyle="1" w:styleId="Recdate">
    <w:name w:val="Rec_date"/>
    <w:basedOn w:val="Normal"/>
    <w:next w:val="Normalaftertitle"/>
    <w:rsid w:val="00DE2AC3"/>
    <w:pPr>
      <w:keepNext/>
      <w:keepLines/>
      <w:jc w:val="right"/>
    </w:pPr>
    <w:rPr>
      <w:sz w:val="22"/>
    </w:rPr>
  </w:style>
  <w:style w:type="paragraph" w:customStyle="1" w:styleId="RecNo">
    <w:name w:val="Rec_No"/>
    <w:basedOn w:val="Normal"/>
    <w:next w:val="Normal"/>
    <w:rsid w:val="00DE2AC3"/>
    <w:pPr>
      <w:keepNext/>
      <w:keepLines/>
      <w:spacing w:before="480"/>
      <w:jc w:val="center"/>
    </w:pPr>
    <w:rPr>
      <w:caps/>
      <w:sz w:val="28"/>
    </w:rPr>
  </w:style>
  <w:style w:type="paragraph" w:customStyle="1" w:styleId="Rectitle">
    <w:name w:val="Rec_title"/>
    <w:basedOn w:val="RecNo"/>
    <w:next w:val="Normal"/>
    <w:rsid w:val="00DE2AC3"/>
    <w:pPr>
      <w:spacing w:before="240"/>
    </w:pPr>
    <w:rPr>
      <w:rFonts w:ascii="Times New Roman Bold" w:hAnsi="Times New Roman Bold"/>
      <w:b/>
      <w:caps w:val="0"/>
    </w:rPr>
  </w:style>
  <w:style w:type="paragraph" w:customStyle="1" w:styleId="ResNo">
    <w:name w:val="Res_No"/>
    <w:basedOn w:val="RecNo"/>
    <w:next w:val="Normal"/>
    <w:rsid w:val="00DE2AC3"/>
  </w:style>
  <w:style w:type="paragraph" w:customStyle="1" w:styleId="Restitle">
    <w:name w:val="Res_title"/>
    <w:basedOn w:val="Rectitle"/>
    <w:next w:val="Normal"/>
    <w:rsid w:val="00DE2AC3"/>
  </w:style>
  <w:style w:type="paragraph" w:customStyle="1" w:styleId="AppArtNo">
    <w:name w:val="App_Art_No"/>
    <w:basedOn w:val="ArtNo"/>
    <w:qFormat/>
    <w:rsid w:val="006E3D45"/>
  </w:style>
  <w:style w:type="paragraph" w:customStyle="1" w:styleId="AppArttitle">
    <w:name w:val="App_Art_title"/>
    <w:basedOn w:val="Arttitle"/>
    <w:qFormat/>
    <w:rsid w:val="00A066F1"/>
  </w:style>
  <w:style w:type="paragraph" w:customStyle="1" w:styleId="Committee">
    <w:name w:val="Committee"/>
    <w:basedOn w:val="Normal"/>
    <w:qFormat/>
    <w:rsid w:val="00DF4BC6"/>
    <w:pPr>
      <w:framePr w:hSpace="180" w:wrap="around" w:hAnchor="margin" w:y="-675"/>
      <w:tabs>
        <w:tab w:val="left" w:pos="851"/>
      </w:tabs>
      <w:spacing w:before="0" w:line="240" w:lineRule="atLeast"/>
    </w:pPr>
    <w:rPr>
      <w:rFonts w:cstheme="minorHAnsi"/>
      <w:b/>
      <w:szCs w:val="24"/>
    </w:rPr>
  </w:style>
  <w:style w:type="paragraph" w:customStyle="1" w:styleId="Volumetitle">
    <w:name w:val="Volume_title"/>
    <w:basedOn w:val="Normal"/>
    <w:qFormat/>
    <w:rsid w:val="003E0DB6"/>
    <w:pPr>
      <w:jc w:val="center"/>
    </w:pPr>
    <w:rPr>
      <w:b/>
      <w:bCs/>
      <w:sz w:val="28"/>
      <w:szCs w:val="28"/>
    </w:rPr>
  </w:style>
  <w:style w:type="paragraph" w:styleId="BalloonText">
    <w:name w:val="Balloon Text"/>
    <w:basedOn w:val="Normal"/>
    <w:link w:val="BalloonTextChar"/>
    <w:semiHidden/>
    <w:unhideWhenUsed/>
    <w:rsid w:val="00202756"/>
    <w:pPr>
      <w:spacing w:before="0"/>
    </w:pPr>
    <w:rPr>
      <w:rFonts w:ascii="Segoe UI" w:hAnsi="Segoe UI" w:cs="Segoe UI"/>
      <w:sz w:val="18"/>
      <w:szCs w:val="18"/>
    </w:rPr>
  </w:style>
  <w:style w:type="character" w:customStyle="1" w:styleId="BalloonTextChar">
    <w:name w:val="Balloon Text Char"/>
    <w:basedOn w:val="DefaultParagraphFont"/>
    <w:link w:val="BalloonText"/>
    <w:semiHidden/>
    <w:rsid w:val="00202756"/>
    <w:rPr>
      <w:rFonts w:ascii="Segoe UI" w:hAnsi="Segoe UI" w:cs="Segoe UI"/>
      <w:sz w:val="18"/>
      <w:szCs w:val="18"/>
      <w:lang w:val="en-GB" w:eastAsia="en-US"/>
    </w:rPr>
  </w:style>
  <w:style w:type="paragraph" w:customStyle="1" w:styleId="Tablesplit">
    <w:name w:val="Table_split"/>
    <w:basedOn w:val="Tabletext"/>
    <w:qFormat/>
    <w:rsid w:val="00CA3DFC"/>
    <w:pPr>
      <w:keepN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pPr>
    <w:rPr>
      <w:b/>
    </w:rPr>
  </w:style>
  <w:style w:type="character" w:customStyle="1" w:styleId="Provsplit">
    <w:name w:val="Prov_split"/>
    <w:basedOn w:val="DefaultParagraphFont"/>
    <w:qFormat/>
    <w:rsid w:val="00CA3DFC"/>
    <w:rPr>
      <w:rFonts w:ascii="Times New Roman" w:hAnsi="Times New Roman"/>
      <w:b w:val="0"/>
    </w:rPr>
  </w:style>
  <w:style w:type="paragraph" w:customStyle="1" w:styleId="Normalsplit">
    <w:name w:val="Normal_split"/>
    <w:basedOn w:val="Normal"/>
    <w:qFormat/>
    <w:rsid w:val="00CA3DFC"/>
  </w:style>
  <w:style w:type="paragraph" w:customStyle="1" w:styleId="Headingsplit">
    <w:name w:val="Heading_split"/>
    <w:basedOn w:val="Headingi"/>
    <w:qFormat/>
    <w:rsid w:val="00CA3DFC"/>
    <w:rPr>
      <w:lang w:val="en-US"/>
    </w:rPr>
  </w:style>
  <w:style w:type="paragraph" w:customStyle="1" w:styleId="MethodHeadingb">
    <w:name w:val="Method_Headingb"/>
    <w:basedOn w:val="Headingb"/>
    <w:qFormat/>
    <w:rsid w:val="00B40888"/>
    <w:pPr>
      <w:tabs>
        <w:tab w:val="clear" w:pos="1134"/>
        <w:tab w:val="clear" w:pos="1871"/>
        <w:tab w:val="clear" w:pos="2268"/>
      </w:tabs>
      <w:overflowPunct/>
      <w:autoSpaceDE/>
      <w:autoSpaceDN/>
      <w:adjustRightInd/>
      <w:spacing w:before="0"/>
      <w:textAlignment w:val="auto"/>
    </w:pPr>
  </w:style>
  <w:style w:type="paragraph" w:customStyle="1" w:styleId="Methodheading1">
    <w:name w:val="Method_heading1"/>
    <w:basedOn w:val="Heading1"/>
    <w:next w:val="Normal"/>
    <w:qFormat/>
    <w:rsid w:val="00EF71B6"/>
  </w:style>
  <w:style w:type="paragraph" w:customStyle="1" w:styleId="Methodheading2">
    <w:name w:val="Method_heading2"/>
    <w:basedOn w:val="Heading2"/>
    <w:next w:val="Normal"/>
    <w:qFormat/>
    <w:rsid w:val="00EF71B6"/>
  </w:style>
  <w:style w:type="paragraph" w:customStyle="1" w:styleId="Methodheading3">
    <w:name w:val="Method_heading3"/>
    <w:basedOn w:val="Heading3"/>
    <w:next w:val="Normal"/>
    <w:qFormat/>
    <w:rsid w:val="00EF71B6"/>
  </w:style>
  <w:style w:type="paragraph" w:customStyle="1" w:styleId="Methodheading4">
    <w:name w:val="Method_heading4"/>
    <w:basedOn w:val="Heading4"/>
    <w:next w:val="Normal"/>
    <w:qFormat/>
    <w:rsid w:val="00EF71B6"/>
  </w:style>
  <w:style w:type="paragraph" w:customStyle="1" w:styleId="TableTextS5">
    <w:name w:val="Table_TextS5"/>
    <w:basedOn w:val="Normal"/>
    <w:rsid w:val="00C82695"/>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character" w:customStyle="1" w:styleId="href">
    <w:name w:val="href"/>
    <w:basedOn w:val="DefaultParagraphFont"/>
    <w:rsid w:val="009B463A"/>
  </w:style>
  <w:style w:type="paragraph" w:customStyle="1" w:styleId="Normalaftertitle0">
    <w:name w:val="Normal after title"/>
    <w:basedOn w:val="Normal"/>
    <w:next w:val="Normal"/>
    <w:qFormat/>
    <w:rsid w:val="00981814"/>
    <w:pPr>
      <w:spacing w:before="2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R16-WRC19-C-0012!A4!MSW-E</DPM_x0020_File_x0020_name>
    <DPM_x0020_Author xmlns="32a1a8c5-2265-4ebc-b7a0-2071e2c5c9bb" xsi:nil="false">DPM</DPM_x0020_Author>
    <DPM_x0020_Version xmlns="32a1a8c5-2265-4ebc-b7a0-2071e2c5c9bb" xsi:nil="false">DPM_2019.10.01.01</DPM_x0020_Version>
    <_dlc_DocId xmlns="996b2e75-67fd-4955-a3b0-5ab9934cb50b">CJDSJNEQ73FR-44-23</_dlc_DocId>
    <_dlc_DocIdUrl xmlns="996b2e75-67fd-4955-a3b0-5ab9934cb50b">
      <Url>http://spdev11/en/gmpcs/_layouts/DocIdRedir.aspx?ID=CJDSJNEQ73FR-44-23</Url>
      <Description>CJDSJNEQ73FR-44-23</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d:import namespace="996b2e75-67fd-4955-a3b0-5ab9934cb50b"/>
    <xsd:import namespace="32a1a8c5-2265-4ebc-b7a0-2071e2c5c9bb"/>
    <xsd:element name="properties">
      <xsd:complexType>
        <xsd:sequence>
          <xsd:element name="documentManagement">
            <xsd:complexType>
              <xsd:all>
                <xsd:element ref="ns2:_dlc_DocId" minOccurs="0"/>
                <xsd:element ref="ns2:_dlc_DocIdUrl" minOccurs="0"/>
                <xsd:element ref="ns2:_dlc_DocIdPersistId" minOccurs="0"/>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FormTemplates xmlns="http://schemas.microsoft.com/sharepoint/v3/contenttype/forms">
  <Display>DocumentLibraryForm</Display>
  <Edit>DocumentLibraryForm</Edit>
  <New>DocumentLibraryForm</New>
</FormTemplates>
</file>

<file path=customXml/item5.xml><?xml version="1.0" encoding="utf-8"?>
<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89E12C-1934-48C7-9E9B-672AAE764654}">
  <ds:schemaRefs>
    <ds:schemaRef ds:uri="http://purl.org/dc/terms/"/>
    <ds:schemaRef ds:uri="http://purl.org/dc/elements/1.1/"/>
    <ds:schemaRef ds:uri="http://schemas.microsoft.com/office/infopath/2007/PartnerControls"/>
    <ds:schemaRef ds:uri="http://schemas.openxmlformats.org/package/2006/metadata/core-properties"/>
    <ds:schemaRef ds:uri="32a1a8c5-2265-4ebc-b7a0-2071e2c5c9bb"/>
    <ds:schemaRef ds:uri="http://purl.org/dc/dcmitype/"/>
    <ds:schemaRef ds:uri="http://schemas.microsoft.com/office/2006/documentManagement/types"/>
    <ds:schemaRef ds:uri="996b2e75-67fd-4955-a3b0-5ab9934cb50b"/>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CB5CC917-FC8B-4BBE-B75B-E3EF6BDFB5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4064044-3CDF-41BC-980F-161F5A7F7848}">
  <ds:schemaRefs>
    <ds:schemaRef ds:uri="http://schemas.microsoft.com/sharepoint/events"/>
  </ds:schemaRefs>
</ds:datastoreItem>
</file>

<file path=customXml/itemProps4.xml><?xml version="1.0" encoding="utf-8"?>
<ds:datastoreItem xmlns:ds="http://schemas.openxmlformats.org/officeDocument/2006/customXml" ds:itemID="{2D0DB5FC-9DD0-40A9-8F0E-3D6A8AEB2666}">
  <ds:schemaRefs>
    <ds:schemaRef ds:uri="http://schemas.microsoft.com/sharepoint/v3/contenttype/forms"/>
  </ds:schemaRefs>
</ds:datastoreItem>
</file>

<file path=customXml/itemProps5.xml><?xml version="1.0" encoding="utf-8"?>
<ds:datastoreItem xmlns:ds="http://schemas.openxmlformats.org/officeDocument/2006/customXml" ds:itemID="{244191A5-4E1B-4085-8860-C21DB7E68D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5093</Words>
  <Characters>26524</Characters>
  <Application>Microsoft Office Word</Application>
  <DocSecurity>0</DocSecurity>
  <Lines>221</Lines>
  <Paragraphs>63</Paragraphs>
  <ScaleCrop>false</ScaleCrop>
  <HeadingPairs>
    <vt:vector size="2" baseType="variant">
      <vt:variant>
        <vt:lpstr>Title</vt:lpstr>
      </vt:variant>
      <vt:variant>
        <vt:i4>1</vt:i4>
      </vt:variant>
    </vt:vector>
  </HeadingPairs>
  <TitlesOfParts>
    <vt:vector size="1" baseType="lpstr">
      <vt:lpstr>R16-WRC19-C-0012!A4!MSW-E</vt:lpstr>
    </vt:vector>
  </TitlesOfParts>
  <Manager>General Secretariat - Pool</Manager>
  <Company>International Telecommunication Union (ITU)</Company>
  <LinksUpToDate>false</LinksUpToDate>
  <CharactersWithSpaces>31554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R16-WRC19-C-0012!A4!MSW-E</dc:title>
  <dc:subject>World Radiocommunication Conference - 2019</dc:subject>
  <dc:creator>Documents Proposals Manager (DPM)</dc:creator>
  <cp:keywords>DPM_v2019.10.15.2_prod</cp:keywords>
  <dc:description>Uploaded on 2015.07.06</dc:description>
  <cp:lastModifiedBy>Ferrer, Jacqueline</cp:lastModifiedBy>
  <cp:revision>3</cp:revision>
  <cp:lastPrinted>2017-02-10T08:23:00Z</cp:lastPrinted>
  <dcterms:created xsi:type="dcterms:W3CDTF">2019-10-20T15:20:00Z</dcterms:created>
  <dcterms:modified xsi:type="dcterms:W3CDTF">2019-10-20T16:11:00Z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PE_WRC07.dotm</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0x0101003E653A548FCF90468B9840661443DCAF007CA98E47F9E07A4688AB58227F39616D</vt:lpwstr>
  </property>
  <property fmtid="{D5CDD505-2E9C-101B-9397-08002B2CF9AE}" pid="10" name="_dlc_DocIdItemGuid">
    <vt:lpwstr>e3f51d54-8436-4404-bce8-bbffce89a1d7</vt:lpwstr>
  </property>
</Properties>
</file>