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1265DE" w14:paraId="44B5BDF5" w14:textId="77777777" w:rsidTr="00F55E63">
        <w:trPr>
          <w:cantSplit/>
          <w:trHeight w:val="20"/>
        </w:trPr>
        <w:tc>
          <w:tcPr>
            <w:tcW w:w="6619" w:type="dxa"/>
          </w:tcPr>
          <w:p w14:paraId="4C5A1CF8" w14:textId="77777777" w:rsidR="00280E04" w:rsidRPr="001265DE" w:rsidRDefault="00F545E4" w:rsidP="006C00B7">
            <w:pPr>
              <w:pStyle w:val="LOGO"/>
              <w:framePr w:hSpace="0" w:wrap="auto" w:xAlign="left" w:yAlign="inline"/>
              <w:rPr>
                <w:rtl/>
              </w:rPr>
            </w:pPr>
            <w:r w:rsidRPr="001265DE">
              <w:rPr>
                <w:rFonts w:ascii="Verdana Bold" w:hAnsi="Verdana Bold" w:hint="cs"/>
                <w:sz w:val="27"/>
                <w:szCs w:val="40"/>
                <w:rtl/>
              </w:rPr>
              <w:t xml:space="preserve">المؤتمر العالمي للاتصالات الراديوية </w:t>
            </w:r>
            <w:r w:rsidRPr="001265DE">
              <w:rPr>
                <w:rFonts w:ascii="Verdana Bold" w:hAnsi="Verdana Bold"/>
                <w:sz w:val="27"/>
                <w:szCs w:val="40"/>
              </w:rPr>
              <w:t>(WRC-19)</w:t>
            </w:r>
            <w:r w:rsidRPr="001265DE">
              <w:rPr>
                <w:rtl/>
              </w:rPr>
              <w:br/>
            </w:r>
            <w:r w:rsidRPr="001265DE">
              <w:rPr>
                <w:rFonts w:ascii="Verdana Bold" w:hAnsi="Verdana Bold"/>
                <w:sz w:val="24"/>
                <w:szCs w:val="38"/>
                <w:rtl/>
              </w:rPr>
              <w:t>شرم الشيخ، مصر</w:t>
            </w:r>
            <w:r w:rsidRPr="001265DE">
              <w:rPr>
                <w:rFonts w:ascii="Verdana Bold" w:hAnsi="Verdana Bold" w:hint="cs"/>
                <w:sz w:val="24"/>
                <w:szCs w:val="38"/>
                <w:rtl/>
              </w:rPr>
              <w:t xml:space="preserve">، </w:t>
            </w:r>
            <w:r w:rsidRPr="001265DE">
              <w:rPr>
                <w:rFonts w:ascii="Verdana Bold" w:hAnsi="Verdana Bold"/>
                <w:sz w:val="24"/>
                <w:szCs w:val="38"/>
                <w:lang w:bidi="ar-SY"/>
              </w:rPr>
              <w:t>28</w:t>
            </w:r>
            <w:r w:rsidRPr="001265DE">
              <w:rPr>
                <w:rFonts w:ascii="Verdana Bold" w:hAnsi="Verdana Bold" w:hint="cs"/>
                <w:sz w:val="24"/>
                <w:szCs w:val="38"/>
                <w:rtl/>
              </w:rPr>
              <w:t xml:space="preserve"> أكتوبر </w:t>
            </w:r>
            <w:r w:rsidR="006C00B7" w:rsidRPr="001265DE">
              <w:rPr>
                <w:rFonts w:ascii="Verdana Bold" w:hAnsi="Verdana Bold" w:hint="cs"/>
                <w:sz w:val="24"/>
                <w:szCs w:val="38"/>
                <w:rtl/>
                <w:lang w:bidi="ar-SA"/>
              </w:rPr>
              <w:t xml:space="preserve">- </w:t>
            </w:r>
            <w:r w:rsidRPr="001265DE">
              <w:rPr>
                <w:rFonts w:ascii="Verdana Bold" w:hAnsi="Verdana Bold"/>
                <w:sz w:val="24"/>
                <w:szCs w:val="38"/>
              </w:rPr>
              <w:t>22</w:t>
            </w:r>
            <w:r w:rsidRPr="001265DE">
              <w:rPr>
                <w:rFonts w:ascii="Verdana Bold" w:hAnsi="Verdana Bold" w:cs="Times New Roman" w:hint="cs"/>
                <w:sz w:val="24"/>
                <w:szCs w:val="38"/>
                <w:rtl/>
              </w:rPr>
              <w:t xml:space="preserve"> </w:t>
            </w:r>
            <w:r w:rsidRPr="001265DE">
              <w:rPr>
                <w:rFonts w:ascii="Verdana Bold" w:hAnsi="Verdana Bold" w:hint="cs"/>
                <w:sz w:val="24"/>
                <w:szCs w:val="38"/>
                <w:rtl/>
              </w:rPr>
              <w:t xml:space="preserve">نوفمبر </w:t>
            </w:r>
            <w:r w:rsidRPr="001265DE">
              <w:rPr>
                <w:rFonts w:ascii="Verdana Bold" w:hAnsi="Verdana Bold"/>
                <w:sz w:val="24"/>
                <w:szCs w:val="38"/>
                <w:lang w:bidi="ar-SY"/>
              </w:rPr>
              <w:t>2019</w:t>
            </w:r>
          </w:p>
        </w:tc>
        <w:tc>
          <w:tcPr>
            <w:tcW w:w="3053" w:type="dxa"/>
          </w:tcPr>
          <w:p w14:paraId="381625D2" w14:textId="77777777" w:rsidR="00280E04" w:rsidRPr="001265DE" w:rsidRDefault="00A375BD" w:rsidP="00D44350">
            <w:pPr>
              <w:rPr>
                <w:rtl/>
                <w:lang w:bidi="ar-EG"/>
              </w:rPr>
            </w:pPr>
            <w:bookmarkStart w:id="0" w:name="ditulogo"/>
            <w:bookmarkEnd w:id="0"/>
            <w:r w:rsidRPr="001265DE">
              <w:rPr>
                <w:noProof/>
                <w:lang w:eastAsia="zh-CN"/>
              </w:rPr>
              <w:drawing>
                <wp:inline distT="0" distB="0" distL="0" distR="0" wp14:anchorId="15B1F73A" wp14:editId="6766247D">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rsidRPr="001265DE" w14:paraId="2ACD3541" w14:textId="77777777" w:rsidTr="00F55E63">
        <w:trPr>
          <w:cantSplit/>
          <w:trHeight w:val="20"/>
        </w:trPr>
        <w:tc>
          <w:tcPr>
            <w:tcW w:w="6619" w:type="dxa"/>
            <w:tcBorders>
              <w:bottom w:val="single" w:sz="12" w:space="0" w:color="auto"/>
            </w:tcBorders>
          </w:tcPr>
          <w:p w14:paraId="0B454396" w14:textId="77777777" w:rsidR="00280E04" w:rsidRPr="001265DE" w:rsidRDefault="00280E04" w:rsidP="00D44350">
            <w:pPr>
              <w:rPr>
                <w:rtl/>
                <w:lang w:bidi="ar-EG"/>
              </w:rPr>
            </w:pPr>
          </w:p>
        </w:tc>
        <w:tc>
          <w:tcPr>
            <w:tcW w:w="3053" w:type="dxa"/>
            <w:tcBorders>
              <w:bottom w:val="single" w:sz="12" w:space="0" w:color="auto"/>
            </w:tcBorders>
          </w:tcPr>
          <w:p w14:paraId="7B3E9453" w14:textId="77777777" w:rsidR="00280E04" w:rsidRPr="001265DE" w:rsidRDefault="00280E04" w:rsidP="00D44350">
            <w:pPr>
              <w:rPr>
                <w:lang w:bidi="ar-EG"/>
              </w:rPr>
            </w:pPr>
          </w:p>
        </w:tc>
      </w:tr>
      <w:tr w:rsidR="00280E04" w:rsidRPr="001265DE" w14:paraId="7DF185B3" w14:textId="77777777" w:rsidTr="00F55E63">
        <w:trPr>
          <w:cantSplit/>
          <w:trHeight w:val="20"/>
        </w:trPr>
        <w:tc>
          <w:tcPr>
            <w:tcW w:w="6619" w:type="dxa"/>
            <w:tcBorders>
              <w:top w:val="single" w:sz="12" w:space="0" w:color="auto"/>
            </w:tcBorders>
          </w:tcPr>
          <w:p w14:paraId="1D80D742" w14:textId="77777777" w:rsidR="00280E04" w:rsidRPr="001265DE" w:rsidRDefault="00280E04" w:rsidP="00A42709">
            <w:pPr>
              <w:pStyle w:val="Adress"/>
              <w:framePr w:hSpace="0" w:wrap="auto" w:xAlign="left" w:yAlign="inline"/>
              <w:spacing w:before="0"/>
              <w:rPr>
                <w:rtl/>
              </w:rPr>
            </w:pPr>
          </w:p>
        </w:tc>
        <w:tc>
          <w:tcPr>
            <w:tcW w:w="3053" w:type="dxa"/>
            <w:tcBorders>
              <w:top w:val="single" w:sz="12" w:space="0" w:color="auto"/>
            </w:tcBorders>
          </w:tcPr>
          <w:p w14:paraId="72CEADE1" w14:textId="77777777" w:rsidR="00280E04" w:rsidRPr="001265DE" w:rsidRDefault="00280E04" w:rsidP="00A42709">
            <w:pPr>
              <w:pStyle w:val="Adress"/>
              <w:framePr w:hSpace="0" w:wrap="auto" w:xAlign="left" w:yAlign="inline"/>
              <w:spacing w:before="0"/>
            </w:pPr>
          </w:p>
        </w:tc>
      </w:tr>
      <w:tr w:rsidR="002D02A3" w:rsidRPr="001265DE" w14:paraId="4756A3A7" w14:textId="77777777" w:rsidTr="00F55E63">
        <w:trPr>
          <w:cantSplit/>
        </w:trPr>
        <w:tc>
          <w:tcPr>
            <w:tcW w:w="6619" w:type="dxa"/>
          </w:tcPr>
          <w:p w14:paraId="35A312B3" w14:textId="77777777" w:rsidR="002D02A3" w:rsidRPr="001265DE" w:rsidRDefault="002D02A3" w:rsidP="002D02A3">
            <w:pPr>
              <w:pStyle w:val="Committee"/>
              <w:framePr w:hSpace="0" w:wrap="auto" w:hAnchor="text" w:yAlign="inline"/>
              <w:bidi/>
              <w:spacing w:before="0"/>
              <w:rPr>
                <w:rFonts w:ascii="Verdana Bold" w:hAnsi="Verdana Bold"/>
                <w:sz w:val="19"/>
                <w:szCs w:val="30"/>
                <w:rtl/>
              </w:rPr>
            </w:pPr>
            <w:r w:rsidRPr="001265DE">
              <w:rPr>
                <w:rFonts w:ascii="Verdana Bold" w:hAnsi="Verdana Bold"/>
                <w:sz w:val="19"/>
                <w:szCs w:val="30"/>
                <w:rtl/>
                <w:lang w:val="en-US" w:bidi="ar-EG"/>
              </w:rPr>
              <w:t>الجلسة العامة</w:t>
            </w:r>
          </w:p>
        </w:tc>
        <w:tc>
          <w:tcPr>
            <w:tcW w:w="3053" w:type="dxa"/>
            <w:vAlign w:val="center"/>
          </w:tcPr>
          <w:p w14:paraId="4C111B71" w14:textId="1B1AFE0F" w:rsidR="002D02A3" w:rsidRPr="001265DE" w:rsidRDefault="002D02A3" w:rsidP="002D02A3">
            <w:pPr>
              <w:pStyle w:val="Adress"/>
              <w:framePr w:hSpace="0" w:wrap="auto" w:xAlign="left" w:yAlign="inline"/>
              <w:spacing w:before="0"/>
              <w:rPr>
                <w:rtl/>
              </w:rPr>
            </w:pPr>
            <w:r w:rsidRPr="001265DE">
              <w:rPr>
                <w:rFonts w:ascii="Verdana" w:eastAsia="SimSun" w:hAnsi="Verdana" w:hint="cs"/>
                <w:rtl/>
              </w:rPr>
              <w:t xml:space="preserve">الإضافة </w:t>
            </w:r>
            <w:r w:rsidRPr="001265DE">
              <w:rPr>
                <w:rFonts w:ascii="Verdana" w:eastAsia="SimSun" w:hAnsi="Verdana"/>
              </w:rPr>
              <w:t>22</w:t>
            </w:r>
            <w:r w:rsidRPr="001265DE">
              <w:rPr>
                <w:rFonts w:ascii="Verdana" w:eastAsia="SimSun" w:hAnsi="Verdana"/>
                <w:rtl/>
              </w:rPr>
              <w:br/>
            </w:r>
            <w:r w:rsidRPr="001265DE">
              <w:rPr>
                <w:rFonts w:ascii="Verdana" w:eastAsia="SimSun" w:hAnsi="Verdana" w:hint="cs"/>
                <w:rtl/>
              </w:rPr>
              <w:t xml:space="preserve">للوثيقة </w:t>
            </w:r>
            <w:r w:rsidRPr="001265DE">
              <w:rPr>
                <w:rFonts w:ascii="Verdana" w:eastAsia="SimSun" w:hAnsi="Verdana"/>
              </w:rPr>
              <w:t>12-A</w:t>
            </w:r>
          </w:p>
        </w:tc>
      </w:tr>
      <w:tr w:rsidR="002D02A3" w:rsidRPr="001265DE" w14:paraId="484182E3" w14:textId="77777777" w:rsidTr="00F55E63">
        <w:trPr>
          <w:cantSplit/>
        </w:trPr>
        <w:tc>
          <w:tcPr>
            <w:tcW w:w="6619" w:type="dxa"/>
          </w:tcPr>
          <w:p w14:paraId="61D12332" w14:textId="77777777" w:rsidR="002D02A3" w:rsidRPr="001265DE" w:rsidRDefault="002D02A3" w:rsidP="002D02A3">
            <w:pPr>
              <w:pStyle w:val="Adress"/>
              <w:framePr w:hSpace="0" w:wrap="auto" w:xAlign="left" w:yAlign="inline"/>
              <w:spacing w:before="0"/>
              <w:rPr>
                <w:rtl/>
              </w:rPr>
            </w:pPr>
          </w:p>
        </w:tc>
        <w:tc>
          <w:tcPr>
            <w:tcW w:w="3053" w:type="dxa"/>
            <w:vAlign w:val="center"/>
          </w:tcPr>
          <w:p w14:paraId="2F4013BA" w14:textId="43186D04" w:rsidR="002D02A3" w:rsidRPr="001265DE" w:rsidRDefault="002D02A3" w:rsidP="002D02A3">
            <w:pPr>
              <w:pStyle w:val="Adress"/>
              <w:framePr w:hSpace="0" w:wrap="auto" w:xAlign="left" w:yAlign="inline"/>
              <w:spacing w:before="0"/>
              <w:rPr>
                <w:rtl/>
              </w:rPr>
            </w:pPr>
            <w:r w:rsidRPr="001265DE">
              <w:rPr>
                <w:rFonts w:ascii="Verdana" w:eastAsia="SimSun" w:hAnsi="Verdana"/>
              </w:rPr>
              <w:t>2</w:t>
            </w:r>
            <w:r w:rsidRPr="001265DE">
              <w:rPr>
                <w:rFonts w:ascii="Verdana" w:eastAsia="SimSun" w:hAnsi="Verdana"/>
                <w:rtl/>
              </w:rPr>
              <w:t xml:space="preserve"> </w:t>
            </w:r>
            <w:r w:rsidRPr="001265DE">
              <w:rPr>
                <w:rFonts w:ascii="Verdana" w:eastAsia="SimSun" w:hAnsi="Verdana" w:hint="cs"/>
                <w:rtl/>
              </w:rPr>
              <w:t>أكتوبر</w:t>
            </w:r>
            <w:r w:rsidRPr="001265DE">
              <w:rPr>
                <w:rFonts w:ascii="Verdana" w:eastAsia="SimSun" w:hAnsi="Verdana"/>
                <w:rtl/>
              </w:rPr>
              <w:t xml:space="preserve"> </w:t>
            </w:r>
            <w:r w:rsidRPr="001265DE">
              <w:rPr>
                <w:rFonts w:ascii="Verdana" w:eastAsia="SimSun" w:hAnsi="Verdana"/>
              </w:rPr>
              <w:t>2019</w:t>
            </w:r>
          </w:p>
        </w:tc>
      </w:tr>
      <w:tr w:rsidR="00A809E8" w:rsidRPr="001265DE" w14:paraId="13DEF5C4" w14:textId="77777777" w:rsidTr="00F55E63">
        <w:trPr>
          <w:cantSplit/>
        </w:trPr>
        <w:tc>
          <w:tcPr>
            <w:tcW w:w="6619" w:type="dxa"/>
          </w:tcPr>
          <w:p w14:paraId="144720C6" w14:textId="77777777" w:rsidR="00A809E8" w:rsidRPr="001265DE" w:rsidRDefault="00A809E8" w:rsidP="00A42709">
            <w:pPr>
              <w:pStyle w:val="Adress"/>
              <w:framePr w:hSpace="0" w:wrap="auto" w:xAlign="left" w:yAlign="inline"/>
              <w:spacing w:before="0"/>
              <w:rPr>
                <w:rFonts w:eastAsia="SimSun" w:hint="eastAsia"/>
              </w:rPr>
            </w:pPr>
          </w:p>
        </w:tc>
        <w:tc>
          <w:tcPr>
            <w:tcW w:w="3053" w:type="dxa"/>
            <w:vAlign w:val="center"/>
          </w:tcPr>
          <w:p w14:paraId="07C10B66" w14:textId="77777777" w:rsidR="00A809E8" w:rsidRPr="001265DE" w:rsidRDefault="00F55E63" w:rsidP="00A42709">
            <w:pPr>
              <w:pStyle w:val="Adress"/>
              <w:framePr w:hSpace="0" w:wrap="auto" w:xAlign="left" w:yAlign="inline"/>
              <w:spacing w:before="0"/>
              <w:rPr>
                <w:rFonts w:eastAsia="SimSun" w:hint="eastAsia"/>
              </w:rPr>
            </w:pPr>
            <w:r w:rsidRPr="001265DE">
              <w:rPr>
                <w:rtl/>
              </w:rPr>
              <w:t>الأصل: بالروسية</w:t>
            </w:r>
          </w:p>
        </w:tc>
      </w:tr>
      <w:tr w:rsidR="00764079" w:rsidRPr="001265DE" w14:paraId="36E59913" w14:textId="77777777" w:rsidTr="00F55E63">
        <w:trPr>
          <w:cantSplit/>
        </w:trPr>
        <w:tc>
          <w:tcPr>
            <w:tcW w:w="9672" w:type="dxa"/>
            <w:gridSpan w:val="2"/>
          </w:tcPr>
          <w:p w14:paraId="6B870C09" w14:textId="77777777" w:rsidR="00764079" w:rsidRPr="001265DE" w:rsidRDefault="00764079" w:rsidP="00A42709">
            <w:pPr>
              <w:pStyle w:val="Adress"/>
              <w:framePr w:hSpace="0" w:wrap="auto" w:xAlign="left" w:yAlign="inline"/>
              <w:spacing w:before="0"/>
              <w:rPr>
                <w:rFonts w:eastAsia="SimSun" w:hint="eastAsia"/>
              </w:rPr>
            </w:pPr>
          </w:p>
        </w:tc>
      </w:tr>
      <w:tr w:rsidR="00764079" w:rsidRPr="001265DE" w14:paraId="07329952" w14:textId="77777777" w:rsidTr="00F55E63">
        <w:trPr>
          <w:cantSplit/>
        </w:trPr>
        <w:tc>
          <w:tcPr>
            <w:tcW w:w="9672" w:type="dxa"/>
            <w:gridSpan w:val="2"/>
          </w:tcPr>
          <w:p w14:paraId="212E45A5" w14:textId="77777777" w:rsidR="00764079" w:rsidRPr="001265DE" w:rsidRDefault="00F55E63" w:rsidP="00F55E63">
            <w:pPr>
              <w:pStyle w:val="Source"/>
              <w:rPr>
                <w:rtl/>
              </w:rPr>
            </w:pPr>
            <w:r w:rsidRPr="001265DE">
              <w:rPr>
                <w:rtl/>
              </w:rPr>
              <w:t>مقترحات مشتركة مقدمة من الكومنولث الإقليمي في مجال الاتصالات</w:t>
            </w:r>
          </w:p>
        </w:tc>
      </w:tr>
      <w:tr w:rsidR="00764079" w:rsidRPr="001265DE" w14:paraId="51624CA2" w14:textId="77777777" w:rsidTr="00F55E63">
        <w:trPr>
          <w:cantSplit/>
        </w:trPr>
        <w:tc>
          <w:tcPr>
            <w:tcW w:w="9672" w:type="dxa"/>
            <w:gridSpan w:val="2"/>
          </w:tcPr>
          <w:p w14:paraId="3B30921E" w14:textId="77777777" w:rsidR="00764079" w:rsidRPr="001265DE" w:rsidRDefault="00F55E63" w:rsidP="00F55E63">
            <w:pPr>
              <w:pStyle w:val="Title1"/>
              <w:spacing w:before="240"/>
              <w:rPr>
                <w:rtl/>
              </w:rPr>
            </w:pPr>
            <w:r w:rsidRPr="001265DE">
              <w:rPr>
                <w:rtl/>
              </w:rPr>
              <w:t>مقترحات بشأن أعمال المؤتمر</w:t>
            </w:r>
          </w:p>
        </w:tc>
      </w:tr>
      <w:tr w:rsidR="00764079" w:rsidRPr="001265DE" w14:paraId="27D89686" w14:textId="77777777" w:rsidTr="00F55E63">
        <w:trPr>
          <w:cantSplit/>
        </w:trPr>
        <w:tc>
          <w:tcPr>
            <w:tcW w:w="9672" w:type="dxa"/>
            <w:gridSpan w:val="2"/>
          </w:tcPr>
          <w:p w14:paraId="4322C47C" w14:textId="77777777" w:rsidR="00764079" w:rsidRPr="001265DE" w:rsidRDefault="00764079" w:rsidP="00F55E63">
            <w:pPr>
              <w:pStyle w:val="Title2"/>
              <w:rPr>
                <w:rtl/>
              </w:rPr>
            </w:pPr>
          </w:p>
        </w:tc>
      </w:tr>
      <w:tr w:rsidR="00764079" w:rsidRPr="001265DE" w14:paraId="7228C824" w14:textId="77777777" w:rsidTr="00F55E63">
        <w:trPr>
          <w:cantSplit/>
        </w:trPr>
        <w:tc>
          <w:tcPr>
            <w:tcW w:w="9672" w:type="dxa"/>
            <w:gridSpan w:val="2"/>
          </w:tcPr>
          <w:p w14:paraId="3B13657A" w14:textId="414CADE0" w:rsidR="00764079" w:rsidRPr="001265DE" w:rsidRDefault="00DB4CC9" w:rsidP="00F55E63">
            <w:pPr>
              <w:pStyle w:val="Agendaitem"/>
              <w:rPr>
                <w:lang w:val="en-US"/>
              </w:rPr>
            </w:pPr>
            <w:r w:rsidRPr="001265DE">
              <w:rPr>
                <w:rtl/>
                <w:lang w:val="en-US"/>
              </w:rPr>
              <w:t>بند جدول الأعمال</w:t>
            </w:r>
            <w:r w:rsidR="002D02A3" w:rsidRPr="001265DE">
              <w:rPr>
                <w:rFonts w:hint="cs"/>
                <w:rtl/>
                <w:lang w:val="en-US"/>
              </w:rPr>
              <w:t xml:space="preserve"> </w:t>
            </w:r>
            <w:r w:rsidR="002D02A3" w:rsidRPr="001265DE">
              <w:rPr>
                <w:lang w:val="en-US"/>
              </w:rPr>
              <w:t>2.9</w:t>
            </w:r>
          </w:p>
        </w:tc>
      </w:tr>
    </w:tbl>
    <w:p w14:paraId="21931094" w14:textId="77777777" w:rsidR="001D597A" w:rsidRPr="001265DE" w:rsidRDefault="00B13236" w:rsidP="00295A04">
      <w:pPr>
        <w:rPr>
          <w:rFonts w:eastAsia="SimSun"/>
          <w:szCs w:val="22"/>
          <w:rtl/>
          <w:lang w:bidi="ar-SY"/>
        </w:rPr>
      </w:pPr>
      <w:r w:rsidRPr="001265DE">
        <w:rPr>
          <w:rFonts w:eastAsia="SimSun"/>
          <w:lang w:eastAsia="zh-CN" w:bidi="ar-SY"/>
        </w:rPr>
        <w:t>9</w:t>
      </w:r>
      <w:r w:rsidRPr="001265DE">
        <w:rPr>
          <w:rFonts w:eastAsia="SimSun" w:hint="cs"/>
          <w:rtl/>
          <w:lang w:eastAsia="zh-CN"/>
        </w:rPr>
        <w:tab/>
        <w:t xml:space="preserve">النظر في تقرير مدير مكتب الاتصالات الراديوية وإقراره، وفقاً للمادة </w:t>
      </w:r>
      <w:r w:rsidRPr="001265DE">
        <w:rPr>
          <w:rFonts w:eastAsia="SimSun"/>
          <w:lang w:eastAsia="zh-CN" w:bidi="ar-SY"/>
        </w:rPr>
        <w:t>7</w:t>
      </w:r>
      <w:r w:rsidRPr="001265DE">
        <w:rPr>
          <w:rFonts w:eastAsia="SimSun" w:hint="cs"/>
          <w:rtl/>
          <w:lang w:eastAsia="zh-CN"/>
        </w:rPr>
        <w:t xml:space="preserve"> من الاتفاقية:</w:t>
      </w:r>
    </w:p>
    <w:p w14:paraId="21EFCF37" w14:textId="77777777" w:rsidR="001D597A" w:rsidRPr="001265DE" w:rsidRDefault="00B13236" w:rsidP="00053B53">
      <w:pPr>
        <w:rPr>
          <w:rFonts w:eastAsia="SimSun"/>
          <w:szCs w:val="22"/>
          <w:rtl/>
        </w:rPr>
      </w:pPr>
      <w:r w:rsidRPr="001265DE">
        <w:rPr>
          <w:rFonts w:eastAsia="SimSun"/>
          <w:lang w:eastAsia="zh-CN" w:bidi="ar-SY"/>
        </w:rPr>
        <w:t>2.9</w:t>
      </w:r>
      <w:r w:rsidRPr="001265DE">
        <w:rPr>
          <w:rFonts w:eastAsia="SimSun" w:hint="cs"/>
          <w:rtl/>
          <w:lang w:eastAsia="zh-CN"/>
        </w:rPr>
        <w:tab/>
        <w:t>وبشأن أي صعوبات أو حالات تضارب ووجهت في تطبيق لوائح الراديو</w:t>
      </w:r>
      <w:r w:rsidRPr="001265DE">
        <w:rPr>
          <w:rFonts w:eastAsia="SimSun" w:cs="Calibri"/>
          <w:position w:val="6"/>
          <w:sz w:val="18"/>
          <w:szCs w:val="18"/>
          <w:rtl/>
          <w:lang w:eastAsia="zh-CN"/>
        </w:rPr>
        <w:footnoteReference w:customMarkFollows="1" w:id="1"/>
        <w:t>*</w:t>
      </w:r>
      <w:r w:rsidRPr="001265DE">
        <w:rPr>
          <w:rFonts w:eastAsia="SimSun" w:hint="cs"/>
          <w:rtl/>
          <w:lang w:eastAsia="zh-CN"/>
        </w:rPr>
        <w:t>؛</w:t>
      </w:r>
    </w:p>
    <w:p w14:paraId="07ED3578" w14:textId="54EE6112" w:rsidR="002F3E46" w:rsidRPr="001265DE" w:rsidRDefault="00830C35" w:rsidP="00830C35">
      <w:pPr>
        <w:pStyle w:val="Headingb"/>
        <w:rPr>
          <w:rtl/>
        </w:rPr>
      </w:pPr>
      <w:r w:rsidRPr="001265DE">
        <w:rPr>
          <w:rFonts w:hint="cs"/>
          <w:rtl/>
        </w:rPr>
        <w:t>مقدمة</w:t>
      </w:r>
    </w:p>
    <w:p w14:paraId="580EDA63" w14:textId="61F64596" w:rsidR="00830C35" w:rsidRPr="001265DE" w:rsidRDefault="00C42C5E" w:rsidP="00B57D88">
      <w:pPr>
        <w:rPr>
          <w:rtl/>
        </w:rPr>
      </w:pPr>
      <w:r w:rsidRPr="001265DE">
        <w:rPr>
          <w:rFonts w:hint="cs"/>
          <w:rtl/>
        </w:rPr>
        <w:t xml:space="preserve">بالإحالة إلى الفقرة </w:t>
      </w:r>
      <w:r w:rsidRPr="001265DE">
        <w:t>2.2.1.3</w:t>
      </w:r>
      <w:r w:rsidRPr="001265DE">
        <w:rPr>
          <w:rFonts w:hint="cs"/>
          <w:rtl/>
          <w:lang w:bidi="ar-EG"/>
        </w:rPr>
        <w:t xml:space="preserve"> (التبليغ</w:t>
      </w:r>
      <w:r w:rsidR="00EC7AA0" w:rsidRPr="001265DE">
        <w:rPr>
          <w:rFonts w:hint="cs"/>
          <w:rtl/>
          <w:lang w:bidi="ar-EG"/>
        </w:rPr>
        <w:t xml:space="preserve"> بمحطات الاتصالات المتنقلة الدولية</w:t>
      </w:r>
      <w:r w:rsidRPr="001265DE">
        <w:rPr>
          <w:rFonts w:hint="cs"/>
          <w:rtl/>
          <w:lang w:bidi="ar-EG"/>
        </w:rPr>
        <w:t xml:space="preserve"> أو تنسيق</w:t>
      </w:r>
      <w:r w:rsidR="00EC7AA0" w:rsidRPr="001265DE">
        <w:rPr>
          <w:rFonts w:hint="cs"/>
          <w:rtl/>
          <w:lang w:bidi="ar-EG"/>
        </w:rPr>
        <w:t>ها</w:t>
      </w:r>
      <w:r w:rsidRPr="001265DE">
        <w:rPr>
          <w:rFonts w:hint="cs"/>
          <w:rtl/>
          <w:lang w:bidi="ar-EG"/>
        </w:rPr>
        <w:t xml:space="preserve"> بموجب </w:t>
      </w:r>
      <w:r w:rsidR="0048797A" w:rsidRPr="001265DE">
        <w:rPr>
          <w:rFonts w:hint="eastAsia"/>
          <w:rtl/>
          <w:lang w:bidi="ar-EG"/>
        </w:rPr>
        <w:t>الرقم</w:t>
      </w:r>
      <w:r w:rsidR="00B57D88" w:rsidRPr="001265DE">
        <w:rPr>
          <w:rtl/>
          <w:lang w:bidi="ar-EG"/>
        </w:rPr>
        <w:t xml:space="preserve"> </w:t>
      </w:r>
      <w:r w:rsidR="00B57D88" w:rsidRPr="001162C9">
        <w:rPr>
          <w:b/>
          <w:bCs/>
          <w:lang w:bidi="ar-EG"/>
        </w:rPr>
        <w:t>21.9</w:t>
      </w:r>
      <w:r w:rsidR="00B57D88" w:rsidRPr="001162C9">
        <w:rPr>
          <w:b/>
          <w:bCs/>
          <w:rtl/>
          <w:lang w:bidi="ar-EG"/>
        </w:rPr>
        <w:t xml:space="preserve"> </w:t>
      </w:r>
      <w:r w:rsidR="00B57D88" w:rsidRPr="001265DE">
        <w:rPr>
          <w:rFonts w:hint="eastAsia"/>
          <w:rtl/>
          <w:lang w:bidi="ar-EG"/>
        </w:rPr>
        <w:t>من</w:t>
      </w:r>
      <w:r w:rsidR="00B57D88" w:rsidRPr="001265DE">
        <w:rPr>
          <w:rtl/>
          <w:lang w:bidi="ar-EG"/>
        </w:rPr>
        <w:t xml:space="preserve"> </w:t>
      </w:r>
      <w:r w:rsidR="00B57D88" w:rsidRPr="001265DE">
        <w:rPr>
          <w:rFonts w:hint="eastAsia"/>
          <w:rtl/>
          <w:lang w:bidi="ar-EG"/>
        </w:rPr>
        <w:t>لوائح</w:t>
      </w:r>
      <w:r w:rsidR="00B57D88" w:rsidRPr="001265DE">
        <w:rPr>
          <w:rtl/>
          <w:lang w:bidi="ar-EG"/>
        </w:rPr>
        <w:t xml:space="preserve"> </w:t>
      </w:r>
      <w:r w:rsidR="00B57D88" w:rsidRPr="001265DE">
        <w:rPr>
          <w:rFonts w:hint="eastAsia"/>
          <w:rtl/>
          <w:lang w:bidi="ar-EG"/>
        </w:rPr>
        <w:t>الراديو</w:t>
      </w:r>
      <w:r w:rsidR="00B57D88" w:rsidRPr="001265DE">
        <w:rPr>
          <w:rFonts w:hint="cs"/>
          <w:rtl/>
          <w:lang w:bidi="ar-EG"/>
        </w:rPr>
        <w:t>) من تقرير المدير بشأن أنشطة قطاع الاتصالات الراديوية، يلاحظ أن:</w:t>
      </w:r>
    </w:p>
    <w:p w14:paraId="451ECDC9" w14:textId="12F9282A" w:rsidR="00830C35" w:rsidRPr="001265DE" w:rsidRDefault="00830C35" w:rsidP="003F55B9">
      <w:pPr>
        <w:pStyle w:val="enumlev1"/>
        <w:rPr>
          <w:rtl/>
          <w:lang w:bidi="ar-EG"/>
        </w:rPr>
      </w:pPr>
      <w:r w:rsidRPr="001265DE">
        <w:rPr>
          <w:rFonts w:hint="cs"/>
          <w:rtl/>
        </w:rPr>
        <w:t>•</w:t>
      </w:r>
      <w:r w:rsidRPr="001265DE">
        <w:rPr>
          <w:rFonts w:hint="cs"/>
          <w:rtl/>
        </w:rPr>
        <w:tab/>
      </w:r>
      <w:r w:rsidR="00B57D88" w:rsidRPr="00721E7A">
        <w:rPr>
          <w:rFonts w:hint="cs"/>
          <w:spacing w:val="-2"/>
          <w:rtl/>
        </w:rPr>
        <w:t xml:space="preserve">المؤتمر العالمي للاتصالات الراديوية لعام </w:t>
      </w:r>
      <w:r w:rsidR="00B57D88" w:rsidRPr="00721E7A">
        <w:rPr>
          <w:spacing w:val="-2"/>
        </w:rPr>
        <w:t>2015</w:t>
      </w:r>
      <w:r w:rsidR="00B57D88" w:rsidRPr="00721E7A">
        <w:rPr>
          <w:rFonts w:hint="cs"/>
          <w:spacing w:val="-2"/>
          <w:rtl/>
          <w:lang w:bidi="ar-EG"/>
        </w:rPr>
        <w:t xml:space="preserve"> (</w:t>
      </w:r>
      <w:r w:rsidR="00B57D88" w:rsidRPr="00721E7A">
        <w:rPr>
          <w:spacing w:val="-2"/>
          <w:lang w:bidi="ar-EG"/>
        </w:rPr>
        <w:t>WRC-15</w:t>
      </w:r>
      <w:r w:rsidR="00B57D88" w:rsidRPr="00721E7A">
        <w:rPr>
          <w:rFonts w:hint="cs"/>
          <w:spacing w:val="-2"/>
          <w:rtl/>
          <w:lang w:bidi="ar-EG"/>
        </w:rPr>
        <w:t xml:space="preserve">) </w:t>
      </w:r>
      <w:r w:rsidR="00EC7AA0" w:rsidRPr="00721E7A">
        <w:rPr>
          <w:rFonts w:hint="cs"/>
          <w:spacing w:val="-2"/>
          <w:rtl/>
          <w:lang w:bidi="ar-EG"/>
        </w:rPr>
        <w:t xml:space="preserve">حدد </w:t>
      </w:r>
      <w:r w:rsidR="00B57D88" w:rsidRPr="00721E7A">
        <w:rPr>
          <w:rFonts w:hint="cs"/>
          <w:spacing w:val="-2"/>
          <w:rtl/>
          <w:lang w:bidi="ar-EG"/>
        </w:rPr>
        <w:t xml:space="preserve">عددًا من </w:t>
      </w:r>
      <w:r w:rsidR="002B25DF" w:rsidRPr="00721E7A">
        <w:rPr>
          <w:rFonts w:hint="cs"/>
          <w:spacing w:val="-2"/>
          <w:rtl/>
          <w:lang w:bidi="ar-EG"/>
        </w:rPr>
        <w:t>نطاقات التردد للاتصالات المتنقلة الدولية الخاضعة لبعض الشروط التنظيمية والتقنية. وقد تشمل هذه الشروط التزامًا بالتوصل إلى اتفاق</w:t>
      </w:r>
      <w:r w:rsidR="002071EC" w:rsidRPr="00721E7A">
        <w:rPr>
          <w:rFonts w:hint="cs"/>
          <w:spacing w:val="-2"/>
          <w:rtl/>
          <w:lang w:bidi="ar-EG"/>
        </w:rPr>
        <w:t xml:space="preserve"> في إطار الرقم</w:t>
      </w:r>
      <w:r w:rsidR="005F5533" w:rsidRPr="00721E7A">
        <w:rPr>
          <w:rFonts w:hint="eastAsia"/>
          <w:spacing w:val="-2"/>
          <w:rtl/>
          <w:lang w:bidi="ar-EG"/>
        </w:rPr>
        <w:t> </w:t>
      </w:r>
      <w:r w:rsidR="002071EC" w:rsidRPr="00721E7A">
        <w:rPr>
          <w:b/>
          <w:bCs/>
          <w:spacing w:val="-2"/>
          <w:lang w:bidi="ar-EG"/>
        </w:rPr>
        <w:t>21.9</w:t>
      </w:r>
      <w:r w:rsidR="002071EC" w:rsidRPr="00721E7A">
        <w:rPr>
          <w:rFonts w:hint="cs"/>
          <w:spacing w:val="-2"/>
          <w:rtl/>
          <w:lang w:bidi="ar-EG"/>
        </w:rPr>
        <w:t xml:space="preserve"> </w:t>
      </w:r>
      <w:r w:rsidR="002071EC" w:rsidRPr="00721E7A">
        <w:rPr>
          <w:rFonts w:hint="eastAsia"/>
          <w:spacing w:val="-2"/>
          <w:rtl/>
          <w:lang w:bidi="ar-EG"/>
        </w:rPr>
        <w:t>من</w:t>
      </w:r>
      <w:r w:rsidR="00604939">
        <w:rPr>
          <w:spacing w:val="-2"/>
          <w:lang w:bidi="ar-EG"/>
        </w:rPr>
        <w:t> </w:t>
      </w:r>
      <w:r w:rsidR="002071EC" w:rsidRPr="00721E7A">
        <w:rPr>
          <w:rFonts w:hint="eastAsia"/>
          <w:spacing w:val="-2"/>
          <w:rtl/>
          <w:lang w:bidi="ar-EG"/>
        </w:rPr>
        <w:t>لوائح</w:t>
      </w:r>
      <w:r w:rsidR="002071EC" w:rsidRPr="00721E7A">
        <w:rPr>
          <w:spacing w:val="-2"/>
          <w:rtl/>
          <w:lang w:bidi="ar-EG"/>
        </w:rPr>
        <w:t xml:space="preserve"> </w:t>
      </w:r>
      <w:r w:rsidR="002071EC" w:rsidRPr="00721E7A">
        <w:rPr>
          <w:rFonts w:hint="eastAsia"/>
          <w:spacing w:val="-2"/>
          <w:rtl/>
          <w:lang w:bidi="ar-EG"/>
        </w:rPr>
        <w:t>الراديو</w:t>
      </w:r>
      <w:r w:rsidR="002071EC" w:rsidRPr="00721E7A">
        <w:rPr>
          <w:rFonts w:hint="cs"/>
          <w:spacing w:val="-2"/>
          <w:rtl/>
          <w:lang w:bidi="ar-EG"/>
        </w:rPr>
        <w:t>، والامتثال لقيود معينة لكثافة تدفق القدرة (</w:t>
      </w:r>
      <w:proofErr w:type="spellStart"/>
      <w:r w:rsidR="002071EC" w:rsidRPr="00721E7A">
        <w:rPr>
          <w:spacing w:val="-2"/>
          <w:lang w:bidi="ar-EG"/>
        </w:rPr>
        <w:t>pfd</w:t>
      </w:r>
      <w:proofErr w:type="spellEnd"/>
      <w:r w:rsidR="002071EC" w:rsidRPr="00721E7A">
        <w:rPr>
          <w:rFonts w:hint="cs"/>
          <w:spacing w:val="-2"/>
          <w:rtl/>
          <w:lang w:bidi="ar-EG"/>
        </w:rPr>
        <w:t>)، والعمل على أساس عدم التداخل/عدم الحماية فيما يتعلق ببعض الخدمات التي توزع إليها أيضًا نطاقات التردد المعنية. وقد ترسخت هذه الشروط، على سبيل المثال، في</w:t>
      </w:r>
      <w:r w:rsidR="00721E7A">
        <w:rPr>
          <w:rFonts w:hint="eastAsia"/>
          <w:spacing w:val="-2"/>
          <w:rtl/>
          <w:lang w:bidi="ar-EG"/>
        </w:rPr>
        <w:t> </w:t>
      </w:r>
      <w:r w:rsidR="002071EC" w:rsidRPr="00721E7A">
        <w:rPr>
          <w:rFonts w:hint="cs"/>
          <w:spacing w:val="-2"/>
          <w:rtl/>
          <w:lang w:bidi="ar-EG"/>
        </w:rPr>
        <w:t xml:space="preserve">حواشي الأرقام </w:t>
      </w:r>
      <w:r w:rsidR="003A41D2" w:rsidRPr="00721E7A">
        <w:rPr>
          <w:b/>
          <w:bCs/>
          <w:spacing w:val="-2"/>
          <w:lang w:bidi="ar-EG"/>
        </w:rPr>
        <w:t>308A.5</w:t>
      </w:r>
      <w:r w:rsidR="003A41D2" w:rsidRPr="00721E7A">
        <w:rPr>
          <w:rFonts w:hint="cs"/>
          <w:spacing w:val="-2"/>
          <w:rtl/>
          <w:lang w:bidi="ar-EG"/>
        </w:rPr>
        <w:t xml:space="preserve"> و</w:t>
      </w:r>
      <w:r w:rsidR="003A41D2" w:rsidRPr="00721E7A">
        <w:rPr>
          <w:b/>
          <w:bCs/>
          <w:spacing w:val="-2"/>
          <w:lang w:bidi="ar-EG"/>
        </w:rPr>
        <w:t>341A.5</w:t>
      </w:r>
      <w:r w:rsidR="003A41D2" w:rsidRPr="00721E7A">
        <w:rPr>
          <w:rFonts w:hint="cs"/>
          <w:spacing w:val="-2"/>
          <w:rtl/>
          <w:lang w:bidi="ar-EG"/>
        </w:rPr>
        <w:t xml:space="preserve"> و</w:t>
      </w:r>
      <w:r w:rsidR="003A41D2" w:rsidRPr="00721E7A">
        <w:rPr>
          <w:b/>
          <w:bCs/>
          <w:spacing w:val="-2"/>
          <w:lang w:bidi="ar-EG"/>
        </w:rPr>
        <w:t>346.5</w:t>
      </w:r>
      <w:r w:rsidR="003A41D2" w:rsidRPr="00721E7A">
        <w:rPr>
          <w:rFonts w:hint="cs"/>
          <w:b/>
          <w:bCs/>
          <w:spacing w:val="-2"/>
          <w:rtl/>
          <w:lang w:bidi="ar-EG"/>
        </w:rPr>
        <w:t xml:space="preserve"> </w:t>
      </w:r>
      <w:r w:rsidR="003A41D2" w:rsidRPr="00721E7A">
        <w:rPr>
          <w:rFonts w:hint="cs"/>
          <w:spacing w:val="-2"/>
          <w:rtl/>
          <w:lang w:bidi="ar-EG"/>
        </w:rPr>
        <w:t>و</w:t>
      </w:r>
      <w:r w:rsidR="003A41D2" w:rsidRPr="00721E7A">
        <w:rPr>
          <w:b/>
          <w:bCs/>
          <w:spacing w:val="-2"/>
          <w:lang w:bidi="ar-EG"/>
        </w:rPr>
        <w:t>429F.5</w:t>
      </w:r>
      <w:r w:rsidR="003A41D2" w:rsidRPr="00721E7A">
        <w:rPr>
          <w:rFonts w:hint="cs"/>
          <w:b/>
          <w:bCs/>
          <w:spacing w:val="-2"/>
          <w:rtl/>
          <w:lang w:bidi="ar-EG"/>
        </w:rPr>
        <w:t xml:space="preserve"> </w:t>
      </w:r>
      <w:r w:rsidR="004D3509" w:rsidRPr="00721E7A">
        <w:rPr>
          <w:rFonts w:hint="cs"/>
          <w:spacing w:val="-2"/>
          <w:rtl/>
          <w:lang w:bidi="ar-EG"/>
        </w:rPr>
        <w:t>و</w:t>
      </w:r>
      <w:r w:rsidR="004D3509" w:rsidRPr="00721E7A">
        <w:rPr>
          <w:b/>
          <w:bCs/>
          <w:spacing w:val="-2"/>
          <w:lang w:bidi="ar-EG"/>
        </w:rPr>
        <w:t>430A.5</w:t>
      </w:r>
      <w:r w:rsidR="004D3509" w:rsidRPr="00721E7A">
        <w:rPr>
          <w:rFonts w:hint="cs"/>
          <w:spacing w:val="-2"/>
          <w:rtl/>
          <w:lang w:bidi="ar-EG"/>
        </w:rPr>
        <w:t xml:space="preserve"> وغيرها </w:t>
      </w:r>
      <w:r w:rsidR="004D3509" w:rsidRPr="00721E7A">
        <w:rPr>
          <w:rFonts w:hint="eastAsia"/>
          <w:spacing w:val="-2"/>
          <w:rtl/>
          <w:lang w:bidi="ar-EG"/>
        </w:rPr>
        <w:t>من</w:t>
      </w:r>
      <w:r w:rsidR="004D3509" w:rsidRPr="00721E7A">
        <w:rPr>
          <w:spacing w:val="-2"/>
          <w:rtl/>
          <w:lang w:bidi="ar-EG"/>
        </w:rPr>
        <w:t xml:space="preserve"> </w:t>
      </w:r>
      <w:r w:rsidR="004D3509" w:rsidRPr="00721E7A">
        <w:rPr>
          <w:rFonts w:hint="eastAsia"/>
          <w:spacing w:val="-2"/>
          <w:rtl/>
          <w:lang w:bidi="ar-EG"/>
        </w:rPr>
        <w:t>لوائح</w:t>
      </w:r>
      <w:r w:rsidR="004D3509" w:rsidRPr="00721E7A">
        <w:rPr>
          <w:spacing w:val="-2"/>
          <w:rtl/>
          <w:lang w:bidi="ar-EG"/>
        </w:rPr>
        <w:t xml:space="preserve"> </w:t>
      </w:r>
      <w:r w:rsidR="004D3509" w:rsidRPr="00721E7A">
        <w:rPr>
          <w:rFonts w:hint="eastAsia"/>
          <w:spacing w:val="-2"/>
          <w:rtl/>
          <w:lang w:bidi="ar-EG"/>
        </w:rPr>
        <w:t>الراديو</w:t>
      </w:r>
      <w:r w:rsidR="004D3509" w:rsidRPr="00721E7A">
        <w:rPr>
          <w:spacing w:val="-2"/>
          <w:rtl/>
          <w:lang w:bidi="ar-EG"/>
        </w:rPr>
        <w:t>.</w:t>
      </w:r>
    </w:p>
    <w:p w14:paraId="5E39EB0E" w14:textId="07534520" w:rsidR="003F55B9" w:rsidRPr="001265DE" w:rsidRDefault="00830C35" w:rsidP="008B1BEA">
      <w:pPr>
        <w:pStyle w:val="enumlev1"/>
        <w:rPr>
          <w:rFonts w:ascii="Calibri" w:eastAsia="SimSun" w:hAnsi="Calibri"/>
          <w:i/>
          <w:iCs/>
          <w:spacing w:val="-2"/>
          <w:rtl/>
          <w:lang w:eastAsia="zh-CN" w:bidi="ar-EG"/>
        </w:rPr>
      </w:pPr>
      <w:r w:rsidRPr="001265DE">
        <w:rPr>
          <w:rFonts w:hint="cs"/>
          <w:rtl/>
        </w:rPr>
        <w:t>•</w:t>
      </w:r>
      <w:r w:rsidRPr="001265DE">
        <w:rPr>
          <w:rFonts w:hint="cs"/>
          <w:rtl/>
        </w:rPr>
        <w:tab/>
      </w:r>
      <w:r w:rsidR="00FA6AC9" w:rsidRPr="001265DE">
        <w:rPr>
          <w:rtl/>
        </w:rPr>
        <w:t>ل</w:t>
      </w:r>
      <w:r w:rsidR="00EC7AA0" w:rsidRPr="001265DE">
        <w:rPr>
          <w:rFonts w:hint="cs"/>
          <w:rtl/>
        </w:rPr>
        <w:t>أغراض ا</w:t>
      </w:r>
      <w:r w:rsidR="00FA6AC9" w:rsidRPr="001265DE">
        <w:rPr>
          <w:rtl/>
        </w:rPr>
        <w:t xml:space="preserve">لتحقق أثناء فحص التبليغات </w:t>
      </w:r>
      <w:r w:rsidR="00EC7AA0" w:rsidRPr="001265DE">
        <w:rPr>
          <w:rFonts w:hint="cs"/>
          <w:rtl/>
        </w:rPr>
        <w:t>ب</w:t>
      </w:r>
      <w:r w:rsidR="00FA6AC9" w:rsidRPr="001265DE">
        <w:rPr>
          <w:rtl/>
        </w:rPr>
        <w:t>محطات</w:t>
      </w:r>
      <w:r w:rsidR="00FA6AC9" w:rsidRPr="001265DE">
        <w:rPr>
          <w:rFonts w:hint="cs"/>
          <w:rtl/>
        </w:rPr>
        <w:t xml:space="preserve"> الاتصالات المتنقلة الدولية </w:t>
      </w:r>
      <w:r w:rsidR="00FA6AC9" w:rsidRPr="001265DE">
        <w:rPr>
          <w:rtl/>
        </w:rPr>
        <w:t xml:space="preserve">من </w:t>
      </w:r>
      <w:r w:rsidR="00EC7AA0" w:rsidRPr="001265DE">
        <w:rPr>
          <w:rFonts w:hint="cs"/>
          <w:rtl/>
        </w:rPr>
        <w:t>الوفاء ب</w:t>
      </w:r>
      <w:r w:rsidR="00FA6AC9" w:rsidRPr="001265DE">
        <w:rPr>
          <w:rtl/>
        </w:rPr>
        <w:t xml:space="preserve">هذه الشروط وتمييز هذه المحطات عن سائر المحطات في الخدمة المتنقلة، أدرج مكتب </w:t>
      </w:r>
      <w:r w:rsidR="00FA6AC9" w:rsidRPr="001265DE">
        <w:rPr>
          <w:rFonts w:hint="eastAsia"/>
          <w:rtl/>
        </w:rPr>
        <w:t>الاتصالات</w:t>
      </w:r>
      <w:r w:rsidR="00FA6AC9" w:rsidRPr="001265DE">
        <w:rPr>
          <w:rtl/>
        </w:rPr>
        <w:t xml:space="preserve"> </w:t>
      </w:r>
      <w:r w:rsidR="00FA6AC9" w:rsidRPr="001265DE">
        <w:rPr>
          <w:rFonts w:hint="eastAsia"/>
          <w:rtl/>
        </w:rPr>
        <w:t>الراديوية</w:t>
      </w:r>
      <w:r w:rsidR="00FA6AC9" w:rsidRPr="001265DE">
        <w:rPr>
          <w:rtl/>
        </w:rPr>
        <w:t xml:space="preserve"> </w:t>
      </w:r>
      <w:r w:rsidR="00CF3DD6">
        <w:t>(</w:t>
      </w:r>
      <w:r w:rsidR="00FA6AC9" w:rsidRPr="001265DE">
        <w:t>BR</w:t>
      </w:r>
      <w:r w:rsidR="00CF3DD6">
        <w:t>)</w:t>
      </w:r>
      <w:r w:rsidR="00FA6AC9" w:rsidRPr="001265DE">
        <w:rPr>
          <w:rFonts w:hint="cs"/>
          <w:rtl/>
        </w:rPr>
        <w:t xml:space="preserve"> </w:t>
      </w:r>
      <w:r w:rsidR="00FA6AC9" w:rsidRPr="001265DE">
        <w:rPr>
          <w:rtl/>
        </w:rPr>
        <w:t>رمزاً جديداً بشأن طبيعة الخدمة على النحو التالي</w:t>
      </w:r>
      <w:r w:rsidR="00747E34" w:rsidRPr="001265DE">
        <w:rPr>
          <w:rFonts w:hint="cs"/>
          <w:rtl/>
        </w:rPr>
        <w:t xml:space="preserve">: </w:t>
      </w:r>
      <w:r w:rsidR="003F55B9" w:rsidRPr="001265DE">
        <w:rPr>
          <w:rFonts w:ascii="Calibri" w:eastAsia="SimSun" w:hAnsi="Calibri"/>
          <w:b/>
          <w:bCs/>
          <w:i/>
          <w:iCs/>
          <w:spacing w:val="-2"/>
          <w:lang w:eastAsia="zh-CN"/>
        </w:rPr>
        <w:t>IM</w:t>
      </w:r>
      <w:r w:rsidR="003F55B9" w:rsidRPr="001265DE">
        <w:rPr>
          <w:rFonts w:ascii="Calibri" w:eastAsia="SimSun" w:hAnsi="Calibri" w:hint="cs"/>
          <w:i/>
          <w:iCs/>
          <w:spacing w:val="-2"/>
          <w:rtl/>
          <w:lang w:eastAsia="zh-CN" w:bidi="ar-EG"/>
        </w:rPr>
        <w:t xml:space="preserve"> - </w:t>
      </w:r>
      <w:proofErr w:type="spellStart"/>
      <w:r w:rsidR="003F55B9" w:rsidRPr="001265DE">
        <w:rPr>
          <w:rFonts w:ascii="Calibri" w:eastAsia="SimSun" w:hAnsi="Calibri" w:hint="cs"/>
          <w:i/>
          <w:iCs/>
          <w:spacing w:val="-2"/>
          <w:rtl/>
          <w:lang w:eastAsia="zh-CN" w:bidi="ar-EG"/>
        </w:rPr>
        <w:t>م‍حطة</w:t>
      </w:r>
      <w:proofErr w:type="spellEnd"/>
      <w:r w:rsidR="003F55B9" w:rsidRPr="001265DE">
        <w:rPr>
          <w:rFonts w:ascii="Calibri" w:eastAsia="SimSun" w:hAnsi="Calibri" w:hint="cs"/>
          <w:i/>
          <w:iCs/>
          <w:spacing w:val="-2"/>
          <w:rtl/>
          <w:lang w:eastAsia="zh-CN" w:bidi="ar-EG"/>
        </w:rPr>
        <w:t xml:space="preserve"> للاتصالات </w:t>
      </w:r>
      <w:proofErr w:type="spellStart"/>
      <w:r w:rsidR="003F55B9" w:rsidRPr="001265DE">
        <w:rPr>
          <w:rFonts w:ascii="Calibri" w:eastAsia="SimSun" w:hAnsi="Calibri" w:hint="cs"/>
          <w:i/>
          <w:iCs/>
          <w:spacing w:val="-2"/>
          <w:rtl/>
          <w:lang w:eastAsia="zh-CN" w:bidi="ar-EG"/>
        </w:rPr>
        <w:t>ال‍متنقلة</w:t>
      </w:r>
      <w:proofErr w:type="spellEnd"/>
      <w:r w:rsidR="003F55B9" w:rsidRPr="001265DE">
        <w:rPr>
          <w:rFonts w:ascii="Calibri" w:eastAsia="SimSun" w:hAnsi="Calibri" w:hint="cs"/>
          <w:i/>
          <w:iCs/>
          <w:spacing w:val="-2"/>
          <w:rtl/>
          <w:lang w:eastAsia="zh-CN" w:bidi="ar-EG"/>
        </w:rPr>
        <w:t xml:space="preserve"> الدولية في </w:t>
      </w:r>
      <w:proofErr w:type="spellStart"/>
      <w:r w:rsidR="003F55B9" w:rsidRPr="001265DE">
        <w:rPr>
          <w:rFonts w:ascii="Calibri" w:eastAsia="SimSun" w:hAnsi="Calibri" w:hint="cs"/>
          <w:i/>
          <w:iCs/>
          <w:spacing w:val="-2"/>
          <w:rtl/>
          <w:lang w:eastAsia="zh-CN" w:bidi="ar-EG"/>
        </w:rPr>
        <w:t>ال‍خدمة</w:t>
      </w:r>
      <w:proofErr w:type="spellEnd"/>
      <w:r w:rsidR="003F55B9" w:rsidRPr="001265DE">
        <w:rPr>
          <w:rFonts w:ascii="Calibri" w:eastAsia="SimSun" w:hAnsi="Calibri" w:hint="cs"/>
          <w:i/>
          <w:iCs/>
          <w:spacing w:val="-2"/>
          <w:rtl/>
          <w:lang w:eastAsia="zh-CN" w:bidi="ar-EG"/>
        </w:rPr>
        <w:t xml:space="preserve"> </w:t>
      </w:r>
      <w:proofErr w:type="spellStart"/>
      <w:r w:rsidR="003F55B9" w:rsidRPr="001265DE">
        <w:rPr>
          <w:rFonts w:ascii="Calibri" w:eastAsia="SimSun" w:hAnsi="Calibri" w:hint="cs"/>
          <w:i/>
          <w:iCs/>
          <w:spacing w:val="-2"/>
          <w:rtl/>
          <w:lang w:eastAsia="zh-CN" w:bidi="ar-EG"/>
        </w:rPr>
        <w:t>ال‍متنقلة</w:t>
      </w:r>
      <w:proofErr w:type="spellEnd"/>
      <w:r w:rsidR="008B1BEA" w:rsidRPr="001265DE">
        <w:rPr>
          <w:rFonts w:ascii="Calibri" w:eastAsia="SimSun" w:hAnsi="Calibri" w:hint="cs"/>
          <w:spacing w:val="-2"/>
          <w:rtl/>
          <w:lang w:eastAsia="zh-CN" w:bidi="ar-EG"/>
        </w:rPr>
        <w:t xml:space="preserve">، </w:t>
      </w:r>
      <w:r w:rsidR="008B1BEA" w:rsidRPr="001265DE">
        <w:rPr>
          <w:rFonts w:ascii="Calibri" w:eastAsia="SimSun" w:hAnsi="Calibri"/>
          <w:spacing w:val="-2"/>
          <w:rtl/>
          <w:lang w:eastAsia="zh-CN"/>
        </w:rPr>
        <w:t>وأحاط الإدارات علماً بهذا الرمز الجديد بالرسالة المعممة</w:t>
      </w:r>
      <w:r w:rsidR="008B1BEA" w:rsidRPr="001265DE">
        <w:rPr>
          <w:rFonts w:ascii="Calibri" w:eastAsia="SimSun" w:hAnsi="Calibri"/>
          <w:spacing w:val="-2"/>
          <w:lang w:eastAsia="zh-CN" w:bidi="ar-EG"/>
        </w:rPr>
        <w:t xml:space="preserve"> </w:t>
      </w:r>
      <w:r w:rsidR="008B1BEA" w:rsidRPr="00102B45">
        <w:rPr>
          <w:rFonts w:asciiTheme="majorBidi" w:eastAsia="SimSun" w:hAnsiTheme="majorBidi" w:cstheme="majorBidi"/>
          <w:spacing w:val="-2"/>
          <w:lang w:eastAsia="zh-CN" w:bidi="ar-EG"/>
        </w:rPr>
        <w:t>CR/391</w:t>
      </w:r>
      <w:r w:rsidR="008B1BEA" w:rsidRPr="001265DE">
        <w:rPr>
          <w:rFonts w:ascii="Calibri" w:eastAsia="SimSun" w:hAnsi="Calibri"/>
          <w:spacing w:val="-2"/>
          <w:lang w:eastAsia="zh-CN" w:bidi="ar-EG"/>
        </w:rPr>
        <w:t xml:space="preserve"> </w:t>
      </w:r>
      <w:r w:rsidR="008B1BEA" w:rsidRPr="001265DE">
        <w:rPr>
          <w:rFonts w:ascii="Calibri" w:eastAsia="SimSun" w:hAnsi="Calibri"/>
          <w:spacing w:val="-2"/>
          <w:rtl/>
          <w:lang w:eastAsia="zh-CN"/>
        </w:rPr>
        <w:t xml:space="preserve">المؤرخة </w:t>
      </w:r>
      <w:r w:rsidR="00122559" w:rsidRPr="00102B45">
        <w:rPr>
          <w:spacing w:val="-2"/>
        </w:rPr>
        <w:t>26</w:t>
      </w:r>
      <w:r w:rsidR="008B1BEA" w:rsidRPr="00102B45">
        <w:rPr>
          <w:spacing w:val="-2"/>
          <w:rtl/>
        </w:rPr>
        <w:t xml:space="preserve"> فبراير</w:t>
      </w:r>
      <w:r w:rsidR="00E14B7F">
        <w:rPr>
          <w:rFonts w:hint="cs"/>
          <w:spacing w:val="-2"/>
          <w:rtl/>
        </w:rPr>
        <w:t xml:space="preserve"> </w:t>
      </w:r>
      <w:r w:rsidR="00E14B7F">
        <w:rPr>
          <w:spacing w:val="-2"/>
        </w:rPr>
        <w:t>2016</w:t>
      </w:r>
      <w:r w:rsidR="00E14B7F">
        <w:rPr>
          <w:rFonts w:hint="cs"/>
          <w:spacing w:val="-2"/>
          <w:rtl/>
        </w:rPr>
        <w:t>.</w:t>
      </w:r>
    </w:p>
    <w:p w14:paraId="67D6EFCA" w14:textId="01EF6122" w:rsidR="00830C35" w:rsidRPr="001265DE" w:rsidRDefault="00830C35" w:rsidP="003F55B9">
      <w:pPr>
        <w:pStyle w:val="enumlev1"/>
        <w:rPr>
          <w:rtl/>
          <w:lang w:bidi="ar-EG"/>
        </w:rPr>
      </w:pPr>
      <w:r w:rsidRPr="001265DE">
        <w:rPr>
          <w:rFonts w:hint="cs"/>
          <w:rtl/>
        </w:rPr>
        <w:lastRenderedPageBreak/>
        <w:t>•</w:t>
      </w:r>
      <w:r w:rsidRPr="001265DE">
        <w:rPr>
          <w:rFonts w:hint="cs"/>
          <w:rtl/>
        </w:rPr>
        <w:tab/>
      </w:r>
      <w:r w:rsidR="006E78C0" w:rsidRPr="001265DE">
        <w:rPr>
          <w:rFonts w:hint="cs"/>
          <w:rtl/>
        </w:rPr>
        <w:t xml:space="preserve">بعد نشر الرسالة المعممة، استلم المكتب </w:t>
      </w:r>
      <w:r w:rsidR="00130ADE" w:rsidRPr="001265DE">
        <w:rPr>
          <w:rFonts w:hint="cs"/>
          <w:rtl/>
        </w:rPr>
        <w:t xml:space="preserve">أسئلة عما إذا كان يمكن التبليغ بمحطات الاتصالات المتنقلة الدولية التي تحمل الرمز </w:t>
      </w:r>
      <w:r w:rsidR="00130ADE" w:rsidRPr="001265DE">
        <w:t>IM</w:t>
      </w:r>
      <w:r w:rsidR="00130ADE" w:rsidRPr="001265DE">
        <w:rPr>
          <w:rFonts w:hint="cs"/>
          <w:rtl/>
          <w:lang w:bidi="ar-EG"/>
        </w:rPr>
        <w:t xml:space="preserve"> في النطاقات الموزعة للخدمة المتنقلة ولكنها غير محددة للاتصالات المتنقلة الدولية. ونظرًا </w:t>
      </w:r>
      <w:r w:rsidR="008025C9" w:rsidRPr="001265DE">
        <w:rPr>
          <w:rFonts w:hint="cs"/>
          <w:rtl/>
          <w:lang w:bidi="ar-EG"/>
        </w:rPr>
        <w:t xml:space="preserve">لافتقار لوائح الراديو إلى أي أحكام تقصر استخدام محطات الاتصالات المتنقلة الدولية على النطاقات المحددة خصيصًا للاتصالات المتنقلة الدولية، سيقبل </w:t>
      </w:r>
      <w:r w:rsidR="008025C9" w:rsidRPr="001265DE">
        <w:rPr>
          <w:rFonts w:hint="eastAsia"/>
          <w:rtl/>
          <w:lang w:bidi="ar-EG"/>
        </w:rPr>
        <w:t>المكتب</w:t>
      </w:r>
      <w:r w:rsidR="008025C9" w:rsidRPr="001265DE">
        <w:rPr>
          <w:rFonts w:hint="cs"/>
          <w:rtl/>
          <w:lang w:bidi="ar-EG"/>
        </w:rPr>
        <w:t xml:space="preserve"> الإحاطة </w:t>
      </w:r>
      <w:r w:rsidR="004C2DB8" w:rsidRPr="001265DE">
        <w:rPr>
          <w:rFonts w:hint="cs"/>
          <w:rtl/>
          <w:lang w:bidi="ar-EG"/>
        </w:rPr>
        <w:t>بمحطات الاتصالات المتنقلة الدولية في النطاقات غير المحددة للاتصالات المتنقلة الدولية.</w:t>
      </w:r>
    </w:p>
    <w:p w14:paraId="528A14A3" w14:textId="5E675BF4" w:rsidR="00830C35" w:rsidRPr="001265DE" w:rsidRDefault="004C2DB8" w:rsidP="00830C35">
      <w:pPr>
        <w:rPr>
          <w:rtl/>
          <w:lang w:bidi="ar-EG"/>
        </w:rPr>
      </w:pPr>
      <w:r w:rsidRPr="001265DE">
        <w:rPr>
          <w:rFonts w:hint="cs"/>
          <w:rtl/>
        </w:rPr>
        <w:t xml:space="preserve">ومن ثم، يتوقع </w:t>
      </w:r>
      <w:r w:rsidR="00E04A93" w:rsidRPr="001265DE">
        <w:rPr>
          <w:rFonts w:hint="cs"/>
          <w:rtl/>
          <w:lang w:bidi="ar-EG"/>
        </w:rPr>
        <w:t>أن يرغب المؤتمر في النظر في هذه المسألة ويتخذ أي إجراء يراه ملائمًا.</w:t>
      </w:r>
    </w:p>
    <w:p w14:paraId="60CF6D63" w14:textId="41D42BE6" w:rsidR="007B65D9" w:rsidRPr="001265DE" w:rsidRDefault="00E04A93" w:rsidP="007B65D9">
      <w:pPr>
        <w:rPr>
          <w:rtl/>
          <w:lang w:bidi="ar-EG"/>
        </w:rPr>
      </w:pPr>
      <w:r w:rsidRPr="001265DE">
        <w:rPr>
          <w:rFonts w:hint="cs"/>
          <w:rtl/>
          <w:lang w:bidi="ar-EG"/>
        </w:rPr>
        <w:t xml:space="preserve">وقد فحصت إدارات الكومونولث الإقليمي في مجال الاتصالات المسألة وتلاحظ أن في حالة قبول </w:t>
      </w:r>
      <w:r w:rsidRPr="001265DE">
        <w:rPr>
          <w:rFonts w:hint="eastAsia"/>
          <w:rtl/>
          <w:lang w:bidi="ar-EG"/>
        </w:rPr>
        <w:t>المكتب</w:t>
      </w:r>
      <w:r w:rsidR="00616498" w:rsidRPr="001265DE">
        <w:rPr>
          <w:rFonts w:hint="cs"/>
          <w:rtl/>
          <w:lang w:bidi="ar-EG"/>
        </w:rPr>
        <w:t xml:space="preserve"> تبليغ محطات الاتصالات المتنقلة الدولية في النطاقات غير المحددة للاتصالات المتنقلة الدولية، </w:t>
      </w:r>
      <w:r w:rsidR="00E52BA0" w:rsidRPr="001265DE">
        <w:rPr>
          <w:rFonts w:hint="cs"/>
          <w:rtl/>
          <w:lang w:bidi="ar-EG"/>
        </w:rPr>
        <w:t xml:space="preserve">لن يتحقق المكتب من </w:t>
      </w:r>
      <w:r w:rsidR="00616498" w:rsidRPr="001265DE">
        <w:rPr>
          <w:rFonts w:hint="cs"/>
          <w:rtl/>
          <w:lang w:bidi="ar-EG"/>
        </w:rPr>
        <w:t xml:space="preserve">المتطلبات التقنية والتنظيمية السارية على محطات </w:t>
      </w:r>
      <w:r w:rsidR="002F2C1A" w:rsidRPr="001265DE">
        <w:rPr>
          <w:rFonts w:hint="cs"/>
          <w:rtl/>
          <w:lang w:bidi="ar-EG"/>
        </w:rPr>
        <w:t xml:space="preserve">الاتصالات المتنقلة الدولية، حسب المبين في لوائح الراديو </w:t>
      </w:r>
      <w:r w:rsidR="00BF2DE9" w:rsidRPr="001265DE">
        <w:rPr>
          <w:rFonts w:hint="cs"/>
          <w:rtl/>
          <w:lang w:bidi="ar-EG"/>
        </w:rPr>
        <w:t>في نطاقات التردد المقابلة</w:t>
      </w:r>
      <w:r w:rsidR="00E52BA0" w:rsidRPr="001265DE">
        <w:rPr>
          <w:rFonts w:hint="cs"/>
          <w:rtl/>
          <w:lang w:bidi="ar-EG"/>
        </w:rPr>
        <w:t xml:space="preserve">. وينطوي هذا على خطر التداخل غير المتعمد. وهذا موقف ينبع من غياب </w:t>
      </w:r>
      <w:r w:rsidR="007B65D9" w:rsidRPr="001265DE">
        <w:rPr>
          <w:rFonts w:hint="cs"/>
          <w:rtl/>
          <w:lang w:bidi="ar-EG"/>
        </w:rPr>
        <w:t xml:space="preserve">أحكام ضرورية في القواعد الإجرائية من شأنها أن تحدد الإجراءات التي يتعين أن يتخذها المكتب بعد </w:t>
      </w:r>
      <w:r w:rsidR="004C1398" w:rsidRPr="001265DE">
        <w:rPr>
          <w:rFonts w:hint="cs"/>
          <w:rtl/>
          <w:lang w:bidi="ar-EG"/>
        </w:rPr>
        <w:t>ال</w:t>
      </w:r>
      <w:r w:rsidR="007B65D9" w:rsidRPr="001265DE">
        <w:rPr>
          <w:rFonts w:hint="cs"/>
          <w:rtl/>
          <w:lang w:bidi="ar-EG"/>
        </w:rPr>
        <w:t xml:space="preserve">تبليغ </w:t>
      </w:r>
      <w:r w:rsidR="004C1398" w:rsidRPr="001265DE">
        <w:rPr>
          <w:rFonts w:hint="cs"/>
          <w:rtl/>
          <w:lang w:bidi="ar-EG"/>
        </w:rPr>
        <w:t>ب</w:t>
      </w:r>
      <w:r w:rsidR="007B65D9" w:rsidRPr="001265DE">
        <w:rPr>
          <w:rFonts w:hint="cs"/>
          <w:rtl/>
          <w:lang w:bidi="ar-EG"/>
        </w:rPr>
        <w:t>محطات الاتصالات المتنقلة الدولية</w:t>
      </w:r>
      <w:r w:rsidR="004C1398" w:rsidRPr="001265DE">
        <w:rPr>
          <w:rFonts w:hint="cs"/>
          <w:rtl/>
          <w:lang w:bidi="ar-EG"/>
        </w:rPr>
        <w:t xml:space="preserve"> من بلد و/أو في نطاق تردد يخلو من تحديد للاتصالات المتنقلة الدولية، على الرغم من وجود توزيع للخدمة المتنقلة.</w:t>
      </w:r>
    </w:p>
    <w:p w14:paraId="1E90DA26" w14:textId="562CE48D" w:rsidR="004C1398" w:rsidRPr="001265DE" w:rsidRDefault="004C1398" w:rsidP="007B65D9">
      <w:pPr>
        <w:rPr>
          <w:rtl/>
          <w:lang w:bidi="ar-EG"/>
        </w:rPr>
      </w:pPr>
      <w:r w:rsidRPr="001265DE">
        <w:rPr>
          <w:rFonts w:hint="cs"/>
          <w:rtl/>
          <w:lang w:bidi="ar-EG"/>
        </w:rPr>
        <w:t>وترى إدارات الكومونولث الإقليمي في مجال الاتصالات أن حل المسألة يدعو إلى دراسات وإلى وضع أحكام تنظيمية ملائمة لتسري على محطات الاتصالات المتنقلة الدولية المبلغ بها في نطاقات التردد غير المحددة للاتصالات المتنقلة الدولية ولكن حيث يوجد توزيع للخدمة المتنقلة.</w:t>
      </w:r>
    </w:p>
    <w:p w14:paraId="1348CD31" w14:textId="4F7CFD90" w:rsidR="004C1398" w:rsidRPr="001265DE" w:rsidRDefault="00D23BDB" w:rsidP="007B65D9">
      <w:pPr>
        <w:rPr>
          <w:rtl/>
          <w:lang w:bidi="ar-EG"/>
        </w:rPr>
      </w:pPr>
      <w:r w:rsidRPr="001265DE">
        <w:rPr>
          <w:rFonts w:hint="cs"/>
          <w:rtl/>
          <w:lang w:bidi="ar-EG"/>
        </w:rPr>
        <w:t>وتعتبر إدارات الكومونولث الإقليمي في مجال الاتصالات ما يلي خيارات ممكنة لحل المسألة (هذه القائمة ليست شاملة):</w:t>
      </w:r>
    </w:p>
    <w:p w14:paraId="6735FE0A" w14:textId="5D00CD4D" w:rsidR="003F55B9" w:rsidRPr="001265DE" w:rsidRDefault="00830C35" w:rsidP="003F55B9">
      <w:pPr>
        <w:pStyle w:val="enumlev1"/>
        <w:rPr>
          <w:rFonts w:eastAsia="SimSun"/>
          <w:rtl/>
          <w:lang w:val="en-GB" w:eastAsia="zh-CN" w:bidi="ar-EG"/>
        </w:rPr>
      </w:pPr>
      <w:r w:rsidRPr="001265DE">
        <w:t>1</w:t>
      </w:r>
      <w:r w:rsidRPr="001265DE">
        <w:rPr>
          <w:rtl/>
        </w:rPr>
        <w:tab/>
      </w:r>
      <w:r w:rsidR="00D23BDB" w:rsidRPr="001265DE">
        <w:rPr>
          <w:rFonts w:hint="cs"/>
          <w:rtl/>
        </w:rPr>
        <w:t>وضع واعتماد حكم</w:t>
      </w:r>
      <w:r w:rsidR="000470C1" w:rsidRPr="001265DE">
        <w:rPr>
          <w:rFonts w:hint="cs"/>
          <w:rtl/>
        </w:rPr>
        <w:t xml:space="preserve"> خاص بمحطات الاتصالات المتنقلة الدولية، في المؤتمر العالمي للاتصالات الراديوية، </w:t>
      </w:r>
      <w:r w:rsidR="00D23BDB" w:rsidRPr="001265DE">
        <w:rPr>
          <w:rFonts w:hint="cs"/>
          <w:rtl/>
        </w:rPr>
        <w:t>مشابه للرقم</w:t>
      </w:r>
      <w:r w:rsidR="005F5533">
        <w:rPr>
          <w:rFonts w:hint="eastAsia"/>
          <w:rtl/>
        </w:rPr>
        <w:t> </w:t>
      </w:r>
      <w:r w:rsidR="00D23BDB" w:rsidRPr="001265DE">
        <w:rPr>
          <w:b/>
          <w:bCs/>
        </w:rPr>
        <w:t>23.4</w:t>
      </w:r>
      <w:r w:rsidR="009054B8" w:rsidRPr="001265DE">
        <w:rPr>
          <w:rFonts w:hint="cs"/>
          <w:b/>
          <w:bCs/>
          <w:rtl/>
        </w:rPr>
        <w:t xml:space="preserve"> </w:t>
      </w:r>
      <w:r w:rsidR="009054B8" w:rsidRPr="001265DE">
        <w:rPr>
          <w:rFonts w:hint="cs"/>
          <w:rtl/>
        </w:rPr>
        <w:t xml:space="preserve">من لوائح الراديو المعني بمحطات المنصات عالية الارتفاع </w:t>
      </w:r>
      <w:r w:rsidR="000470C1" w:rsidRPr="001265DE">
        <w:rPr>
          <w:rFonts w:hint="cs"/>
          <w:rtl/>
        </w:rPr>
        <w:t>يستبعد التبليغ بمحطات المنصات عالية الارتفاع في نطاقات التردد غير المحددة لها.</w:t>
      </w:r>
    </w:p>
    <w:p w14:paraId="3587A132" w14:textId="2F3FD48E" w:rsidR="006F4F3C" w:rsidRPr="001265DE" w:rsidRDefault="00830C35" w:rsidP="006F4F3C">
      <w:pPr>
        <w:pStyle w:val="enumlev1"/>
      </w:pPr>
      <w:r w:rsidRPr="001265DE">
        <w:t>2</w:t>
      </w:r>
      <w:r w:rsidRPr="001265DE">
        <w:tab/>
      </w:r>
      <w:r w:rsidR="000470C1" w:rsidRPr="001265DE">
        <w:rPr>
          <w:rFonts w:hint="cs"/>
          <w:rtl/>
        </w:rPr>
        <w:t>الاعتراف بالاتصالات المتنقلة الدولية كخدمة راديو</w:t>
      </w:r>
      <w:r w:rsidR="006F4F3C" w:rsidRPr="001265DE">
        <w:rPr>
          <w:rFonts w:hint="cs"/>
          <w:rtl/>
        </w:rPr>
        <w:t>ية</w:t>
      </w:r>
      <w:r w:rsidR="000470C1" w:rsidRPr="001265DE">
        <w:rPr>
          <w:rFonts w:hint="cs"/>
          <w:rtl/>
        </w:rPr>
        <w:t xml:space="preserve"> </w:t>
      </w:r>
      <w:r w:rsidR="006F4F3C" w:rsidRPr="001265DE">
        <w:rPr>
          <w:rFonts w:hint="cs"/>
          <w:rtl/>
        </w:rPr>
        <w:t>منفصلة وتضمين لوائح الراديو التعريف المقابل لخدمة راديوية جديدة، مع ما يعقب ذلك من تحويل عبارة "تحديد نطاقات التردد للاتصالات المتنقلة الدولية" إلى "توزيع نطاقات التردد لخدمة الاتصالات المتنقلة الدولية".</w:t>
      </w:r>
    </w:p>
    <w:p w14:paraId="0C9C51B2" w14:textId="199174CE" w:rsidR="003F55B9" w:rsidRPr="001265DE" w:rsidRDefault="003F55B9" w:rsidP="003F55B9">
      <w:pPr>
        <w:pStyle w:val="enumlev1"/>
      </w:pPr>
      <w:r w:rsidRPr="001265DE">
        <w:t>3</w:t>
      </w:r>
      <w:r w:rsidRPr="001265DE">
        <w:tab/>
      </w:r>
      <w:r w:rsidR="006F4F3C" w:rsidRPr="001265DE">
        <w:rPr>
          <w:rFonts w:hint="cs"/>
          <w:rtl/>
        </w:rPr>
        <w:t xml:space="preserve">إلغاء الأحكام المتعلقة بتحديد نطاقات التردد للاتصالات المتنقلة الدولية </w:t>
      </w:r>
      <w:r w:rsidR="00BE590B" w:rsidRPr="001265DE">
        <w:rPr>
          <w:rFonts w:hint="cs"/>
          <w:rtl/>
        </w:rPr>
        <w:t xml:space="preserve">من </w:t>
      </w:r>
      <w:r w:rsidR="00BE590B" w:rsidRPr="001265DE">
        <w:rPr>
          <w:rFonts w:hint="eastAsia"/>
          <w:rtl/>
        </w:rPr>
        <w:t>لوائح</w:t>
      </w:r>
      <w:r w:rsidR="00BE590B" w:rsidRPr="001265DE">
        <w:rPr>
          <w:rtl/>
        </w:rPr>
        <w:t xml:space="preserve"> </w:t>
      </w:r>
      <w:r w:rsidR="00BE590B" w:rsidRPr="001265DE">
        <w:rPr>
          <w:rFonts w:hint="eastAsia"/>
          <w:rtl/>
        </w:rPr>
        <w:t>الراديو</w:t>
      </w:r>
      <w:r w:rsidR="00BE590B" w:rsidRPr="001265DE">
        <w:rPr>
          <w:rFonts w:hint="cs"/>
          <w:rtl/>
        </w:rPr>
        <w:t xml:space="preserve"> ونقل الأحكام المقابلة في</w:t>
      </w:r>
      <w:r w:rsidR="00B579DB">
        <w:rPr>
          <w:rFonts w:hint="eastAsia"/>
          <w:rtl/>
        </w:rPr>
        <w:t> </w:t>
      </w:r>
      <w:r w:rsidR="00BE590B" w:rsidRPr="001265DE">
        <w:rPr>
          <w:rFonts w:hint="cs"/>
          <w:rtl/>
        </w:rPr>
        <w:t>لوائح الراديو إلى توصيات/قرارات المؤتمر العالمي للاتصالات الراديوية أو إلى توصيات قطاع الاتصالات الراديوية.</w:t>
      </w:r>
    </w:p>
    <w:p w14:paraId="3C6FC172" w14:textId="32FC006A" w:rsidR="003F55B9" w:rsidRPr="001265DE" w:rsidRDefault="003F55B9" w:rsidP="003F55B9">
      <w:pPr>
        <w:pStyle w:val="enumlev1"/>
        <w:rPr>
          <w:lang w:bidi="ar-EG"/>
        </w:rPr>
      </w:pPr>
      <w:r w:rsidRPr="001265DE">
        <w:t>4</w:t>
      </w:r>
      <w:r w:rsidRPr="001265DE">
        <w:tab/>
      </w:r>
      <w:r w:rsidR="00BE590B" w:rsidRPr="001265DE">
        <w:rPr>
          <w:rFonts w:hint="cs"/>
          <w:rtl/>
        </w:rPr>
        <w:t xml:space="preserve">وضع واعتماد قرار جديد للمؤتمر العالمي للاتصالات الراديوية </w:t>
      </w:r>
      <w:r w:rsidR="002E538E" w:rsidRPr="001265DE">
        <w:rPr>
          <w:rFonts w:hint="cs"/>
          <w:rtl/>
        </w:rPr>
        <w:t>يضع على عاتق مكتب الاتصالات الراديوية مسؤولية مراعاة شروط التقاسم بين الخدمات الراديوية في نطاقات التردد المشار إليها في الحواشي المقابلة. (فيما يلي نموذج بإجراء ممكن:</w:t>
      </w:r>
    </w:p>
    <w:p w14:paraId="6390934C" w14:textId="75125B87" w:rsidR="003F55B9" w:rsidRPr="001265DE" w:rsidRDefault="003F55B9" w:rsidP="003F55B9">
      <w:pPr>
        <w:pStyle w:val="enumlev2"/>
        <w:rPr>
          <w:lang w:bidi="ar-EG"/>
        </w:rPr>
      </w:pPr>
      <w:r w:rsidRPr="001265DE">
        <w:rPr>
          <w:rFonts w:hint="cs"/>
          <w:rtl/>
        </w:rPr>
        <w:t>-</w:t>
      </w:r>
      <w:r w:rsidRPr="001265DE">
        <w:rPr>
          <w:rtl/>
        </w:rPr>
        <w:tab/>
      </w:r>
      <w:r w:rsidR="00F11E2A" w:rsidRPr="001265DE">
        <w:rPr>
          <w:rFonts w:hint="cs"/>
          <w:rtl/>
        </w:rPr>
        <w:t>في حالة غياب أي إحالة إلى بلد معني في الحاشية ذات الصلة بشأن تحديد نطاق التردد للاتصالات المتنقلة الدولية، ينبغي أن ينطوي فحص تبليغ الإدارة بمحطة اتصالات متنقلة دولية على تطبيق بعض الشروط من أجل تقاسم الخدمات الراديوية كما للبلدان التي تتمتع بتحديد.</w:t>
      </w:r>
    </w:p>
    <w:p w14:paraId="1D17B1CE" w14:textId="65EDD374" w:rsidR="00830C35" w:rsidRPr="001265DE" w:rsidRDefault="003F55B9" w:rsidP="003F55B9">
      <w:pPr>
        <w:pStyle w:val="enumlev2"/>
        <w:rPr>
          <w:rtl/>
          <w:lang w:val="en-GB" w:bidi="ar-EG"/>
        </w:rPr>
      </w:pPr>
      <w:r w:rsidRPr="001265DE">
        <w:rPr>
          <w:rFonts w:hint="cs"/>
          <w:rtl/>
        </w:rPr>
        <w:t>-</w:t>
      </w:r>
      <w:r w:rsidRPr="001265DE">
        <w:rPr>
          <w:rtl/>
        </w:rPr>
        <w:tab/>
      </w:r>
      <w:r w:rsidR="00770727" w:rsidRPr="001265DE">
        <w:rPr>
          <w:rFonts w:hint="cs"/>
          <w:rtl/>
        </w:rPr>
        <w:t xml:space="preserve">في حالة غياب أي تحديد لنطاق تردد من أجل الخدمة المتنقلة للاتصالات المتنقلة الدولية في جميع البلدان، ينبغي على المكتب </w:t>
      </w:r>
      <w:r w:rsidR="00770727" w:rsidRPr="001265DE">
        <w:rPr>
          <w:rFonts w:hint="cs"/>
          <w:rtl/>
          <w:lang w:val="en-GB" w:bidi="ar-EG"/>
        </w:rPr>
        <w:t>أن يمنح تبليغات تسجيل محطات الاتصالات المتنقلة الدولية في نطاقات التردد تلك نتيجة غير مواتية.)</w:t>
      </w:r>
    </w:p>
    <w:p w14:paraId="3228F0D2" w14:textId="46D0380B" w:rsidR="0012545F" w:rsidRPr="001265DE" w:rsidRDefault="006C36FA" w:rsidP="00355425">
      <w:pPr>
        <w:rPr>
          <w:lang w:bidi="ar-EG"/>
        </w:rPr>
      </w:pPr>
      <w:r w:rsidRPr="001265DE">
        <w:rPr>
          <w:rFonts w:hint="cs"/>
          <w:rtl/>
          <w:lang w:val="en-GB" w:bidi="ar-EG"/>
        </w:rPr>
        <w:t xml:space="preserve">ولأغراض اختيار أحد الخيارات أعلاه، ثمة حاجة إلى إجراء دراسات لتقييم العواقب المحتملة لتطبيق كل خيار، متبوعة بوضع توصيات للمؤتمر العالمي للاتصالات الراديوية لعام </w:t>
      </w:r>
      <w:r w:rsidRPr="001265DE">
        <w:rPr>
          <w:lang w:bidi="ar-EG"/>
        </w:rPr>
        <w:t>2023</w:t>
      </w:r>
      <w:r w:rsidRPr="001265DE">
        <w:rPr>
          <w:rFonts w:hint="cs"/>
          <w:rtl/>
          <w:lang w:bidi="ar-EG"/>
        </w:rPr>
        <w:t xml:space="preserve"> (</w:t>
      </w:r>
      <w:r w:rsidRPr="001265DE">
        <w:rPr>
          <w:lang w:bidi="ar-EG"/>
        </w:rPr>
        <w:t>WRC-23</w:t>
      </w:r>
      <w:r w:rsidRPr="001265DE">
        <w:rPr>
          <w:rFonts w:hint="cs"/>
          <w:rtl/>
          <w:lang w:bidi="ar-EG"/>
        </w:rPr>
        <w:t xml:space="preserve">) بشأن اختيار الخيار الأكثر </w:t>
      </w:r>
      <w:r w:rsidR="00B34498" w:rsidRPr="001265DE">
        <w:rPr>
          <w:rFonts w:hint="cs"/>
          <w:rtl/>
          <w:lang w:bidi="ar-EG"/>
        </w:rPr>
        <w:t>فعالية</w:t>
      </w:r>
      <w:r w:rsidRPr="001265DE">
        <w:rPr>
          <w:rFonts w:hint="cs"/>
          <w:rtl/>
          <w:lang w:bidi="ar-EG"/>
        </w:rPr>
        <w:t xml:space="preserve"> و</w:t>
      </w:r>
      <w:r w:rsidR="00355425" w:rsidRPr="001265DE">
        <w:rPr>
          <w:rFonts w:hint="cs"/>
          <w:rtl/>
          <w:lang w:bidi="ar-EG"/>
        </w:rPr>
        <w:t xml:space="preserve">إجراءات تنفيذه من خلال تعديل </w:t>
      </w:r>
      <w:r w:rsidR="00355425" w:rsidRPr="001265DE">
        <w:rPr>
          <w:rFonts w:hint="eastAsia"/>
          <w:rtl/>
          <w:lang w:bidi="ar-EG"/>
        </w:rPr>
        <w:t>لوائح</w:t>
      </w:r>
      <w:r w:rsidR="00355425" w:rsidRPr="001265DE">
        <w:rPr>
          <w:rtl/>
          <w:lang w:bidi="ar-EG"/>
        </w:rPr>
        <w:t xml:space="preserve"> </w:t>
      </w:r>
      <w:r w:rsidR="00355425" w:rsidRPr="001265DE">
        <w:rPr>
          <w:rFonts w:hint="eastAsia"/>
          <w:rtl/>
          <w:lang w:bidi="ar-EG"/>
        </w:rPr>
        <w:t>الراديو</w:t>
      </w:r>
      <w:r w:rsidR="00355425" w:rsidRPr="001265DE">
        <w:rPr>
          <w:rFonts w:hint="cs"/>
          <w:rtl/>
          <w:lang w:bidi="ar-EG"/>
        </w:rPr>
        <w:t>.</w:t>
      </w:r>
    </w:p>
    <w:p w14:paraId="72FE2E30" w14:textId="77777777" w:rsidR="004811A7" w:rsidRPr="001265DE" w:rsidRDefault="00B13236">
      <w:pPr>
        <w:pStyle w:val="Proposal"/>
      </w:pPr>
      <w:r w:rsidRPr="001265DE">
        <w:lastRenderedPageBreak/>
        <w:tab/>
        <w:t>RCC/12A22/1</w:t>
      </w:r>
    </w:p>
    <w:p w14:paraId="1C3EC999" w14:textId="5D9437AB" w:rsidR="004811A7" w:rsidRPr="001265DE" w:rsidRDefault="00355425">
      <w:pPr>
        <w:rPr>
          <w:b/>
          <w:bCs/>
          <w:rtl/>
          <w:lang w:bidi="ar-EG"/>
        </w:rPr>
      </w:pPr>
      <w:r w:rsidRPr="001265DE">
        <w:rPr>
          <w:rStyle w:val="Artdef"/>
          <w:rFonts w:ascii="Times New Roman" w:hint="cs"/>
          <w:b w:val="0"/>
          <w:bCs w:val="0"/>
          <w:rtl/>
        </w:rPr>
        <w:t xml:space="preserve">تدعو إدارات الكومونولث الإقليمي في مجال الاتصالات المؤتمر العالمي للاتصالات الراديوية لعام </w:t>
      </w:r>
      <w:r w:rsidRPr="001265DE">
        <w:rPr>
          <w:rStyle w:val="Artdef"/>
          <w:rFonts w:ascii="Times New Roman"/>
          <w:b w:val="0"/>
          <w:bCs w:val="0"/>
        </w:rPr>
        <w:t>2019</w:t>
      </w:r>
      <w:r w:rsidRPr="001265DE">
        <w:rPr>
          <w:rStyle w:val="Artdef"/>
          <w:rFonts w:ascii="Times New Roman" w:hint="cs"/>
          <w:b w:val="0"/>
          <w:bCs w:val="0"/>
          <w:rtl/>
          <w:lang w:bidi="ar-EG"/>
        </w:rPr>
        <w:t xml:space="preserve"> </w:t>
      </w:r>
      <w:r w:rsidRPr="00604939">
        <w:rPr>
          <w:rStyle w:val="Artdef"/>
          <w:rFonts w:ascii="Times New Roman" w:hint="cs"/>
          <w:b w:val="0"/>
          <w:bCs w:val="0"/>
          <w:szCs w:val="22"/>
          <w:rtl/>
          <w:lang w:bidi="ar-EG"/>
        </w:rPr>
        <w:t>(</w:t>
      </w:r>
      <w:r w:rsidRPr="001265DE">
        <w:rPr>
          <w:rStyle w:val="Artdef"/>
          <w:rFonts w:ascii="Times New Roman"/>
          <w:b w:val="0"/>
          <w:bCs w:val="0"/>
          <w:lang w:bidi="ar-EG"/>
        </w:rPr>
        <w:t>WRC-19</w:t>
      </w:r>
      <w:r w:rsidRPr="00604939">
        <w:rPr>
          <w:rStyle w:val="Artdef"/>
          <w:rFonts w:asciiTheme="majorBidi" w:hAnsiTheme="majorBidi" w:cstheme="majorBidi"/>
          <w:b w:val="0"/>
          <w:bCs w:val="0"/>
          <w:szCs w:val="22"/>
          <w:rtl/>
          <w:lang w:bidi="ar-EG"/>
        </w:rPr>
        <w:t>)</w:t>
      </w:r>
      <w:r w:rsidRPr="001265DE">
        <w:rPr>
          <w:rStyle w:val="Artdef"/>
          <w:rFonts w:ascii="Times New Roman" w:hint="cs"/>
          <w:b w:val="0"/>
          <w:bCs w:val="0"/>
          <w:rtl/>
          <w:lang w:bidi="ar-EG"/>
        </w:rPr>
        <w:t xml:space="preserve"> إلى </w:t>
      </w:r>
      <w:r w:rsidR="00DB6EC8" w:rsidRPr="001265DE">
        <w:rPr>
          <w:rStyle w:val="Artdef"/>
          <w:rFonts w:ascii="Times New Roman" w:hint="cs"/>
          <w:b w:val="0"/>
          <w:bCs w:val="0"/>
          <w:rtl/>
          <w:lang w:bidi="ar-EG"/>
        </w:rPr>
        <w:t xml:space="preserve">البت في فحص وتسجيل محطات الاتصالات المتنقلة الدولية التي </w:t>
      </w:r>
      <w:r w:rsidR="00490E59" w:rsidRPr="001265DE">
        <w:rPr>
          <w:rStyle w:val="Artdef"/>
          <w:rFonts w:ascii="Times New Roman" w:hint="cs"/>
          <w:b w:val="0"/>
          <w:bCs w:val="0"/>
          <w:rtl/>
          <w:lang w:bidi="ar-EG"/>
        </w:rPr>
        <w:t xml:space="preserve">تحيط </w:t>
      </w:r>
      <w:r w:rsidR="00DB6EC8" w:rsidRPr="001265DE">
        <w:rPr>
          <w:rStyle w:val="Artdef"/>
          <w:rFonts w:ascii="Times New Roman" w:hint="cs"/>
          <w:b w:val="0"/>
          <w:bCs w:val="0"/>
          <w:rtl/>
          <w:lang w:bidi="ar-EG"/>
        </w:rPr>
        <w:t>إدارات في نطاقات التردد حيث لم يحدد نطاق تردد مقابل للاتصالات المتنقلة الدولية مكتب الاتصالات الراديوية</w:t>
      </w:r>
      <w:r w:rsidR="00490E59" w:rsidRPr="001265DE">
        <w:rPr>
          <w:rStyle w:val="Artdef"/>
          <w:rFonts w:ascii="Times New Roman" w:hint="cs"/>
          <w:b w:val="0"/>
          <w:bCs w:val="0"/>
          <w:rtl/>
          <w:lang w:bidi="ar-EG"/>
        </w:rPr>
        <w:t xml:space="preserve"> علما</w:t>
      </w:r>
      <w:r w:rsidR="003D177E">
        <w:rPr>
          <w:rStyle w:val="Artdef"/>
          <w:rFonts w:ascii="Times New Roman" w:hint="cs"/>
          <w:b w:val="0"/>
          <w:bCs w:val="0"/>
          <w:rtl/>
          <w:lang w:bidi="ar-EG"/>
        </w:rPr>
        <w:t>ً</w:t>
      </w:r>
      <w:r w:rsidR="00490E59" w:rsidRPr="001265DE">
        <w:rPr>
          <w:rStyle w:val="Artdef"/>
          <w:rFonts w:ascii="Times New Roman" w:hint="cs"/>
          <w:b w:val="0"/>
          <w:bCs w:val="0"/>
          <w:rtl/>
          <w:lang w:bidi="ar-EG"/>
        </w:rPr>
        <w:t xml:space="preserve"> بها</w:t>
      </w:r>
      <w:r w:rsidR="00DB6EC8" w:rsidRPr="001265DE">
        <w:rPr>
          <w:rStyle w:val="Artdef"/>
          <w:rFonts w:ascii="Times New Roman" w:hint="cs"/>
          <w:b w:val="0"/>
          <w:bCs w:val="0"/>
          <w:rtl/>
          <w:lang w:bidi="ar-EG"/>
        </w:rPr>
        <w:t xml:space="preserve">، </w:t>
      </w:r>
      <w:r w:rsidR="00C6741E" w:rsidRPr="001265DE">
        <w:rPr>
          <w:rStyle w:val="Artdef"/>
          <w:rFonts w:ascii="Times New Roman" w:hint="cs"/>
          <w:b w:val="0"/>
          <w:bCs w:val="0"/>
          <w:rtl/>
          <w:lang w:bidi="ar-EG"/>
        </w:rPr>
        <w:t>حسبما يتقرر في مؤتمر ذ</w:t>
      </w:r>
      <w:r w:rsidR="00490E59" w:rsidRPr="001265DE">
        <w:rPr>
          <w:rStyle w:val="Artdef"/>
          <w:rFonts w:ascii="Times New Roman" w:hint="cs"/>
          <w:b w:val="0"/>
          <w:bCs w:val="0"/>
          <w:rtl/>
          <w:lang w:bidi="ar-EG"/>
        </w:rPr>
        <w:t>ي</w:t>
      </w:r>
      <w:r w:rsidR="00C6741E" w:rsidRPr="001265DE">
        <w:rPr>
          <w:rStyle w:val="Artdef"/>
          <w:rFonts w:ascii="Times New Roman" w:hint="cs"/>
          <w:b w:val="0"/>
          <w:bCs w:val="0"/>
          <w:rtl/>
          <w:lang w:bidi="ar-EG"/>
        </w:rPr>
        <w:t xml:space="preserve"> اختصاص.</w:t>
      </w:r>
    </w:p>
    <w:p w14:paraId="2FC8A443" w14:textId="77777777" w:rsidR="004811A7" w:rsidRPr="001265DE" w:rsidRDefault="004811A7">
      <w:pPr>
        <w:pStyle w:val="Reasons"/>
      </w:pPr>
    </w:p>
    <w:p w14:paraId="3F52623A" w14:textId="77777777" w:rsidR="004811A7" w:rsidRPr="001265DE" w:rsidRDefault="00B13236">
      <w:pPr>
        <w:pStyle w:val="Proposal"/>
      </w:pPr>
      <w:r w:rsidRPr="001265DE">
        <w:tab/>
        <w:t>RCC/12A22/2</w:t>
      </w:r>
    </w:p>
    <w:p w14:paraId="0497E241" w14:textId="62E3FB53" w:rsidR="003F55B9" w:rsidRPr="001265DE" w:rsidRDefault="00C6741E" w:rsidP="003F55B9">
      <w:pPr>
        <w:rPr>
          <w:b/>
          <w:bCs/>
          <w:lang w:val="en-GB" w:bidi="ar-EG"/>
        </w:rPr>
      </w:pPr>
      <w:r w:rsidRPr="001265DE">
        <w:rPr>
          <w:rStyle w:val="Artdef"/>
          <w:rFonts w:ascii="Times New Roman" w:hint="cs"/>
          <w:b w:val="0"/>
          <w:bCs w:val="0"/>
          <w:rtl/>
        </w:rPr>
        <w:t xml:space="preserve">تدعو إدارات الكومونولث الإقليمي في مجال الاتصالات أيضًا المؤتمر العالمي للاتصالات الراديوية لعام </w:t>
      </w:r>
      <w:r w:rsidRPr="001265DE">
        <w:rPr>
          <w:rStyle w:val="Artdef"/>
          <w:rFonts w:ascii="Times New Roman"/>
          <w:b w:val="0"/>
          <w:bCs w:val="0"/>
        </w:rPr>
        <w:t>2019</w:t>
      </w:r>
      <w:r w:rsidRPr="001265DE">
        <w:rPr>
          <w:rStyle w:val="Artdef"/>
          <w:rFonts w:ascii="Times New Roman" w:hint="cs"/>
          <w:b w:val="0"/>
          <w:bCs w:val="0"/>
          <w:rtl/>
          <w:lang w:bidi="ar-EG"/>
        </w:rPr>
        <w:t xml:space="preserve"> </w:t>
      </w:r>
      <w:r w:rsidRPr="00604939">
        <w:rPr>
          <w:rStyle w:val="Artdef"/>
          <w:rFonts w:ascii="Times New Roman" w:hint="cs"/>
          <w:b w:val="0"/>
          <w:bCs w:val="0"/>
          <w:szCs w:val="22"/>
          <w:rtl/>
          <w:lang w:bidi="ar-EG"/>
        </w:rPr>
        <w:t>(</w:t>
      </w:r>
      <w:r w:rsidRPr="001265DE">
        <w:rPr>
          <w:rStyle w:val="Artdef"/>
          <w:rFonts w:ascii="Times New Roman"/>
          <w:b w:val="0"/>
          <w:bCs w:val="0"/>
          <w:lang w:bidi="ar-EG"/>
        </w:rPr>
        <w:t>WRC-19</w:t>
      </w:r>
      <w:r w:rsidRPr="00604939">
        <w:rPr>
          <w:rStyle w:val="Artdef"/>
          <w:rFonts w:ascii="Times New Roman" w:hint="cs"/>
          <w:b w:val="0"/>
          <w:bCs w:val="0"/>
          <w:szCs w:val="22"/>
          <w:rtl/>
          <w:lang w:bidi="ar-EG"/>
        </w:rPr>
        <w:t>)</w:t>
      </w:r>
      <w:r w:rsidRPr="001265DE">
        <w:rPr>
          <w:rStyle w:val="Artdef"/>
          <w:rFonts w:ascii="Times New Roman" w:hint="cs"/>
          <w:b w:val="0"/>
          <w:bCs w:val="0"/>
          <w:rtl/>
          <w:lang w:bidi="ar-EG"/>
        </w:rPr>
        <w:t xml:space="preserve"> لاتخاذ قرار بشأن بند جديد في جدول أعمال المؤتمر العالمي للاتصالات الراديوية لعام </w:t>
      </w:r>
      <w:r w:rsidRPr="001265DE">
        <w:rPr>
          <w:rStyle w:val="Artdef"/>
          <w:rFonts w:ascii="Times New Roman"/>
          <w:b w:val="0"/>
          <w:bCs w:val="0"/>
          <w:lang w:bidi="ar-EG"/>
        </w:rPr>
        <w:t>2023</w:t>
      </w:r>
      <w:r w:rsidRPr="001265DE">
        <w:rPr>
          <w:rStyle w:val="Artdef"/>
          <w:rFonts w:ascii="Times New Roman" w:hint="cs"/>
          <w:b w:val="0"/>
          <w:bCs w:val="0"/>
          <w:rtl/>
          <w:lang w:bidi="ar-EG"/>
        </w:rPr>
        <w:t xml:space="preserve"> </w:t>
      </w:r>
      <w:r w:rsidRPr="00604939">
        <w:rPr>
          <w:rStyle w:val="Artdef"/>
          <w:rFonts w:ascii="Times New Roman" w:hint="cs"/>
          <w:b w:val="0"/>
          <w:bCs w:val="0"/>
          <w:szCs w:val="22"/>
          <w:rtl/>
          <w:lang w:bidi="ar-EG"/>
        </w:rPr>
        <w:t>(</w:t>
      </w:r>
      <w:r w:rsidRPr="001265DE">
        <w:rPr>
          <w:rStyle w:val="Artdef"/>
          <w:rFonts w:ascii="Times New Roman"/>
          <w:b w:val="0"/>
          <w:bCs w:val="0"/>
          <w:lang w:bidi="ar-EG"/>
        </w:rPr>
        <w:t>WRC-23</w:t>
      </w:r>
      <w:r w:rsidRPr="00604939">
        <w:rPr>
          <w:rStyle w:val="Artdef"/>
          <w:rFonts w:ascii="Times New Roman" w:hint="cs"/>
          <w:b w:val="0"/>
          <w:bCs w:val="0"/>
          <w:szCs w:val="22"/>
          <w:rtl/>
          <w:lang w:bidi="ar-EG"/>
        </w:rPr>
        <w:t>)</w:t>
      </w:r>
      <w:r w:rsidRPr="001265DE">
        <w:rPr>
          <w:rStyle w:val="Artdef"/>
          <w:rFonts w:ascii="Times New Roman" w:hint="cs"/>
          <w:b w:val="0"/>
          <w:bCs w:val="0"/>
          <w:rtl/>
          <w:lang w:bidi="ar-EG"/>
        </w:rPr>
        <w:t xml:space="preserve"> بشأن "النظر في أحكام تنظيمية ملائمة من أجل التبليغ </w:t>
      </w:r>
      <w:r w:rsidR="00B64A58" w:rsidRPr="001265DE">
        <w:rPr>
          <w:rStyle w:val="Artdef"/>
          <w:rFonts w:ascii="Times New Roman" w:hint="cs"/>
          <w:b w:val="0"/>
          <w:bCs w:val="0"/>
          <w:rtl/>
          <w:lang w:bidi="ar-EG"/>
        </w:rPr>
        <w:t>بمحطات الاتصالات المتنقلة الدولية وتسجيلها واستخدامها وفقًا لقرار المؤتمر العالمي للاتصالات الراديوية [تحديد]".</w:t>
      </w:r>
    </w:p>
    <w:p w14:paraId="4A09AD07" w14:textId="77777777" w:rsidR="004811A7" w:rsidRPr="001265DE" w:rsidRDefault="004811A7">
      <w:pPr>
        <w:pStyle w:val="Reasons"/>
      </w:pPr>
    </w:p>
    <w:p w14:paraId="703FB916" w14:textId="77777777" w:rsidR="004811A7" w:rsidRPr="001265DE" w:rsidRDefault="00B13236">
      <w:pPr>
        <w:pStyle w:val="Proposal"/>
      </w:pPr>
      <w:r w:rsidRPr="001265DE">
        <w:tab/>
        <w:t>RCC/12A22/3</w:t>
      </w:r>
    </w:p>
    <w:p w14:paraId="58983180" w14:textId="69583086" w:rsidR="003F55B9" w:rsidRPr="001265DE" w:rsidRDefault="00B64A58" w:rsidP="003F55B9">
      <w:pPr>
        <w:rPr>
          <w:b/>
          <w:bCs/>
          <w:rtl/>
          <w:lang w:bidi="ar-EG"/>
        </w:rPr>
      </w:pPr>
      <w:r w:rsidRPr="001265DE">
        <w:rPr>
          <w:rStyle w:val="Artdef"/>
          <w:rFonts w:ascii="Times New Roman" w:hint="cs"/>
          <w:b w:val="0"/>
          <w:bCs w:val="0"/>
          <w:rtl/>
        </w:rPr>
        <w:t>تقترح إدارات الكومونولث الإقليمي في مجال الاتص</w:t>
      </w:r>
      <w:bookmarkStart w:id="1" w:name="_GoBack"/>
      <w:bookmarkEnd w:id="1"/>
      <w:r w:rsidRPr="001265DE">
        <w:rPr>
          <w:rStyle w:val="Artdef"/>
          <w:rFonts w:ascii="Times New Roman" w:hint="cs"/>
          <w:b w:val="0"/>
          <w:bCs w:val="0"/>
          <w:rtl/>
        </w:rPr>
        <w:t xml:space="preserve">الات وضع مشروع قرار للمؤتمر </w:t>
      </w:r>
      <w:r w:rsidR="00116CD2" w:rsidRPr="001265DE">
        <w:rPr>
          <w:rStyle w:val="Artdef"/>
          <w:rFonts w:ascii="Times New Roman" w:hint="cs"/>
          <w:b w:val="0"/>
          <w:bCs w:val="0"/>
          <w:rtl/>
        </w:rPr>
        <w:t xml:space="preserve">العالمي للاتصالات الراديوية [تحديد]، مباشرة في المؤتمر العالمي للاتصالات الراديوية لعام </w:t>
      </w:r>
      <w:r w:rsidR="00116CD2" w:rsidRPr="001265DE">
        <w:rPr>
          <w:rStyle w:val="Artdef"/>
          <w:rFonts w:ascii="Times New Roman"/>
          <w:b w:val="0"/>
          <w:bCs w:val="0"/>
        </w:rPr>
        <w:t>2019</w:t>
      </w:r>
      <w:r w:rsidR="00116CD2" w:rsidRPr="001265DE">
        <w:rPr>
          <w:rStyle w:val="Artdef"/>
          <w:rFonts w:ascii="Times New Roman" w:hint="cs"/>
          <w:b w:val="0"/>
          <w:bCs w:val="0"/>
          <w:rtl/>
          <w:lang w:bidi="ar-EG"/>
        </w:rPr>
        <w:t xml:space="preserve"> </w:t>
      </w:r>
      <w:r w:rsidR="00D44289">
        <w:rPr>
          <w:rStyle w:val="Artdef"/>
          <w:rFonts w:ascii="Times New Roman"/>
          <w:b w:val="0"/>
          <w:bCs w:val="0"/>
          <w:szCs w:val="22"/>
          <w:lang w:bidi="ar-EG"/>
        </w:rPr>
        <w:t>(</w:t>
      </w:r>
      <w:r w:rsidR="00116CD2" w:rsidRPr="001265DE">
        <w:rPr>
          <w:rStyle w:val="Artdef"/>
          <w:rFonts w:ascii="Times New Roman"/>
          <w:b w:val="0"/>
          <w:bCs w:val="0"/>
          <w:lang w:bidi="ar-EG"/>
        </w:rPr>
        <w:t>WRC-19</w:t>
      </w:r>
      <w:r w:rsidR="00D44289">
        <w:rPr>
          <w:rStyle w:val="Artdef"/>
          <w:rFonts w:ascii="Times New Roman"/>
          <w:b w:val="0"/>
          <w:bCs w:val="0"/>
          <w:szCs w:val="22"/>
          <w:lang w:bidi="ar-EG"/>
        </w:rPr>
        <w:t>)</w:t>
      </w:r>
      <w:r w:rsidR="00116CD2" w:rsidRPr="001265DE">
        <w:rPr>
          <w:rStyle w:val="Artdef"/>
          <w:rFonts w:ascii="Times New Roman" w:hint="cs"/>
          <w:b w:val="0"/>
          <w:bCs w:val="0"/>
          <w:rtl/>
          <w:lang w:bidi="ar-EG"/>
        </w:rPr>
        <w:t xml:space="preserve">، يراعي آراء المنظمات الإقليمية والدول الأعضاء الأخرى بشأن الفقرة </w:t>
      </w:r>
      <w:r w:rsidR="00116CD2" w:rsidRPr="001265DE">
        <w:rPr>
          <w:rStyle w:val="Artdef"/>
          <w:rFonts w:ascii="Times New Roman"/>
          <w:b w:val="0"/>
          <w:bCs w:val="0"/>
          <w:lang w:bidi="ar-EG"/>
        </w:rPr>
        <w:t>2.2.1.3</w:t>
      </w:r>
      <w:r w:rsidR="00116CD2" w:rsidRPr="001265DE">
        <w:rPr>
          <w:rStyle w:val="Artdef"/>
          <w:rFonts w:ascii="Times New Roman" w:hint="cs"/>
          <w:b w:val="0"/>
          <w:bCs w:val="0"/>
          <w:rtl/>
          <w:lang w:bidi="ar-EG"/>
        </w:rPr>
        <w:t xml:space="preserve"> (التبليغ بمحطات الاتصالات المتنقلة الدولية أو تنسيقها بموجب الرقم </w:t>
      </w:r>
      <w:r w:rsidR="00116CD2" w:rsidRPr="001265DE">
        <w:rPr>
          <w:rStyle w:val="Artdef"/>
          <w:rFonts w:ascii="Times New Roman"/>
          <w:lang w:bidi="ar-EG"/>
        </w:rPr>
        <w:t>21.9</w:t>
      </w:r>
      <w:r w:rsidR="00116CD2" w:rsidRPr="001265DE">
        <w:rPr>
          <w:rStyle w:val="Artdef"/>
          <w:rFonts w:ascii="Times New Roman" w:hint="cs"/>
          <w:b w:val="0"/>
          <w:bCs w:val="0"/>
          <w:rtl/>
          <w:lang w:bidi="ar-EG"/>
        </w:rPr>
        <w:t xml:space="preserve"> من لوائح الراديو</w:t>
      </w:r>
      <w:r w:rsidR="00EC7AA0" w:rsidRPr="001265DE">
        <w:rPr>
          <w:rStyle w:val="Artdef"/>
          <w:rFonts w:ascii="Times New Roman" w:hint="cs"/>
          <w:b w:val="0"/>
          <w:bCs w:val="0"/>
          <w:rtl/>
          <w:lang w:bidi="ar-EG"/>
        </w:rPr>
        <w:t>) من تقرير مدير مكتب الاتصالات الراديوية.</w:t>
      </w:r>
    </w:p>
    <w:p w14:paraId="0D306C28" w14:textId="2AF08AFD" w:rsidR="004811A7" w:rsidRPr="001265DE" w:rsidRDefault="004811A7">
      <w:pPr>
        <w:pStyle w:val="Reasons"/>
      </w:pPr>
    </w:p>
    <w:p w14:paraId="6910DC9B" w14:textId="6B250BC1" w:rsidR="00830C35" w:rsidRPr="00830C35" w:rsidRDefault="00830C35" w:rsidP="00CF3DD6">
      <w:pPr>
        <w:jc w:val="center"/>
        <w:rPr>
          <w:lang w:bidi="ar-EG"/>
        </w:rPr>
      </w:pPr>
      <w:r w:rsidRPr="001265DE">
        <w:rPr>
          <w:rFonts w:hint="cs"/>
          <w:rtl/>
        </w:rPr>
        <w:t>___________</w:t>
      </w:r>
    </w:p>
    <w:sectPr w:rsidR="00830C35" w:rsidRPr="00830C35"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1FA47" w14:textId="77777777" w:rsidR="00EA5D25" w:rsidRDefault="00EA5D25" w:rsidP="002919E1">
      <w:r>
        <w:separator/>
      </w:r>
    </w:p>
    <w:p w14:paraId="3C6B5327" w14:textId="77777777" w:rsidR="00EA5D25" w:rsidRDefault="00EA5D25" w:rsidP="002919E1"/>
    <w:p w14:paraId="7C61E571" w14:textId="77777777" w:rsidR="00EA5D25" w:rsidRDefault="00EA5D25" w:rsidP="002919E1"/>
    <w:p w14:paraId="52AC1DEE" w14:textId="77777777" w:rsidR="00EA5D25" w:rsidRDefault="00EA5D25"/>
  </w:endnote>
  <w:endnote w:type="continuationSeparator" w:id="0">
    <w:p w14:paraId="4DC20A4C" w14:textId="77777777" w:rsidR="00EA5D25" w:rsidRDefault="00EA5D25" w:rsidP="002919E1">
      <w:r>
        <w:continuationSeparator/>
      </w:r>
    </w:p>
    <w:p w14:paraId="2811EE96" w14:textId="77777777" w:rsidR="00EA5D25" w:rsidRDefault="00EA5D25" w:rsidP="002919E1"/>
    <w:p w14:paraId="52FAB653" w14:textId="77777777" w:rsidR="00EA5D25" w:rsidRDefault="00EA5D25" w:rsidP="002919E1"/>
    <w:p w14:paraId="77317314"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D58F" w14:textId="72C35443"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3D177E">
      <w:rPr>
        <w:noProof/>
      </w:rPr>
      <w:t>P:\ARA\ITU-R\CONF-R\CMR19\000\012ADD22A.docx</w:t>
    </w:r>
    <w:r>
      <w:fldChar w:fldCharType="end"/>
    </w:r>
    <w:r w:rsidRPr="00A809E8">
      <w:t xml:space="preserve">   (</w:t>
    </w:r>
    <w:r w:rsidR="002D02A3">
      <w:t>461801</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48D48" w14:textId="575DBEB2" w:rsidR="00281F5F" w:rsidRPr="002D02A3" w:rsidRDefault="002D02A3" w:rsidP="002D02A3">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3D177E">
      <w:rPr>
        <w:noProof/>
      </w:rPr>
      <w:t>P:\ARA\ITU-R\CONF-R\CMR19\000\012ADD22A.docx</w:t>
    </w:r>
    <w:r>
      <w:fldChar w:fldCharType="end"/>
    </w:r>
    <w:r w:rsidRPr="00A809E8">
      <w:t xml:space="preserve">   (</w:t>
    </w:r>
    <w:r>
      <w:t>461801</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2C6FF" w14:textId="77777777" w:rsidR="00EA5D25" w:rsidRDefault="00EA5D25" w:rsidP="002919E1">
      <w:r>
        <w:t>___________________</w:t>
      </w:r>
    </w:p>
  </w:footnote>
  <w:footnote w:type="continuationSeparator" w:id="0">
    <w:p w14:paraId="0DE1E6B8" w14:textId="77777777" w:rsidR="00EA5D25" w:rsidRDefault="00EA5D25" w:rsidP="002919E1">
      <w:r>
        <w:continuationSeparator/>
      </w:r>
    </w:p>
    <w:p w14:paraId="2E5CEA5A" w14:textId="77777777" w:rsidR="00EA5D25" w:rsidRDefault="00EA5D25" w:rsidP="002919E1"/>
    <w:p w14:paraId="3D973971" w14:textId="77777777" w:rsidR="00EA5D25" w:rsidRDefault="00EA5D25" w:rsidP="002919E1"/>
    <w:p w14:paraId="6D83671C" w14:textId="77777777" w:rsidR="00EA5D25" w:rsidRDefault="00EA5D25"/>
  </w:footnote>
  <w:footnote w:id="1">
    <w:p w14:paraId="5E80FBA6" w14:textId="77777777" w:rsidR="00053B53" w:rsidRPr="00CF3DD6" w:rsidRDefault="00B13236" w:rsidP="00053B53">
      <w:pPr>
        <w:ind w:left="397" w:hanging="397"/>
        <w:rPr>
          <w:sz w:val="20"/>
          <w:szCs w:val="26"/>
          <w:rtl/>
        </w:rPr>
      </w:pPr>
      <w:r w:rsidRPr="004B751D">
        <w:rPr>
          <w:rFonts w:eastAsia="SimSun" w:cs="Calibri"/>
          <w:sz w:val="18"/>
          <w:szCs w:val="18"/>
          <w:rtl/>
        </w:rPr>
        <w:t>*</w:t>
      </w:r>
      <w:r>
        <w:rPr>
          <w:rtl/>
        </w:rPr>
        <w:tab/>
      </w:r>
      <w:r w:rsidRPr="00CF3DD6">
        <w:rPr>
          <w:rFonts w:hint="cs"/>
          <w:sz w:val="20"/>
          <w:szCs w:val="26"/>
          <w:rtl/>
        </w:rPr>
        <w:t>هذا البند من جدول الأعمال يقتصر حصراً على تقرير المدير فيما</w:t>
      </w:r>
      <w:r w:rsidRPr="00CF3DD6">
        <w:rPr>
          <w:rFonts w:hint="eastAsia"/>
          <w:sz w:val="20"/>
          <w:szCs w:val="26"/>
          <w:rtl/>
        </w:rPr>
        <w:t> </w:t>
      </w:r>
      <w:r w:rsidRPr="00CF3DD6">
        <w:rPr>
          <w:rFonts w:hint="cs"/>
          <w:sz w:val="20"/>
          <w:szCs w:val="26"/>
          <w:rtl/>
        </w:rPr>
        <w:t>يتعلق بأي صعوبات أو حالات تضارب ووجهت في تطبيق لوائح الراديو والتعليقات المقدمة من الإدارات.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F146" w14:textId="77777777" w:rsidR="00281F5F" w:rsidRDefault="00281F5F" w:rsidP="002919E1"/>
  <w:p w14:paraId="49E0D150" w14:textId="77777777" w:rsidR="00281F5F" w:rsidRDefault="00281F5F" w:rsidP="002919E1"/>
  <w:p w14:paraId="50CABD75"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55A7"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12(Add.22)-</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B46E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B80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051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5A17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15:restartNumberingAfterBreak="0">
    <w:nsid w:val="7D65680B"/>
    <w:multiLevelType w:val="hybridMultilevel"/>
    <w:tmpl w:val="ACE07DB8"/>
    <w:lvl w:ilvl="0" w:tplc="CACC6874">
      <w:start w:val="2"/>
      <w:numFmt w:val="bullet"/>
      <w:lvlText w:val="•"/>
      <w:lvlJc w:val="left"/>
      <w:pPr>
        <w:ind w:left="720" w:hanging="360"/>
      </w:pPr>
      <w:rPr>
        <w:rFonts w:ascii="Times New Roman" w:eastAsia="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470C1"/>
    <w:rsid w:val="00051907"/>
    <w:rsid w:val="00075A3F"/>
    <w:rsid w:val="000A1B16"/>
    <w:rsid w:val="000B3896"/>
    <w:rsid w:val="000B5404"/>
    <w:rsid w:val="000D06EB"/>
    <w:rsid w:val="000D1708"/>
    <w:rsid w:val="000E2AFC"/>
    <w:rsid w:val="000E6D30"/>
    <w:rsid w:val="000F05F5"/>
    <w:rsid w:val="000F518F"/>
    <w:rsid w:val="0010081C"/>
    <w:rsid w:val="001013E3"/>
    <w:rsid w:val="00102B45"/>
    <w:rsid w:val="0010363F"/>
    <w:rsid w:val="001162C9"/>
    <w:rsid w:val="00116CD2"/>
    <w:rsid w:val="00122559"/>
    <w:rsid w:val="00122D64"/>
    <w:rsid w:val="00123AA6"/>
    <w:rsid w:val="00123B85"/>
    <w:rsid w:val="0012545F"/>
    <w:rsid w:val="001265DE"/>
    <w:rsid w:val="00130ADE"/>
    <w:rsid w:val="00136B82"/>
    <w:rsid w:val="001464F2"/>
    <w:rsid w:val="00167364"/>
    <w:rsid w:val="001903B2"/>
    <w:rsid w:val="001B0F78"/>
    <w:rsid w:val="001B5953"/>
    <w:rsid w:val="001D746E"/>
    <w:rsid w:val="001E190C"/>
    <w:rsid w:val="001E51EE"/>
    <w:rsid w:val="001E54F6"/>
    <w:rsid w:val="001E5A8C"/>
    <w:rsid w:val="00201A0A"/>
    <w:rsid w:val="002071EC"/>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B25DF"/>
    <w:rsid w:val="002D02A3"/>
    <w:rsid w:val="002D5F64"/>
    <w:rsid w:val="002D6BB4"/>
    <w:rsid w:val="002D6FBF"/>
    <w:rsid w:val="002E48BF"/>
    <w:rsid w:val="002E538E"/>
    <w:rsid w:val="002E61C2"/>
    <w:rsid w:val="002F2C1A"/>
    <w:rsid w:val="002F3E46"/>
    <w:rsid w:val="00311E3F"/>
    <w:rsid w:val="00314B1E"/>
    <w:rsid w:val="0033737F"/>
    <w:rsid w:val="00353652"/>
    <w:rsid w:val="00355425"/>
    <w:rsid w:val="003569E1"/>
    <w:rsid w:val="003815E2"/>
    <w:rsid w:val="00381FAD"/>
    <w:rsid w:val="00382A66"/>
    <w:rsid w:val="003923B1"/>
    <w:rsid w:val="003965FE"/>
    <w:rsid w:val="003A41D2"/>
    <w:rsid w:val="003B27AD"/>
    <w:rsid w:val="003B4F23"/>
    <w:rsid w:val="003C12F6"/>
    <w:rsid w:val="003C3A13"/>
    <w:rsid w:val="003D177E"/>
    <w:rsid w:val="003E02EF"/>
    <w:rsid w:val="003E1D90"/>
    <w:rsid w:val="003F55B9"/>
    <w:rsid w:val="00400CD4"/>
    <w:rsid w:val="004147B9"/>
    <w:rsid w:val="00422C04"/>
    <w:rsid w:val="00423A40"/>
    <w:rsid w:val="00426144"/>
    <w:rsid w:val="004636E2"/>
    <w:rsid w:val="00470CBD"/>
    <w:rsid w:val="0047407D"/>
    <w:rsid w:val="004811A7"/>
    <w:rsid w:val="0048797A"/>
    <w:rsid w:val="004909DD"/>
    <w:rsid w:val="00490E59"/>
    <w:rsid w:val="004A05E6"/>
    <w:rsid w:val="004A6230"/>
    <w:rsid w:val="004A6C66"/>
    <w:rsid w:val="004A7AA0"/>
    <w:rsid w:val="004C11BC"/>
    <w:rsid w:val="004C1398"/>
    <w:rsid w:val="004C2DB8"/>
    <w:rsid w:val="004C5C04"/>
    <w:rsid w:val="004D0448"/>
    <w:rsid w:val="004D3509"/>
    <w:rsid w:val="004D4AE6"/>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5533"/>
    <w:rsid w:val="005F65DE"/>
    <w:rsid w:val="00604939"/>
    <w:rsid w:val="00613492"/>
    <w:rsid w:val="00616498"/>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C36FA"/>
    <w:rsid w:val="006D2674"/>
    <w:rsid w:val="006E38D0"/>
    <w:rsid w:val="006E465B"/>
    <w:rsid w:val="006E5D31"/>
    <w:rsid w:val="006E78C0"/>
    <w:rsid w:val="006F46A1"/>
    <w:rsid w:val="006F4F3C"/>
    <w:rsid w:val="006F70BF"/>
    <w:rsid w:val="00715285"/>
    <w:rsid w:val="00716B1D"/>
    <w:rsid w:val="00721E7A"/>
    <w:rsid w:val="007248EC"/>
    <w:rsid w:val="00726744"/>
    <w:rsid w:val="00731150"/>
    <w:rsid w:val="00734E41"/>
    <w:rsid w:val="00736DCC"/>
    <w:rsid w:val="00741855"/>
    <w:rsid w:val="00742B73"/>
    <w:rsid w:val="00747E34"/>
    <w:rsid w:val="00751251"/>
    <w:rsid w:val="007610E7"/>
    <w:rsid w:val="00764079"/>
    <w:rsid w:val="00770727"/>
    <w:rsid w:val="00770AA0"/>
    <w:rsid w:val="00771F7E"/>
    <w:rsid w:val="00773E9C"/>
    <w:rsid w:val="007760BF"/>
    <w:rsid w:val="00776F6B"/>
    <w:rsid w:val="00777694"/>
    <w:rsid w:val="00786A7E"/>
    <w:rsid w:val="00794B15"/>
    <w:rsid w:val="007A0802"/>
    <w:rsid w:val="007B1FCA"/>
    <w:rsid w:val="007B65D9"/>
    <w:rsid w:val="007C2C12"/>
    <w:rsid w:val="007C3CFA"/>
    <w:rsid w:val="007C7603"/>
    <w:rsid w:val="007E0E8B"/>
    <w:rsid w:val="007E6847"/>
    <w:rsid w:val="007E6B0A"/>
    <w:rsid w:val="007F08CA"/>
    <w:rsid w:val="007F7FC3"/>
    <w:rsid w:val="008025C9"/>
    <w:rsid w:val="00810482"/>
    <w:rsid w:val="00817568"/>
    <w:rsid w:val="008204AC"/>
    <w:rsid w:val="008261C2"/>
    <w:rsid w:val="00830C35"/>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1BEA"/>
    <w:rsid w:val="008B4E93"/>
    <w:rsid w:val="008B52B7"/>
    <w:rsid w:val="008C3818"/>
    <w:rsid w:val="008D6ACC"/>
    <w:rsid w:val="008D7AF0"/>
    <w:rsid w:val="008E2CBE"/>
    <w:rsid w:val="008E32DD"/>
    <w:rsid w:val="008E53C5"/>
    <w:rsid w:val="008F4626"/>
    <w:rsid w:val="009004DF"/>
    <w:rsid w:val="00901C73"/>
    <w:rsid w:val="00904AA5"/>
    <w:rsid w:val="009054B8"/>
    <w:rsid w:val="00951718"/>
    <w:rsid w:val="00960962"/>
    <w:rsid w:val="00972CE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3236"/>
    <w:rsid w:val="00B16045"/>
    <w:rsid w:val="00B1714C"/>
    <w:rsid w:val="00B34498"/>
    <w:rsid w:val="00B357E9"/>
    <w:rsid w:val="00B4164D"/>
    <w:rsid w:val="00B425C1"/>
    <w:rsid w:val="00B579DB"/>
    <w:rsid w:val="00B57D88"/>
    <w:rsid w:val="00B606BA"/>
    <w:rsid w:val="00B64A58"/>
    <w:rsid w:val="00B66817"/>
    <w:rsid w:val="00B71E3B"/>
    <w:rsid w:val="00B721D5"/>
    <w:rsid w:val="00B81CB5"/>
    <w:rsid w:val="00B8351F"/>
    <w:rsid w:val="00B86C44"/>
    <w:rsid w:val="00B9727C"/>
    <w:rsid w:val="00BA7D44"/>
    <w:rsid w:val="00BD6291"/>
    <w:rsid w:val="00BD6EF3"/>
    <w:rsid w:val="00BE590B"/>
    <w:rsid w:val="00BE69C3"/>
    <w:rsid w:val="00BF2DE9"/>
    <w:rsid w:val="00C1165E"/>
    <w:rsid w:val="00C22074"/>
    <w:rsid w:val="00C2377B"/>
    <w:rsid w:val="00C3693C"/>
    <w:rsid w:val="00C42C5E"/>
    <w:rsid w:val="00C53F6F"/>
    <w:rsid w:val="00C5489D"/>
    <w:rsid w:val="00C647C1"/>
    <w:rsid w:val="00C6741E"/>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CF3DD6"/>
    <w:rsid w:val="00D23BDB"/>
    <w:rsid w:val="00D25120"/>
    <w:rsid w:val="00D419CB"/>
    <w:rsid w:val="00D44289"/>
    <w:rsid w:val="00D44350"/>
    <w:rsid w:val="00D44E3F"/>
    <w:rsid w:val="00D51BB8"/>
    <w:rsid w:val="00D525F5"/>
    <w:rsid w:val="00D535D0"/>
    <w:rsid w:val="00D577D8"/>
    <w:rsid w:val="00D62C78"/>
    <w:rsid w:val="00D81703"/>
    <w:rsid w:val="00D82929"/>
    <w:rsid w:val="00D84214"/>
    <w:rsid w:val="00D943E5"/>
    <w:rsid w:val="00DA1AE0"/>
    <w:rsid w:val="00DB4CC9"/>
    <w:rsid w:val="00DB6EC8"/>
    <w:rsid w:val="00DC29DD"/>
    <w:rsid w:val="00DC7C0E"/>
    <w:rsid w:val="00DE7387"/>
    <w:rsid w:val="00DF2A6A"/>
    <w:rsid w:val="00DF3B72"/>
    <w:rsid w:val="00E04A93"/>
    <w:rsid w:val="00E10821"/>
    <w:rsid w:val="00E14B7F"/>
    <w:rsid w:val="00E2476B"/>
    <w:rsid w:val="00E2489D"/>
    <w:rsid w:val="00E26520"/>
    <w:rsid w:val="00E343A3"/>
    <w:rsid w:val="00E51BFA"/>
    <w:rsid w:val="00E52BA0"/>
    <w:rsid w:val="00E611F1"/>
    <w:rsid w:val="00E621A3"/>
    <w:rsid w:val="00E833BC"/>
    <w:rsid w:val="00E8580E"/>
    <w:rsid w:val="00E97E21"/>
    <w:rsid w:val="00EA1B76"/>
    <w:rsid w:val="00EA5D25"/>
    <w:rsid w:val="00EA77D7"/>
    <w:rsid w:val="00EC09B9"/>
    <w:rsid w:val="00EC7AA0"/>
    <w:rsid w:val="00ED048C"/>
    <w:rsid w:val="00EE60E9"/>
    <w:rsid w:val="00EF38AF"/>
    <w:rsid w:val="00F00143"/>
    <w:rsid w:val="00F055F8"/>
    <w:rsid w:val="00F10CB4"/>
    <w:rsid w:val="00F11B3D"/>
    <w:rsid w:val="00F11E2A"/>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2C96"/>
    <w:rsid w:val="00F97D1C"/>
    <w:rsid w:val="00FA0D4E"/>
    <w:rsid w:val="00FA2A8C"/>
    <w:rsid w:val="00FA6AC9"/>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CADCB3"/>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5B9"/>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VolumeTitle0">
    <w:name w:val="VolumeTitle"/>
    <w:basedOn w:val="Normal"/>
    <w:next w:val="Normal"/>
    <w:autoRedefine/>
    <w:qFormat/>
    <w:rsid w:val="00263D53"/>
    <w:pPr>
      <w:tabs>
        <w:tab w:val="left" w:pos="567"/>
        <w:tab w:val="left" w:pos="1701"/>
        <w:tab w:val="left" w:pos="2835"/>
      </w:tabs>
      <w:overflowPunct w:val="0"/>
      <w:autoSpaceDE w:val="0"/>
      <w:autoSpaceDN w:val="0"/>
      <w:adjustRightInd w:val="0"/>
      <w:spacing w:before="480" w:after="240"/>
      <w:jc w:val="center"/>
      <w:textAlignment w:val="baseline"/>
    </w:pPr>
    <w:rPr>
      <w:rFonts w:ascii="Calibri" w:hAnsi="Calibri"/>
      <w:b/>
      <w:bCs/>
      <w:sz w:val="32"/>
      <w:szCs w:val="4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R16-WRC19-C-0012!A22!MSW-A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E8442-49A1-42A1-89E2-6A4B9B2803CB}">
  <ds:schemaRef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32a1a8c5-2265-4ebc-b7a0-2071e2c5c9bb"/>
    <ds:schemaRef ds:uri="http://purl.org/dc/elements/1.1/"/>
    <ds:schemaRef ds:uri="http://schemas.openxmlformats.org/package/2006/metadata/core-properties"/>
    <ds:schemaRef ds:uri="996b2e75-67fd-4955-a3b0-5ab9934cb50b"/>
    <ds:schemaRef ds:uri="http://www.w3.org/XML/1998/namespace"/>
  </ds:schemaRefs>
</ds:datastoreItem>
</file>

<file path=customXml/itemProps2.xml><?xml version="1.0" encoding="utf-8"?>
<ds:datastoreItem xmlns:ds="http://schemas.openxmlformats.org/officeDocument/2006/customXml" ds:itemID="{D8FF6AC3-8CC4-4C59-A5B3-5FF56C42A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817CB-E0B0-46ED-B455-3CA635CB2CA8}">
  <ds:schemaRefs>
    <ds:schemaRef ds:uri="http://schemas.microsoft.com/sharepoint/events"/>
  </ds:schemaRefs>
</ds:datastoreItem>
</file>

<file path=customXml/itemProps4.xml><?xml version="1.0" encoding="utf-8"?>
<ds:datastoreItem xmlns:ds="http://schemas.openxmlformats.org/officeDocument/2006/customXml" ds:itemID="{B5CC15BA-0E4D-46E4-AB41-36C63E2F54C4}">
  <ds:schemaRefs>
    <ds:schemaRef ds:uri="http://schemas.microsoft.com/sharepoint/v3/contenttype/forms"/>
  </ds:schemaRefs>
</ds:datastoreItem>
</file>

<file path=customXml/itemProps5.xml><?xml version="1.0" encoding="utf-8"?>
<ds:datastoreItem xmlns:ds="http://schemas.openxmlformats.org/officeDocument/2006/customXml" ds:itemID="{0280C04A-8802-45CA-AB0E-90B7D756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886</Words>
  <Characters>4964</Characters>
  <Application>Microsoft Office Word</Application>
  <DocSecurity>0</DocSecurity>
  <Lines>88</Lines>
  <Paragraphs>38</Paragraphs>
  <ScaleCrop>false</ScaleCrop>
  <HeadingPairs>
    <vt:vector size="2" baseType="variant">
      <vt:variant>
        <vt:lpstr>Title</vt:lpstr>
      </vt:variant>
      <vt:variant>
        <vt:i4>1</vt:i4>
      </vt:variant>
    </vt:vector>
  </HeadingPairs>
  <TitlesOfParts>
    <vt:vector size="1" baseType="lpstr">
      <vt:lpstr>R16-WRC19-C-0012!A22!MSW-A</vt:lpstr>
    </vt:vector>
  </TitlesOfParts>
  <Manager>General Secretariat - Pool</Manager>
  <Company>International Telecommunication Union (ITU)</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R16-WRC19-C-0012!A22!MSW-A</dc:title>
  <dc:creator>Documents Proposals Manager (DPM)</dc:creator>
  <cp:keywords>DPM_v2019.10.15.2_prod</cp:keywords>
  <cp:lastModifiedBy>Riz, Imad</cp:lastModifiedBy>
  <cp:revision>16</cp:revision>
  <cp:lastPrinted>2019-10-25T09:19:00Z</cp:lastPrinted>
  <dcterms:created xsi:type="dcterms:W3CDTF">2019-10-18T15:15:00Z</dcterms:created>
  <dcterms:modified xsi:type="dcterms:W3CDTF">2019-10-25T09:20:00Z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