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C13372" w:rsidTr="0050008E">
        <w:trPr>
          <w:cantSplit/>
        </w:trPr>
        <w:tc>
          <w:tcPr>
            <w:tcW w:w="6911" w:type="dxa"/>
          </w:tcPr>
          <w:p w:rsidR="0090121B" w:rsidRPr="00C13372" w:rsidRDefault="005D46FB" w:rsidP="00C44E9E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C13372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 w:rsidRPr="00C13372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C13372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13372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C13372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el-Sheikh (Egipto)</w:t>
            </w:r>
            <w:r w:rsidRPr="00C13372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C13372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="005716F8" w:rsidRPr="005716F8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="00C44E9E" w:rsidRPr="00C13372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C13372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C13372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C13372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C13372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120" w:type="dxa"/>
          </w:tcPr>
          <w:p w:rsidR="0090121B" w:rsidRPr="00C13372" w:rsidRDefault="00DA71A3" w:rsidP="00CE7431">
            <w:pPr>
              <w:spacing w:before="0" w:line="240" w:lineRule="atLeast"/>
              <w:jc w:val="right"/>
            </w:pPr>
            <w:r w:rsidRPr="00C13372">
              <w:rPr>
                <w:rFonts w:ascii="Verdana" w:hAnsi="Verdana"/>
                <w:b/>
                <w:bCs/>
                <w:noProof/>
                <w:szCs w:val="24"/>
                <w:lang w:val="en-US" w:eastAsia="zh-CN"/>
              </w:rPr>
              <w:drawing>
                <wp:inline distT="0" distB="0" distL="0" distR="0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C13372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90121B" w:rsidRPr="00C13372" w:rsidRDefault="0090121B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90121B" w:rsidRPr="00C13372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C13372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90121B" w:rsidRPr="00C13372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90121B" w:rsidRPr="00C13372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C13372" w:rsidTr="0090121B">
        <w:trPr>
          <w:cantSplit/>
        </w:trPr>
        <w:tc>
          <w:tcPr>
            <w:tcW w:w="6911" w:type="dxa"/>
          </w:tcPr>
          <w:p w:rsidR="0090121B" w:rsidRPr="00C13372" w:rsidRDefault="001E7D42" w:rsidP="00EA77F0">
            <w:pPr>
              <w:pStyle w:val="Committee"/>
              <w:framePr w:hSpace="0" w:wrap="auto" w:hAnchor="text" w:yAlign="inline"/>
              <w:rPr>
                <w:lang w:val="es-ES_tradnl"/>
              </w:rPr>
            </w:pPr>
            <w:r w:rsidRPr="00C13372">
              <w:rPr>
                <w:lang w:val="es-ES_tradnl"/>
              </w:rPr>
              <w:t>SESIÓN PLENARIA</w:t>
            </w:r>
          </w:p>
        </w:tc>
        <w:tc>
          <w:tcPr>
            <w:tcW w:w="3120" w:type="dxa"/>
          </w:tcPr>
          <w:p w:rsidR="0090121B" w:rsidRPr="00C13372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r w:rsidRPr="00C13372">
              <w:rPr>
                <w:rFonts w:ascii="Verdana" w:hAnsi="Verdana"/>
                <w:b/>
                <w:sz w:val="20"/>
              </w:rPr>
              <w:t>Addéndum 4 al</w:t>
            </w:r>
            <w:r w:rsidRPr="00C13372">
              <w:rPr>
                <w:rFonts w:ascii="Verdana" w:hAnsi="Verdana"/>
                <w:b/>
                <w:sz w:val="20"/>
              </w:rPr>
              <w:br/>
              <w:t>Documento 12(Add.21)</w:t>
            </w:r>
            <w:r w:rsidR="0090121B" w:rsidRPr="00C13372">
              <w:rPr>
                <w:rFonts w:ascii="Verdana" w:hAnsi="Verdana"/>
                <w:b/>
                <w:sz w:val="20"/>
              </w:rPr>
              <w:t>-</w:t>
            </w:r>
            <w:r w:rsidRPr="00C13372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0"/>
      <w:tr w:rsidR="000A5B9A" w:rsidRPr="00C13372" w:rsidTr="0090121B">
        <w:trPr>
          <w:cantSplit/>
        </w:trPr>
        <w:tc>
          <w:tcPr>
            <w:tcW w:w="6911" w:type="dxa"/>
          </w:tcPr>
          <w:p w:rsidR="000A5B9A" w:rsidRPr="00C13372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:rsidR="000A5B9A" w:rsidRPr="00C13372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C13372">
              <w:rPr>
                <w:rFonts w:ascii="Verdana" w:hAnsi="Verdana"/>
                <w:b/>
                <w:sz w:val="20"/>
              </w:rPr>
              <w:t>23 de junio de 2019</w:t>
            </w:r>
          </w:p>
        </w:tc>
      </w:tr>
      <w:tr w:rsidR="000A5B9A" w:rsidRPr="00C13372" w:rsidTr="0090121B">
        <w:trPr>
          <w:cantSplit/>
        </w:trPr>
        <w:tc>
          <w:tcPr>
            <w:tcW w:w="6911" w:type="dxa"/>
          </w:tcPr>
          <w:p w:rsidR="000A5B9A" w:rsidRPr="00C13372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:rsidR="000A5B9A" w:rsidRPr="00C13372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C13372">
              <w:rPr>
                <w:rFonts w:ascii="Verdana" w:hAnsi="Verdana"/>
                <w:b/>
                <w:sz w:val="20"/>
              </w:rPr>
              <w:t>Original: ruso</w:t>
            </w:r>
          </w:p>
        </w:tc>
      </w:tr>
      <w:tr w:rsidR="000A5B9A" w:rsidRPr="00C13372" w:rsidTr="006744FC">
        <w:trPr>
          <w:cantSplit/>
        </w:trPr>
        <w:tc>
          <w:tcPr>
            <w:tcW w:w="10031" w:type="dxa"/>
            <w:gridSpan w:val="2"/>
          </w:tcPr>
          <w:p w:rsidR="000A5B9A" w:rsidRPr="00C13372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C13372" w:rsidTr="0050008E">
        <w:trPr>
          <w:cantSplit/>
        </w:trPr>
        <w:tc>
          <w:tcPr>
            <w:tcW w:w="10031" w:type="dxa"/>
            <w:gridSpan w:val="2"/>
          </w:tcPr>
          <w:p w:rsidR="000A5B9A" w:rsidRPr="00C13372" w:rsidRDefault="000A5B9A" w:rsidP="000A5B9A">
            <w:pPr>
              <w:pStyle w:val="Source"/>
            </w:pPr>
            <w:bookmarkStart w:id="1" w:name="dsource" w:colFirst="0" w:colLast="0"/>
            <w:r w:rsidRPr="00C13372">
              <w:t>Propuestas Comunes de la Comunidad Regional de Comunicaciones</w:t>
            </w:r>
          </w:p>
        </w:tc>
      </w:tr>
      <w:tr w:rsidR="000A5B9A" w:rsidRPr="00C13372" w:rsidTr="0050008E">
        <w:trPr>
          <w:cantSplit/>
        </w:trPr>
        <w:tc>
          <w:tcPr>
            <w:tcW w:w="10031" w:type="dxa"/>
            <w:gridSpan w:val="2"/>
          </w:tcPr>
          <w:p w:rsidR="000A5B9A" w:rsidRPr="00C13372" w:rsidRDefault="005A498C" w:rsidP="005A498C">
            <w:pPr>
              <w:pStyle w:val="Title1"/>
            </w:pPr>
            <w:bookmarkStart w:id="2" w:name="dtitle1" w:colFirst="0" w:colLast="0"/>
            <w:bookmarkEnd w:id="1"/>
            <w:r w:rsidRPr="00C13372">
              <w:t>propuestas para los trabajos de la Conferencia</w:t>
            </w:r>
          </w:p>
        </w:tc>
      </w:tr>
      <w:tr w:rsidR="000A5B9A" w:rsidRPr="00C13372" w:rsidTr="0050008E">
        <w:trPr>
          <w:cantSplit/>
        </w:trPr>
        <w:tc>
          <w:tcPr>
            <w:tcW w:w="10031" w:type="dxa"/>
            <w:gridSpan w:val="2"/>
          </w:tcPr>
          <w:p w:rsidR="000A5B9A" w:rsidRPr="00C13372" w:rsidRDefault="000A5B9A" w:rsidP="000A5B9A">
            <w:pPr>
              <w:pStyle w:val="Title2"/>
            </w:pPr>
            <w:bookmarkStart w:id="3" w:name="dtitle2" w:colFirst="0" w:colLast="0"/>
            <w:bookmarkEnd w:id="2"/>
          </w:p>
        </w:tc>
      </w:tr>
      <w:tr w:rsidR="000A5B9A" w:rsidRPr="00C13372" w:rsidTr="0050008E">
        <w:trPr>
          <w:cantSplit/>
        </w:trPr>
        <w:tc>
          <w:tcPr>
            <w:tcW w:w="10031" w:type="dxa"/>
            <w:gridSpan w:val="2"/>
          </w:tcPr>
          <w:p w:rsidR="000A5B9A" w:rsidRPr="00C13372" w:rsidRDefault="000A5B9A" w:rsidP="000A5B9A">
            <w:pPr>
              <w:pStyle w:val="Agendaitem"/>
            </w:pPr>
            <w:bookmarkStart w:id="4" w:name="dtitle3" w:colFirst="0" w:colLast="0"/>
            <w:bookmarkEnd w:id="3"/>
            <w:r w:rsidRPr="00C13372">
              <w:t>Punto 9.1(9.1.4) del orden del día</w:t>
            </w:r>
          </w:p>
        </w:tc>
      </w:tr>
    </w:tbl>
    <w:bookmarkEnd w:id="4"/>
    <w:p w:rsidR="001C0E40" w:rsidRPr="00C13372" w:rsidRDefault="00C94B5A" w:rsidP="006C7A8A">
      <w:pPr>
        <w:pStyle w:val="Normalaftertitle"/>
      </w:pPr>
      <w:r w:rsidRPr="00C13372">
        <w:t>9</w:t>
      </w:r>
      <w:r w:rsidRPr="00C13372">
        <w:tab/>
        <w:t>examinar y aprobar el Informe del Director de la Oficina de Radiocomunicaciones, de conformidad con el Artículo 7 del Convenio:</w:t>
      </w:r>
    </w:p>
    <w:p w:rsidR="001C0E40" w:rsidRPr="00C13372" w:rsidRDefault="00C94B5A" w:rsidP="003A37B0">
      <w:r w:rsidRPr="00C13372">
        <w:t>9.1</w:t>
      </w:r>
      <w:r w:rsidRPr="00C13372">
        <w:tab/>
        <w:t>sobre las actividades del Sector de Radiocomunicaciones desde la CMR</w:t>
      </w:r>
      <w:r w:rsidRPr="00C13372">
        <w:noBreakHyphen/>
        <w:t>15;</w:t>
      </w:r>
    </w:p>
    <w:p w:rsidR="001C0E40" w:rsidRPr="00C13372" w:rsidRDefault="00C94B5A" w:rsidP="003A37B0">
      <w:r w:rsidRPr="00C13372">
        <w:rPr>
          <w:rFonts w:cstheme="majorBidi"/>
          <w:color w:val="000000"/>
          <w:szCs w:val="24"/>
          <w:lang w:eastAsia="zh-CN"/>
        </w:rPr>
        <w:t>9.1 (</w:t>
      </w:r>
      <w:r w:rsidRPr="00C13372">
        <w:rPr>
          <w:lang w:eastAsia="zh-CN"/>
        </w:rPr>
        <w:t>9.1.4)</w:t>
      </w:r>
      <w:r w:rsidRPr="00C13372">
        <w:tab/>
      </w:r>
      <w:hyperlink w:anchor="RES_763" w:history="1">
        <w:r w:rsidRPr="00C13372">
          <w:t xml:space="preserve">Resolución </w:t>
        </w:r>
        <w:r w:rsidRPr="00C13372">
          <w:rPr>
            <w:b/>
            <w:bCs/>
          </w:rPr>
          <w:t>763 (CMR-15)</w:t>
        </w:r>
      </w:hyperlink>
      <w:r w:rsidRPr="00C13372">
        <w:t xml:space="preserve"> – Estaciones a bordo de vehículos suborbitales</w:t>
      </w:r>
    </w:p>
    <w:p w:rsidR="005A498C" w:rsidRPr="00C13372" w:rsidRDefault="005A498C" w:rsidP="005A498C">
      <w:pPr>
        <w:pStyle w:val="Headingb"/>
      </w:pPr>
      <w:r w:rsidRPr="00C13372">
        <w:t>Introducción</w:t>
      </w:r>
    </w:p>
    <w:p w:rsidR="005A498C" w:rsidRPr="00C13372" w:rsidRDefault="005A498C" w:rsidP="00142C49">
      <w:r w:rsidRPr="00C13372">
        <w:t xml:space="preserve">En </w:t>
      </w:r>
      <w:r w:rsidR="00142C49">
        <w:t>el marco</w:t>
      </w:r>
      <w:r w:rsidRPr="00C13372">
        <w:t xml:space="preserve"> de este punto del orden era necesario:</w:t>
      </w:r>
    </w:p>
    <w:p w:rsidR="005A498C" w:rsidRPr="00C13372" w:rsidRDefault="005A498C" w:rsidP="005A498C">
      <w:pPr>
        <w:pStyle w:val="enumlev1"/>
      </w:pPr>
      <w:r w:rsidRPr="00C13372">
        <w:t>1</w:t>
      </w:r>
      <w:r w:rsidRPr="00C13372">
        <w:tab/>
        <w:t>llevar a cabo estudios para identificar cualesquiera medidas técnicas y operativas requeridas en relación con las estaciones a bordo de vehículos suborbitales que puedan contribuir a evitar interferencias perjudiciales entre los servicios de radiocomunicaciones;</w:t>
      </w:r>
    </w:p>
    <w:p w:rsidR="005A498C" w:rsidRPr="006C7A8A" w:rsidRDefault="005A498C" w:rsidP="006C7A8A">
      <w:pPr>
        <w:pStyle w:val="enumlev1"/>
      </w:pPr>
      <w:r w:rsidRPr="00C13372">
        <w:t>2</w:t>
      </w:r>
      <w:r w:rsidRPr="00C13372">
        <w:tab/>
      </w:r>
      <w:r w:rsidRPr="006C7A8A">
        <w:t>llevar a cabo estudios para determinar las necesidades de espectro y, a partir de los resultados de esos estudios, considerar un posible futuro punto del orden del día para la</w:t>
      </w:r>
      <w:r w:rsidR="006C7A8A">
        <w:t> </w:t>
      </w:r>
      <w:r w:rsidRPr="006C7A8A">
        <w:t>CMR-23</w:t>
      </w:r>
      <w:r w:rsidRPr="00C13372">
        <w:t>.</w:t>
      </w:r>
    </w:p>
    <w:p w:rsidR="005A498C" w:rsidRPr="00C13372" w:rsidRDefault="005A498C" w:rsidP="006C7A8A">
      <w:r w:rsidRPr="00C13372">
        <w:t xml:space="preserve">Las Administraciones de la CRC consideran que </w:t>
      </w:r>
      <w:r w:rsidRPr="00C13372">
        <w:rPr>
          <w:lang w:eastAsia="zh-CN"/>
        </w:rPr>
        <w:t xml:space="preserve">las estaciones que garantizan los vuelos suborbitales deberían funcionar con arreglo a los marcos de los servicios de radiocomunicaciones existentes y </w:t>
      </w:r>
      <w:r w:rsidR="00C94B5A">
        <w:rPr>
          <w:lang w:eastAsia="zh-CN"/>
        </w:rPr>
        <w:t>ajustarse</w:t>
      </w:r>
      <w:r w:rsidRPr="00C13372">
        <w:rPr>
          <w:lang w:eastAsia="zh-CN"/>
        </w:rPr>
        <w:t xml:space="preserve"> a las disposiciones reglamentarias, técnicas y procesales que están actualmente vigentes para estos servicios de radiocomunicaciones</w:t>
      </w:r>
      <w:r w:rsidRPr="00C13372">
        <w:t>.</w:t>
      </w:r>
      <w:r w:rsidR="00426580" w:rsidRPr="00C13372">
        <w:t xml:space="preserve"> Las Administraciones de la CRC consideran asimismo que, en esta fase, no es necesario modificar las disposiciones del Reglamento de Radiocomunicaciones que rigen la utilización de las estaciones a bordo de vehículos suborbitales.</w:t>
      </w:r>
    </w:p>
    <w:p w:rsidR="005A498C" w:rsidRPr="00C13372" w:rsidRDefault="005A498C" w:rsidP="005A498C">
      <w:pPr>
        <w:pStyle w:val="Headingb"/>
      </w:pPr>
      <w:r w:rsidRPr="00C13372">
        <w:t>Propuesta</w:t>
      </w:r>
    </w:p>
    <w:p w:rsidR="005A498C" w:rsidRPr="00C13372" w:rsidRDefault="00426580" w:rsidP="00426580">
      <w:r w:rsidRPr="00C13372">
        <w:t xml:space="preserve">A fin de abordar el tema 9.1.4 </w:t>
      </w:r>
      <w:r w:rsidR="00C94B5A">
        <w:t>d</w:t>
      </w:r>
      <w:r w:rsidRPr="00C13372">
        <w:t>el punto 9.1 del orden del día de la CMR-19, se propone utilizar el texto reglamentario que figura en el anexo.</w:t>
      </w:r>
    </w:p>
    <w:p w:rsidR="008750A8" w:rsidRPr="00C13372" w:rsidRDefault="00426580" w:rsidP="006C7A8A">
      <w:r w:rsidRPr="00C13372">
        <w:t>No se requieren estudios adicionales antes de la CMR-23 y se propone suprimir la Resolución 763 (CMR-15).</w:t>
      </w:r>
      <w:r w:rsidR="008750A8" w:rsidRPr="00C13372">
        <w:br w:type="page"/>
      </w:r>
    </w:p>
    <w:p w:rsidR="00FA6D34" w:rsidRPr="00C13372" w:rsidRDefault="00C94B5A">
      <w:pPr>
        <w:pStyle w:val="Proposal"/>
      </w:pPr>
      <w:r w:rsidRPr="00C13372">
        <w:rPr>
          <w:u w:val="single"/>
        </w:rPr>
        <w:lastRenderedPageBreak/>
        <w:t>NOC</w:t>
      </w:r>
      <w:r w:rsidRPr="00C13372">
        <w:tab/>
        <w:t>RCC/12A21A4/1</w:t>
      </w:r>
    </w:p>
    <w:p w:rsidR="00294F4B" w:rsidRPr="006C7A8A" w:rsidRDefault="00C94B5A" w:rsidP="007943B9">
      <w:pPr>
        <w:pStyle w:val="Volumetitle"/>
        <w:rPr>
          <w:b/>
          <w:bCs/>
        </w:rPr>
      </w:pPr>
      <w:r w:rsidRPr="006C7A8A">
        <w:rPr>
          <w:b/>
          <w:bCs/>
        </w:rPr>
        <w:t>ARTÍCULOS</w:t>
      </w:r>
    </w:p>
    <w:p w:rsidR="00FA6D34" w:rsidRPr="00C13372" w:rsidRDefault="00C94B5A" w:rsidP="009042A2">
      <w:pPr>
        <w:pStyle w:val="Reasons"/>
      </w:pPr>
      <w:r w:rsidRPr="00C13372">
        <w:rPr>
          <w:b/>
        </w:rPr>
        <w:t>Motivos:</w:t>
      </w:r>
      <w:r w:rsidRPr="00C13372">
        <w:tab/>
      </w:r>
      <w:r w:rsidR="009042A2" w:rsidRPr="00C13372">
        <w:t>De acuerdo con los resultados de los estudios realizados, se estableció que las estaciones a bordo de vehículos suborbitales utilizarían las atribuciones existentes, en particular para los sistemas y aplicaciones relacionados con la seguridad de la aviación y normalizados por la OACI para lograr la armonización y la interoperabilidad.</w:t>
      </w:r>
    </w:p>
    <w:p w:rsidR="00FA6D34" w:rsidRPr="00C13372" w:rsidRDefault="00C94B5A">
      <w:pPr>
        <w:pStyle w:val="Proposal"/>
      </w:pPr>
      <w:r w:rsidRPr="00C13372">
        <w:rPr>
          <w:u w:val="single"/>
        </w:rPr>
        <w:t>NOC</w:t>
      </w:r>
      <w:r w:rsidRPr="00C13372">
        <w:tab/>
        <w:t>RCC/12A21A4/2</w:t>
      </w:r>
    </w:p>
    <w:p w:rsidR="00D80A8A" w:rsidRPr="00C13372" w:rsidRDefault="00C94B5A" w:rsidP="007455B1">
      <w:pPr>
        <w:pStyle w:val="Volumetitle"/>
        <w:rPr>
          <w:b/>
          <w:bCs/>
        </w:rPr>
      </w:pPr>
      <w:bookmarkStart w:id="5" w:name="_Toc327956568"/>
      <w:r w:rsidRPr="00C13372">
        <w:rPr>
          <w:b/>
          <w:bCs/>
        </w:rPr>
        <w:t>APÉNDICES</w:t>
      </w:r>
      <w:bookmarkEnd w:id="5"/>
    </w:p>
    <w:p w:rsidR="00FA6D34" w:rsidRPr="00C13372" w:rsidRDefault="00C94B5A" w:rsidP="009042A2">
      <w:pPr>
        <w:pStyle w:val="Reasons"/>
      </w:pPr>
      <w:r w:rsidRPr="00C13372">
        <w:rPr>
          <w:b/>
        </w:rPr>
        <w:t>Motivos:</w:t>
      </w:r>
      <w:r w:rsidRPr="00C13372">
        <w:tab/>
      </w:r>
      <w:r w:rsidR="009042A2" w:rsidRPr="00C13372">
        <w:t xml:space="preserve">De acuerdo con los resultados de los estudios realizados, se concluyó que no era necesario modificar el Volumen 2, </w:t>
      </w:r>
      <w:r w:rsidR="009042A2" w:rsidRPr="00C13372">
        <w:rPr>
          <w:i/>
          <w:iCs/>
        </w:rPr>
        <w:t>Apéndices</w:t>
      </w:r>
      <w:r w:rsidR="009042A2" w:rsidRPr="00C13372">
        <w:t>, del Reglamento de Radiocomunicaciones.</w:t>
      </w:r>
    </w:p>
    <w:p w:rsidR="00FA6D34" w:rsidRPr="00C13372" w:rsidRDefault="00C94B5A">
      <w:pPr>
        <w:pStyle w:val="Proposal"/>
      </w:pPr>
      <w:r w:rsidRPr="00C13372">
        <w:rPr>
          <w:u w:val="single"/>
        </w:rPr>
        <w:t>NOC</w:t>
      </w:r>
      <w:r w:rsidRPr="00C13372">
        <w:tab/>
        <w:t>RCC/12A21A4/3</w:t>
      </w:r>
    </w:p>
    <w:p w:rsidR="007B7DBC" w:rsidRPr="006C7A8A" w:rsidRDefault="00C94B5A" w:rsidP="002714B7">
      <w:pPr>
        <w:pStyle w:val="Volumetitle"/>
        <w:rPr>
          <w:b/>
          <w:bCs/>
        </w:rPr>
      </w:pPr>
      <w:r w:rsidRPr="006C7A8A">
        <w:rPr>
          <w:b/>
          <w:bCs/>
        </w:rPr>
        <w:t>RESOLUCIONES</w:t>
      </w:r>
    </w:p>
    <w:p w:rsidR="00FA6D34" w:rsidRPr="00C13372" w:rsidRDefault="00C94B5A" w:rsidP="00780424">
      <w:pPr>
        <w:pStyle w:val="Reasons"/>
      </w:pPr>
      <w:r w:rsidRPr="00C13372">
        <w:rPr>
          <w:b/>
        </w:rPr>
        <w:t>Motivos:</w:t>
      </w:r>
      <w:r w:rsidRPr="00C13372">
        <w:tab/>
      </w:r>
      <w:r w:rsidR="009042A2" w:rsidRPr="00C13372">
        <w:t xml:space="preserve">De acuerdo con los resultados de los estudios realizados, se concluyó que no era necesario modificar el Volumen 3, </w:t>
      </w:r>
      <w:r w:rsidR="009042A2" w:rsidRPr="00C13372">
        <w:rPr>
          <w:i/>
          <w:iCs/>
        </w:rPr>
        <w:t>Resoluciones y Recomendaciones</w:t>
      </w:r>
      <w:r w:rsidR="009042A2" w:rsidRPr="00C13372">
        <w:t>, del Reglamento de Radiocomunicaciones, a excepción de la supresión de la Resolución 763 (CMR-15).</w:t>
      </w:r>
    </w:p>
    <w:p w:rsidR="00FA6D34" w:rsidRPr="00C13372" w:rsidRDefault="00C94B5A">
      <w:pPr>
        <w:pStyle w:val="Proposal"/>
      </w:pPr>
      <w:r w:rsidRPr="00C13372">
        <w:rPr>
          <w:u w:val="single"/>
        </w:rPr>
        <w:t>NOC</w:t>
      </w:r>
      <w:r w:rsidRPr="00C13372">
        <w:tab/>
        <w:t>RCC/12A21A4/4</w:t>
      </w:r>
    </w:p>
    <w:p w:rsidR="00F128B3" w:rsidRPr="006C7A8A" w:rsidRDefault="00C94B5A" w:rsidP="006C7A8A">
      <w:pPr>
        <w:pStyle w:val="Volumetitle"/>
        <w:rPr>
          <w:b/>
          <w:bCs/>
        </w:rPr>
      </w:pPr>
      <w:r w:rsidRPr="006C7A8A">
        <w:rPr>
          <w:b/>
          <w:bCs/>
        </w:rPr>
        <w:t>RECOMENDACIONES</w:t>
      </w:r>
    </w:p>
    <w:p w:rsidR="00FA6D34" w:rsidRPr="00C13372" w:rsidRDefault="00C94B5A" w:rsidP="00CD1F38">
      <w:pPr>
        <w:pStyle w:val="Reasons"/>
      </w:pPr>
      <w:r w:rsidRPr="00C13372">
        <w:rPr>
          <w:b/>
        </w:rPr>
        <w:t>Motivos:</w:t>
      </w:r>
      <w:r w:rsidRPr="00C13372">
        <w:tab/>
      </w:r>
      <w:r w:rsidR="009042A2" w:rsidRPr="00C13372">
        <w:t xml:space="preserve">De acuerdo con los resultados de los estudios realizados, </w:t>
      </w:r>
      <w:r w:rsidR="00780424" w:rsidRPr="00C13372">
        <w:t xml:space="preserve">se concluyó que no era necesario modificar </w:t>
      </w:r>
      <w:r w:rsidR="009042A2" w:rsidRPr="00C13372">
        <w:t xml:space="preserve">las Recomendaciones que figuran en el Volumen </w:t>
      </w:r>
      <w:r w:rsidR="00CD1F38">
        <w:t>3</w:t>
      </w:r>
      <w:r w:rsidR="009042A2" w:rsidRPr="00C13372">
        <w:t xml:space="preserve"> del Reglamento de Radiocomunicaciones.</w:t>
      </w:r>
    </w:p>
    <w:p w:rsidR="00FA6D34" w:rsidRPr="00C13372" w:rsidRDefault="00C94B5A">
      <w:pPr>
        <w:pStyle w:val="Proposal"/>
      </w:pPr>
      <w:r w:rsidRPr="00C13372">
        <w:t>SUP</w:t>
      </w:r>
      <w:r w:rsidRPr="00C13372">
        <w:tab/>
        <w:t>RCC/12A21A4/5</w:t>
      </w:r>
    </w:p>
    <w:p w:rsidR="007B7DBC" w:rsidRPr="006C7A8A" w:rsidRDefault="00C94B5A" w:rsidP="006C7A8A">
      <w:pPr>
        <w:pStyle w:val="ResNo"/>
      </w:pPr>
      <w:r w:rsidRPr="006C7A8A">
        <w:t xml:space="preserve">RESOLUCIÓN </w:t>
      </w:r>
      <w:r w:rsidRPr="006C7A8A">
        <w:rPr>
          <w:rStyle w:val="href"/>
        </w:rPr>
        <w:t>763</w:t>
      </w:r>
      <w:r w:rsidRPr="006C7A8A">
        <w:t xml:space="preserve"> (CMR</w:t>
      </w:r>
      <w:r w:rsidRPr="006C7A8A">
        <w:noBreakHyphen/>
        <w:t>15)</w:t>
      </w:r>
    </w:p>
    <w:p w:rsidR="007B7DBC" w:rsidRPr="00C13372" w:rsidRDefault="00C94B5A" w:rsidP="007B7DBC">
      <w:pPr>
        <w:pStyle w:val="Restitle"/>
      </w:pPr>
      <w:r w:rsidRPr="00C13372">
        <w:t>Estaciones a bordo de vehículos suborbitales</w:t>
      </w:r>
    </w:p>
    <w:p w:rsidR="00FA6D34" w:rsidRDefault="00C94B5A" w:rsidP="006739F2">
      <w:pPr>
        <w:pStyle w:val="Reasons"/>
      </w:pPr>
      <w:r w:rsidRPr="00C13372">
        <w:rPr>
          <w:b/>
        </w:rPr>
        <w:t>Motivos:</w:t>
      </w:r>
      <w:r w:rsidRPr="00C13372">
        <w:tab/>
      </w:r>
      <w:r w:rsidR="00780424" w:rsidRPr="00C13372">
        <w:t xml:space="preserve">De acuerdo con los resultados de los estudios realizados, se concluyó que los estudios previstos en el texto de la Resolución habían sido concluidos y que no era necesario </w:t>
      </w:r>
      <w:r w:rsidR="006739F2">
        <w:t>conse</w:t>
      </w:r>
      <w:bookmarkStart w:id="6" w:name="_GoBack"/>
      <w:bookmarkEnd w:id="6"/>
      <w:r w:rsidR="006739F2">
        <w:t>rvar esta Resolución en</w:t>
      </w:r>
      <w:r w:rsidR="00780424" w:rsidRPr="00C13372">
        <w:t xml:space="preserve"> el Volumen 3, </w:t>
      </w:r>
      <w:r w:rsidR="00780424" w:rsidRPr="00C13372">
        <w:rPr>
          <w:i/>
          <w:iCs/>
        </w:rPr>
        <w:t>Resoluciones y Recomendaciones</w:t>
      </w:r>
      <w:r w:rsidR="00780424" w:rsidRPr="00C13372">
        <w:t>, del Reglamento de Radiocomunicaciones.</w:t>
      </w:r>
    </w:p>
    <w:p w:rsidR="006C7A8A" w:rsidRDefault="006C7A8A" w:rsidP="00591C1B"/>
    <w:p w:rsidR="006C7A8A" w:rsidRDefault="006C7A8A">
      <w:pPr>
        <w:jc w:val="center"/>
      </w:pPr>
      <w:r>
        <w:t>______________</w:t>
      </w:r>
    </w:p>
    <w:sectPr w:rsidR="006C7A8A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98E" w:rsidRDefault="0059098E">
      <w:r>
        <w:separator/>
      </w:r>
    </w:p>
  </w:endnote>
  <w:endnote w:type="continuationSeparator" w:id="0">
    <w:p w:rsidR="0059098E" w:rsidRDefault="00590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raditional Arabic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5716F8" w:rsidRDefault="0077084A">
    <w:pPr>
      <w:ind w:right="360"/>
    </w:pPr>
    <w:r>
      <w:fldChar w:fldCharType="begin"/>
    </w:r>
    <w:r w:rsidRPr="005716F8">
      <w:instrText xml:space="preserve"> FILENAME \p  \* MERGEFORMAT </w:instrText>
    </w:r>
    <w:r>
      <w:fldChar w:fldCharType="separate"/>
    </w:r>
    <w:r w:rsidR="005716F8">
      <w:rPr>
        <w:noProof/>
      </w:rPr>
      <w:t>P:\ESP\ITU-R\CONF-R\CMR19\000\012ADD21ADD04S.docx</w:t>
    </w:r>
    <w:r>
      <w:fldChar w:fldCharType="end"/>
    </w:r>
    <w:r w:rsidRPr="005716F8">
      <w:tab/>
    </w:r>
    <w:r>
      <w:fldChar w:fldCharType="begin"/>
    </w:r>
    <w:r>
      <w:instrText xml:space="preserve"> SAVEDATE \@ DD.MM.YY </w:instrText>
    </w:r>
    <w:r>
      <w:fldChar w:fldCharType="separate"/>
    </w:r>
    <w:r w:rsidR="006739F2">
      <w:rPr>
        <w:noProof/>
      </w:rPr>
      <w:t>22.07.19</w:t>
    </w:r>
    <w:r>
      <w:fldChar w:fldCharType="end"/>
    </w:r>
    <w:r w:rsidRPr="005716F8">
      <w:tab/>
    </w:r>
    <w:r>
      <w:fldChar w:fldCharType="begin"/>
    </w:r>
    <w:r>
      <w:instrText xml:space="preserve"> PRINTDATE \@ DD.MM.YY </w:instrText>
    </w:r>
    <w:r>
      <w:fldChar w:fldCharType="separate"/>
    </w:r>
    <w:r w:rsidR="005716F8">
      <w:rPr>
        <w:noProof/>
      </w:rPr>
      <w:t>22.07.19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6739F2" w:rsidP="006C7A8A">
    <w:pPr>
      <w:pStyle w:val="Footer"/>
      <w:rPr>
        <w:lang w:val="en-US"/>
      </w:rPr>
    </w:pPr>
    <w:r>
      <w:fldChar w:fldCharType="begin"/>
    </w:r>
    <w:r>
      <w:instrText xml:space="preserve"> FILENAME \p  \* MERGEFORMAT </w:instrText>
    </w:r>
    <w:r>
      <w:fldChar w:fldCharType="separate"/>
    </w:r>
    <w:r w:rsidR="005716F8">
      <w:t>P:\ESP\ITU-R\CONF-R\CMR19\000\012ADD21ADD04S.docx</w:t>
    </w:r>
    <w:r>
      <w:fldChar w:fldCharType="end"/>
    </w:r>
    <w:r w:rsidR="006C7A8A">
      <w:t xml:space="preserve"> (458150)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8179EB" w:rsidP="00B47331">
    <w:pPr>
      <w:pStyle w:val="Footer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FILENAME  \p  \* MERGEFORMAT </w:instrText>
    </w:r>
    <w:r>
      <w:rPr>
        <w:lang w:val="en-US"/>
      </w:rPr>
      <w:fldChar w:fldCharType="separate"/>
    </w:r>
    <w:r w:rsidR="005716F8">
      <w:rPr>
        <w:lang w:val="en-US"/>
      </w:rPr>
      <w:t>P:\ESP\ITU-R\CONF-R\CMR19\000\012ADD21ADD04S.docx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98E" w:rsidRDefault="0059098E">
      <w:r>
        <w:rPr>
          <w:b/>
        </w:rPr>
        <w:t>_______________</w:t>
      </w:r>
    </w:p>
  </w:footnote>
  <w:footnote w:type="continuationSeparator" w:id="0">
    <w:p w:rsidR="0059098E" w:rsidRDefault="005909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739F2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12(Add.21)(Add.4)-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87AE8"/>
    <w:rsid w:val="000A2C98"/>
    <w:rsid w:val="000A5B9A"/>
    <w:rsid w:val="000E5BF9"/>
    <w:rsid w:val="000F0E6D"/>
    <w:rsid w:val="00121170"/>
    <w:rsid w:val="00123CC5"/>
    <w:rsid w:val="00142C49"/>
    <w:rsid w:val="0015142D"/>
    <w:rsid w:val="001616DC"/>
    <w:rsid w:val="00163962"/>
    <w:rsid w:val="00191A97"/>
    <w:rsid w:val="0019729C"/>
    <w:rsid w:val="001A083F"/>
    <w:rsid w:val="001C41FA"/>
    <w:rsid w:val="001E2B52"/>
    <w:rsid w:val="001E3F27"/>
    <w:rsid w:val="001E7D42"/>
    <w:rsid w:val="00236D2A"/>
    <w:rsid w:val="0024569E"/>
    <w:rsid w:val="00255F12"/>
    <w:rsid w:val="00262C09"/>
    <w:rsid w:val="002A791F"/>
    <w:rsid w:val="002C1A52"/>
    <w:rsid w:val="002C1B26"/>
    <w:rsid w:val="002C5D6C"/>
    <w:rsid w:val="002E701F"/>
    <w:rsid w:val="003248A9"/>
    <w:rsid w:val="00324FFA"/>
    <w:rsid w:val="0032680B"/>
    <w:rsid w:val="00363A65"/>
    <w:rsid w:val="003B1E8C"/>
    <w:rsid w:val="003C2508"/>
    <w:rsid w:val="003D0AA3"/>
    <w:rsid w:val="003E2086"/>
    <w:rsid w:val="003F7F66"/>
    <w:rsid w:val="00426580"/>
    <w:rsid w:val="00440B3A"/>
    <w:rsid w:val="0044375A"/>
    <w:rsid w:val="0045384C"/>
    <w:rsid w:val="00454553"/>
    <w:rsid w:val="00472A86"/>
    <w:rsid w:val="00497D02"/>
    <w:rsid w:val="004B124A"/>
    <w:rsid w:val="004B3095"/>
    <w:rsid w:val="004D2C7C"/>
    <w:rsid w:val="005133B5"/>
    <w:rsid w:val="00524392"/>
    <w:rsid w:val="00532097"/>
    <w:rsid w:val="005716F8"/>
    <w:rsid w:val="0058350F"/>
    <w:rsid w:val="00583C7E"/>
    <w:rsid w:val="0059098E"/>
    <w:rsid w:val="00591C1B"/>
    <w:rsid w:val="005A498C"/>
    <w:rsid w:val="005D46FB"/>
    <w:rsid w:val="005F2605"/>
    <w:rsid w:val="005F3B0E"/>
    <w:rsid w:val="005F559C"/>
    <w:rsid w:val="00602857"/>
    <w:rsid w:val="006124AD"/>
    <w:rsid w:val="00624009"/>
    <w:rsid w:val="00662BA0"/>
    <w:rsid w:val="0067344B"/>
    <w:rsid w:val="006739F2"/>
    <w:rsid w:val="00684A94"/>
    <w:rsid w:val="00692AAE"/>
    <w:rsid w:val="006C0E38"/>
    <w:rsid w:val="006C7A8A"/>
    <w:rsid w:val="006D6E67"/>
    <w:rsid w:val="006E1A13"/>
    <w:rsid w:val="00701C20"/>
    <w:rsid w:val="00702F3D"/>
    <w:rsid w:val="0070518E"/>
    <w:rsid w:val="007354E9"/>
    <w:rsid w:val="0074579D"/>
    <w:rsid w:val="00765578"/>
    <w:rsid w:val="00766333"/>
    <w:rsid w:val="0077084A"/>
    <w:rsid w:val="00777010"/>
    <w:rsid w:val="00780424"/>
    <w:rsid w:val="007952C7"/>
    <w:rsid w:val="007C0B95"/>
    <w:rsid w:val="007C2317"/>
    <w:rsid w:val="007D330A"/>
    <w:rsid w:val="008179EB"/>
    <w:rsid w:val="00866AE6"/>
    <w:rsid w:val="008750A8"/>
    <w:rsid w:val="008E5AF2"/>
    <w:rsid w:val="0090121B"/>
    <w:rsid w:val="009042A2"/>
    <w:rsid w:val="009144C9"/>
    <w:rsid w:val="0094091F"/>
    <w:rsid w:val="00962171"/>
    <w:rsid w:val="00973754"/>
    <w:rsid w:val="009C0BED"/>
    <w:rsid w:val="009E11EC"/>
    <w:rsid w:val="00A118DB"/>
    <w:rsid w:val="00A4450C"/>
    <w:rsid w:val="00AA5E6C"/>
    <w:rsid w:val="00AE5677"/>
    <w:rsid w:val="00AE658F"/>
    <w:rsid w:val="00AF2F78"/>
    <w:rsid w:val="00B239FA"/>
    <w:rsid w:val="00B47331"/>
    <w:rsid w:val="00B52D55"/>
    <w:rsid w:val="00B8288C"/>
    <w:rsid w:val="00BE2E80"/>
    <w:rsid w:val="00BE5EDD"/>
    <w:rsid w:val="00BE6A1F"/>
    <w:rsid w:val="00C126C4"/>
    <w:rsid w:val="00C13372"/>
    <w:rsid w:val="00C44E9E"/>
    <w:rsid w:val="00C63EB5"/>
    <w:rsid w:val="00C87DA7"/>
    <w:rsid w:val="00C94B5A"/>
    <w:rsid w:val="00CC01E0"/>
    <w:rsid w:val="00CD1F38"/>
    <w:rsid w:val="00CD5FEE"/>
    <w:rsid w:val="00CE60D2"/>
    <w:rsid w:val="00CE7431"/>
    <w:rsid w:val="00D0288A"/>
    <w:rsid w:val="00D216F3"/>
    <w:rsid w:val="00D72A5D"/>
    <w:rsid w:val="00DA71A3"/>
    <w:rsid w:val="00DC629B"/>
    <w:rsid w:val="00E05BFF"/>
    <w:rsid w:val="00E262F1"/>
    <w:rsid w:val="00E3176A"/>
    <w:rsid w:val="00E54754"/>
    <w:rsid w:val="00E56BD3"/>
    <w:rsid w:val="00E71D14"/>
    <w:rsid w:val="00EA77F0"/>
    <w:rsid w:val="00F32316"/>
    <w:rsid w:val="00F66597"/>
    <w:rsid w:val="00F675D0"/>
    <w:rsid w:val="00F8150C"/>
    <w:rsid w:val="00FA6D34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rsid w:val="00B9039E"/>
  </w:style>
  <w:style w:type="character" w:styleId="Hyperlink">
    <w:name w:val="Hyperlink"/>
    <w:basedOn w:val="DefaultParagraphFont"/>
    <w:unhideWhenUsed/>
    <w:rsid w:val="005A498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142C4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42C49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R16-WRC19-C-0012!A21-A4!MSW-S</DPM_x0020_File_x0020_name>
    <DPM_x0020_Author xmlns="32a1a8c5-2265-4ebc-b7a0-2071e2c5c9bb" xsi:nil="false">DPM</DPM_x0020_Author>
    <DPM_x0020_Version xmlns="32a1a8c5-2265-4ebc-b7a0-2071e2c5c9bb" xsi:nil="false">DPM_2019.06.28.01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DEE248-CBEE-4A60-8CC2-BE55537399A6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32a1a8c5-2265-4ebc-b7a0-2071e2c5c9bb"/>
    <ds:schemaRef ds:uri="996b2e75-67fd-4955-a3b0-5ab9934cb50b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2C7A066-DC1D-4BDC-BB89-ADD57CEF9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505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R16-WRC19-C-0012!A21-A4!MSW-S</vt:lpstr>
    </vt:vector>
  </TitlesOfParts>
  <Manager>Secretaría General - Pool</Manager>
  <Company>Unión Internacional de Telecomunicaciones (UIT)</Company>
  <LinksUpToDate>false</LinksUpToDate>
  <CharactersWithSpaces>3518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R16-WRC19-C-0012!A21-A4!MSW-S</dc:title>
  <dc:subject>Conferencia Mundial de Radiocomunicaciones - 2019</dc:subject>
  <dc:creator>Documents Proposals Manager (DPM)</dc:creator>
  <cp:keywords>DPM_v2019.6.28.1_prod</cp:keywords>
  <dc:description/>
  <cp:lastModifiedBy>Spanish83</cp:lastModifiedBy>
  <cp:revision>9</cp:revision>
  <cp:lastPrinted>2019-07-22T13:06:00Z</cp:lastPrinted>
  <dcterms:created xsi:type="dcterms:W3CDTF">2019-07-22T12:57:00Z</dcterms:created>
  <dcterms:modified xsi:type="dcterms:W3CDTF">2019-07-22T14:09:00Z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