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5C071F" w:rsidTr="0050008E">
        <w:trPr>
          <w:cantSplit/>
        </w:trPr>
        <w:tc>
          <w:tcPr>
            <w:tcW w:w="6911" w:type="dxa"/>
          </w:tcPr>
          <w:p w:rsidR="00BB1D82" w:rsidRPr="005C071F" w:rsidRDefault="00851625" w:rsidP="00F10064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</w:rPr>
            </w:pPr>
            <w:r w:rsidRPr="005C071F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5C071F">
              <w:rPr>
                <w:rFonts w:ascii="Verdana" w:hAnsi="Verdana"/>
                <w:b/>
                <w:bCs/>
                <w:sz w:val="20"/>
              </w:rPr>
              <w:t>9</w:t>
            </w:r>
            <w:r w:rsidRPr="005C071F">
              <w:rPr>
                <w:rFonts w:ascii="Verdana" w:hAnsi="Verdana"/>
                <w:b/>
                <w:bCs/>
                <w:sz w:val="20"/>
              </w:rPr>
              <w:t>)</w:t>
            </w:r>
            <w:r w:rsidRPr="005C071F">
              <w:rPr>
                <w:rFonts w:ascii="Verdana" w:hAnsi="Verdana"/>
                <w:b/>
                <w:bCs/>
                <w:sz w:val="20"/>
              </w:rPr>
              <w:br/>
            </w:r>
            <w:r w:rsidR="00063A1F" w:rsidRPr="005C071F">
              <w:rPr>
                <w:rFonts w:ascii="Verdana" w:hAnsi="Verdana"/>
                <w:b/>
                <w:bCs/>
                <w:sz w:val="18"/>
                <w:szCs w:val="18"/>
              </w:rPr>
              <w:t xml:space="preserve">Charm el-Cheikh, </w:t>
            </w:r>
            <w:r w:rsidR="00081366" w:rsidRPr="005C071F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5C071F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5C071F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5C071F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5C071F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5C071F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5C071F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5C071F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5C071F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5C071F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5C071F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5C071F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:rsidR="00BB1D82" w:rsidRPr="005C071F" w:rsidRDefault="000A55AE" w:rsidP="002C28A4">
            <w:pPr>
              <w:spacing w:before="0" w:line="240" w:lineRule="atLeast"/>
              <w:jc w:val="right"/>
            </w:pPr>
            <w:r w:rsidRPr="005C071F">
              <w:rPr>
                <w:rFonts w:ascii="Verdana" w:hAnsi="Verdana"/>
                <w:b/>
                <w:bCs/>
                <w:noProof/>
                <w:lang w:val="fr-CH" w:eastAsia="zh-CN"/>
              </w:rPr>
              <w:drawing>
                <wp:inline distT="0" distB="0" distL="0" distR="0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5C071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5C071F" w:rsidRDefault="00BB1D82" w:rsidP="00BB1D82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5C071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BB1D82" w:rsidRPr="005C071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5C071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5C071F" w:rsidRDefault="00BB1D82" w:rsidP="00BB1D82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BB1D82" w:rsidRPr="005C071F" w:rsidTr="00BB1D82">
        <w:trPr>
          <w:cantSplit/>
        </w:trPr>
        <w:tc>
          <w:tcPr>
            <w:tcW w:w="6911" w:type="dxa"/>
          </w:tcPr>
          <w:p w:rsidR="00BB1D82" w:rsidRPr="005C071F" w:rsidRDefault="006D4724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5C071F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:rsidR="00BB1D82" w:rsidRPr="005C071F" w:rsidRDefault="006D4724" w:rsidP="00BA5BD0">
            <w:pPr>
              <w:spacing w:before="0"/>
              <w:rPr>
                <w:rFonts w:ascii="Verdana" w:hAnsi="Verdana"/>
                <w:sz w:val="20"/>
              </w:rPr>
            </w:pPr>
            <w:r w:rsidRPr="005C071F">
              <w:rPr>
                <w:rFonts w:ascii="Verdana" w:hAnsi="Verdana"/>
                <w:b/>
                <w:sz w:val="20"/>
              </w:rPr>
              <w:t>Addendum 4 au</w:t>
            </w:r>
            <w:r w:rsidRPr="005C071F">
              <w:rPr>
                <w:rFonts w:ascii="Verdana" w:hAnsi="Verdana"/>
                <w:b/>
                <w:sz w:val="20"/>
              </w:rPr>
              <w:br/>
              <w:t>Document 12(Add.21)</w:t>
            </w:r>
            <w:r w:rsidR="00BB1D82" w:rsidRPr="005C071F">
              <w:rPr>
                <w:rFonts w:ascii="Verdana" w:hAnsi="Verdana"/>
                <w:b/>
                <w:sz w:val="20"/>
              </w:rPr>
              <w:t>-</w:t>
            </w:r>
            <w:r w:rsidRPr="005C071F">
              <w:rPr>
                <w:rFonts w:ascii="Verdana" w:hAnsi="Verdana"/>
                <w:b/>
                <w:sz w:val="20"/>
              </w:rPr>
              <w:t>F</w:t>
            </w:r>
          </w:p>
        </w:tc>
      </w:tr>
      <w:tr w:rsidR="00690C7B" w:rsidRPr="005C071F" w:rsidTr="00BB1D82">
        <w:trPr>
          <w:cantSplit/>
        </w:trPr>
        <w:tc>
          <w:tcPr>
            <w:tcW w:w="6911" w:type="dxa"/>
          </w:tcPr>
          <w:p w:rsidR="00690C7B" w:rsidRPr="005C071F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:rsidR="00690C7B" w:rsidRPr="005C071F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5C071F">
              <w:rPr>
                <w:rFonts w:ascii="Verdana" w:hAnsi="Verdana"/>
                <w:b/>
                <w:sz w:val="20"/>
              </w:rPr>
              <w:t>23 juin 2019</w:t>
            </w:r>
          </w:p>
        </w:tc>
      </w:tr>
      <w:tr w:rsidR="00690C7B" w:rsidRPr="005C071F" w:rsidTr="00BB1D82">
        <w:trPr>
          <w:cantSplit/>
        </w:trPr>
        <w:tc>
          <w:tcPr>
            <w:tcW w:w="6911" w:type="dxa"/>
          </w:tcPr>
          <w:p w:rsidR="00690C7B" w:rsidRPr="005C071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690C7B" w:rsidRPr="005C071F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5C071F">
              <w:rPr>
                <w:rFonts w:ascii="Verdana" w:hAnsi="Verdana"/>
                <w:b/>
                <w:sz w:val="20"/>
              </w:rPr>
              <w:t>Original: russe</w:t>
            </w:r>
          </w:p>
        </w:tc>
      </w:tr>
      <w:tr w:rsidR="00690C7B" w:rsidRPr="005C071F" w:rsidTr="00C11970">
        <w:trPr>
          <w:cantSplit/>
        </w:trPr>
        <w:tc>
          <w:tcPr>
            <w:tcW w:w="10031" w:type="dxa"/>
            <w:gridSpan w:val="2"/>
          </w:tcPr>
          <w:p w:rsidR="00690C7B" w:rsidRPr="005C071F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5C071F" w:rsidTr="0050008E">
        <w:trPr>
          <w:cantSplit/>
        </w:trPr>
        <w:tc>
          <w:tcPr>
            <w:tcW w:w="10031" w:type="dxa"/>
            <w:gridSpan w:val="2"/>
          </w:tcPr>
          <w:p w:rsidR="00690C7B" w:rsidRPr="005C071F" w:rsidRDefault="00690C7B" w:rsidP="00690C7B">
            <w:pPr>
              <w:pStyle w:val="Source"/>
            </w:pPr>
            <w:bookmarkStart w:id="0" w:name="dsource" w:colFirst="0" w:colLast="0"/>
            <w:r w:rsidRPr="005C071F">
              <w:t>Propositions communes de la Communauté régionale des communications</w:t>
            </w:r>
          </w:p>
        </w:tc>
      </w:tr>
      <w:tr w:rsidR="00690C7B" w:rsidRPr="005C071F" w:rsidTr="0050008E">
        <w:trPr>
          <w:cantSplit/>
        </w:trPr>
        <w:tc>
          <w:tcPr>
            <w:tcW w:w="10031" w:type="dxa"/>
            <w:gridSpan w:val="2"/>
          </w:tcPr>
          <w:p w:rsidR="00690C7B" w:rsidRPr="005C071F" w:rsidRDefault="00F015E3" w:rsidP="00690C7B">
            <w:pPr>
              <w:pStyle w:val="Title1"/>
            </w:pPr>
            <w:bookmarkStart w:id="1" w:name="dtitle1" w:colFirst="0" w:colLast="0"/>
            <w:bookmarkEnd w:id="0"/>
            <w:r w:rsidRPr="005C071F">
              <w:t>propositions pour les travaux de la conférence</w:t>
            </w:r>
          </w:p>
        </w:tc>
      </w:tr>
      <w:tr w:rsidR="00690C7B" w:rsidRPr="005C071F" w:rsidTr="0050008E">
        <w:trPr>
          <w:cantSplit/>
        </w:trPr>
        <w:tc>
          <w:tcPr>
            <w:tcW w:w="10031" w:type="dxa"/>
            <w:gridSpan w:val="2"/>
          </w:tcPr>
          <w:p w:rsidR="00690C7B" w:rsidRPr="005C071F" w:rsidRDefault="00690C7B" w:rsidP="00690C7B">
            <w:pPr>
              <w:pStyle w:val="Title2"/>
            </w:pPr>
            <w:bookmarkStart w:id="2" w:name="dtitle2" w:colFirst="0" w:colLast="0"/>
            <w:bookmarkEnd w:id="1"/>
          </w:p>
        </w:tc>
      </w:tr>
      <w:tr w:rsidR="00690C7B" w:rsidRPr="005C071F" w:rsidTr="0050008E">
        <w:trPr>
          <w:cantSplit/>
        </w:trPr>
        <w:tc>
          <w:tcPr>
            <w:tcW w:w="10031" w:type="dxa"/>
            <w:gridSpan w:val="2"/>
          </w:tcPr>
          <w:p w:rsidR="00690C7B" w:rsidRPr="005C071F" w:rsidRDefault="00690C7B" w:rsidP="00690C7B">
            <w:pPr>
              <w:pStyle w:val="Agendaitem"/>
              <w:rPr>
                <w:lang w:val="fr-FR"/>
              </w:rPr>
            </w:pPr>
            <w:bookmarkStart w:id="3" w:name="dtitle3" w:colFirst="0" w:colLast="0"/>
            <w:bookmarkEnd w:id="2"/>
            <w:r w:rsidRPr="005C071F">
              <w:rPr>
                <w:lang w:val="fr-FR"/>
              </w:rPr>
              <w:t>Point 9.1(9.1.4) de l'ordre du jour</w:t>
            </w:r>
          </w:p>
        </w:tc>
      </w:tr>
    </w:tbl>
    <w:bookmarkEnd w:id="3"/>
    <w:p w:rsidR="001C0E40" w:rsidRPr="005C071F" w:rsidRDefault="005C071F" w:rsidP="00BC621B">
      <w:pPr>
        <w:pStyle w:val="Normalaftertitle"/>
      </w:pPr>
      <w:r w:rsidRPr="005C071F">
        <w:t>9</w:t>
      </w:r>
      <w:r w:rsidRPr="005C071F">
        <w:tab/>
        <w:t>examiner et approuver le rapport du Directeur du Bureau des radiocommunications, conformément à l'article 7 de la Convention:</w:t>
      </w:r>
    </w:p>
    <w:p w:rsidR="001C0E40" w:rsidRPr="005C071F" w:rsidRDefault="005C071F" w:rsidP="008158A1">
      <w:r w:rsidRPr="005C071F">
        <w:t>9.1</w:t>
      </w:r>
      <w:r w:rsidRPr="005C071F">
        <w:tab/>
        <w:t>sur les activités du Secteur des radiocommunications depuis la CMR</w:t>
      </w:r>
      <w:r w:rsidRPr="005C071F">
        <w:noBreakHyphen/>
        <w:t>15;</w:t>
      </w:r>
    </w:p>
    <w:p w:rsidR="001C0E40" w:rsidRPr="005C071F" w:rsidRDefault="005C071F" w:rsidP="00EF05B9">
      <w:pPr>
        <w:jc w:val="both"/>
      </w:pPr>
      <w:r w:rsidRPr="005C071F">
        <w:rPr>
          <w:rFonts w:cstheme="majorBidi"/>
          <w:color w:val="000000"/>
          <w:szCs w:val="24"/>
          <w:lang w:eastAsia="zh-CN"/>
        </w:rPr>
        <w:t>9.1 (</w:t>
      </w:r>
      <w:r w:rsidRPr="005C071F">
        <w:rPr>
          <w:lang w:eastAsia="zh-CN"/>
        </w:rPr>
        <w:t>9.1.4)</w:t>
      </w:r>
      <w:r w:rsidRPr="005C071F">
        <w:rPr>
          <w:rFonts w:asciiTheme="majorBidi" w:hAnsiTheme="majorBidi" w:cstheme="majorBidi"/>
          <w:bCs/>
          <w:szCs w:val="28"/>
        </w:rPr>
        <w:tab/>
      </w:r>
      <w:hyperlink w:anchor="RES_763" w:history="1">
        <w:r w:rsidRPr="005C071F">
          <w:rPr>
            <w:bCs/>
            <w:szCs w:val="28"/>
          </w:rPr>
          <w:t>Résolution</w:t>
        </w:r>
        <w:r w:rsidRPr="005C071F">
          <w:rPr>
            <w:szCs w:val="28"/>
          </w:rPr>
          <w:t xml:space="preserve"> </w:t>
        </w:r>
        <w:r w:rsidRPr="005C071F">
          <w:rPr>
            <w:b/>
            <w:szCs w:val="28"/>
          </w:rPr>
          <w:t>763 (CMR</w:t>
        </w:r>
        <w:r w:rsidRPr="005C071F">
          <w:rPr>
            <w:b/>
            <w:szCs w:val="28"/>
          </w:rPr>
          <w:noBreakHyphen/>
          <w:t>15)</w:t>
        </w:r>
      </w:hyperlink>
      <w:r w:rsidRPr="005C071F">
        <w:rPr>
          <w:rFonts w:asciiTheme="majorBidi" w:hAnsiTheme="majorBidi" w:cstheme="majorBidi"/>
          <w:bCs/>
          <w:szCs w:val="28"/>
        </w:rPr>
        <w:t xml:space="preserve"> – Stations placées à bord de véhicules suborbitaux</w:t>
      </w:r>
    </w:p>
    <w:p w:rsidR="00F015E3" w:rsidRPr="005C071F" w:rsidRDefault="00F015E3" w:rsidP="00F015E3">
      <w:pPr>
        <w:pStyle w:val="Headingb"/>
      </w:pPr>
      <w:r w:rsidRPr="005C071F">
        <w:t>Introduction</w:t>
      </w:r>
    </w:p>
    <w:p w:rsidR="00F015E3" w:rsidRPr="005C071F" w:rsidRDefault="00F015E3" w:rsidP="00F015E3">
      <w:r w:rsidRPr="005C071F">
        <w:t>Au titre de ce point de l'ordre du jour, il était nécessaire:</w:t>
      </w:r>
    </w:p>
    <w:p w:rsidR="00F015E3" w:rsidRPr="005C071F" w:rsidRDefault="00F015E3" w:rsidP="00F015E3">
      <w:pPr>
        <w:pStyle w:val="enumlev1"/>
      </w:pPr>
      <w:r w:rsidRPr="005C071F">
        <w:t>1</w:t>
      </w:r>
      <w:r w:rsidR="0083591B">
        <w:t>)</w:t>
      </w:r>
      <w:r w:rsidRPr="005C071F">
        <w:tab/>
        <w:t>de procéder à des études pour mettre en évidence les mesures techniques et opérationnelles qui pourraient être nécessaires, en ce qui concerne les stations placées à bord de véhicules suborbitaux, pour contribuer à éviter les brouillages préjudiciables entre services de radiocommunication;</w:t>
      </w:r>
    </w:p>
    <w:p w:rsidR="00F015E3" w:rsidRPr="005C071F" w:rsidRDefault="00F015E3" w:rsidP="00F015E3">
      <w:pPr>
        <w:pStyle w:val="enumlev1"/>
      </w:pPr>
      <w:r w:rsidRPr="005C071F">
        <w:t>2</w:t>
      </w:r>
      <w:r w:rsidR="0083591B">
        <w:t>)</w:t>
      </w:r>
      <w:r w:rsidRPr="005C071F">
        <w:tab/>
        <w:t>de procéder à des études pour déterminer les besoins de fréquences, et, sur la base des résultats de ces études, à envisa</w:t>
      </w:r>
      <w:r w:rsidR="00BC621B">
        <w:t xml:space="preserve">ger l'inscription d'un point </w:t>
      </w:r>
      <w:r w:rsidRPr="005C071F">
        <w:t>éventuel à l'ordre du jour futur de la CMR-23.</w:t>
      </w:r>
    </w:p>
    <w:p w:rsidR="005A74F0" w:rsidRPr="005C071F" w:rsidRDefault="005A74F0" w:rsidP="005A74F0">
      <w:r w:rsidRPr="005C071F">
        <w:t xml:space="preserve">Les </w:t>
      </w:r>
      <w:r w:rsidR="00BC621B" w:rsidRPr="005C071F">
        <w:t>A</w:t>
      </w:r>
      <w:r w:rsidRPr="005C071F">
        <w:t>dministrations d</w:t>
      </w:r>
      <w:r w:rsidR="005C071F">
        <w:t>e</w:t>
      </w:r>
      <w:r w:rsidRPr="005C071F">
        <w:t xml:space="preserve">s pays membres de la </w:t>
      </w:r>
      <w:r w:rsidR="00F015E3" w:rsidRPr="005C071F">
        <w:t xml:space="preserve">RCC </w:t>
      </w:r>
      <w:r w:rsidRPr="005C071F">
        <w:t xml:space="preserve">considèrent que les stations utilisées pour les vols suborbitaux devraient être exploitées dans le cadre des services de radiocommunication existants et </w:t>
      </w:r>
      <w:r w:rsidR="00BC621B">
        <w:t xml:space="preserve">que </w:t>
      </w:r>
      <w:r w:rsidRPr="005C071F">
        <w:t xml:space="preserve">ces stations devraient être soumises aux dispositions réglementaires, techniques et de procédure en vigueur pour ces services. Les </w:t>
      </w:r>
      <w:r w:rsidR="00BC621B" w:rsidRPr="005C071F">
        <w:t>A</w:t>
      </w:r>
      <w:r w:rsidRPr="005C071F">
        <w:t xml:space="preserve">dministrations </w:t>
      </w:r>
      <w:r w:rsidR="005C071F" w:rsidRPr="005C071F">
        <w:t>des</w:t>
      </w:r>
      <w:r w:rsidRPr="005C071F">
        <w:t xml:space="preserve"> pays membres de la RCC considèrent également qu'il n'y a pas lieu, à ce stade, de modifier les dispositions du Règlement des radiocommunications régissant l'utilisation des stations placées à bord de véhicules suborbitaux.</w:t>
      </w:r>
    </w:p>
    <w:p w:rsidR="00F015E3" w:rsidRPr="005C071F" w:rsidRDefault="00F015E3" w:rsidP="005A74F0">
      <w:pPr>
        <w:pStyle w:val="Headingb"/>
      </w:pPr>
      <w:r w:rsidRPr="005C071F">
        <w:t>Propos</w:t>
      </w:r>
      <w:r w:rsidR="005A74F0" w:rsidRPr="005C071F">
        <w:t>ition</w:t>
      </w:r>
    </w:p>
    <w:p w:rsidR="00F015E3" w:rsidRPr="005C071F" w:rsidRDefault="005A74F0" w:rsidP="005A74F0">
      <w:r w:rsidRPr="005C071F">
        <w:t>Pour traiter le point 9.1 (question 9.1.4) de l'ordre du jour de la CMR</w:t>
      </w:r>
      <w:r w:rsidR="00F015E3" w:rsidRPr="005C071F">
        <w:t xml:space="preserve">-19, </w:t>
      </w:r>
      <w:r w:rsidRPr="005C071F">
        <w:t>il est proposé d'utiliser le texte réglementaire reproduit dans l'</w:t>
      </w:r>
      <w:r w:rsidR="00F015E3" w:rsidRPr="005C071F">
        <w:t>annex</w:t>
      </w:r>
      <w:r w:rsidRPr="005C071F">
        <w:t>e</w:t>
      </w:r>
      <w:r w:rsidR="00F015E3" w:rsidRPr="005C071F">
        <w:t>.</w:t>
      </w:r>
    </w:p>
    <w:p w:rsidR="00F015E3" w:rsidRPr="005C071F" w:rsidRDefault="005A74F0" w:rsidP="005A74F0">
      <w:r w:rsidRPr="005C071F">
        <w:t>Il n'est pas nécessaire de mener d'autres études avant la CMR</w:t>
      </w:r>
      <w:r w:rsidR="00F015E3" w:rsidRPr="005C071F">
        <w:t xml:space="preserve">-23 </w:t>
      </w:r>
      <w:r w:rsidRPr="005C071F">
        <w:t xml:space="preserve">et il est proposé de supprimer la </w:t>
      </w:r>
      <w:r w:rsidR="00F015E3" w:rsidRPr="005C071F">
        <w:t>R</w:t>
      </w:r>
      <w:r w:rsidRPr="005C071F">
        <w:t>é</w:t>
      </w:r>
      <w:r w:rsidR="00F015E3" w:rsidRPr="005C071F">
        <w:t>solution 763 (</w:t>
      </w:r>
      <w:r w:rsidRPr="005C071F">
        <w:t>CMR</w:t>
      </w:r>
      <w:r w:rsidR="00F015E3" w:rsidRPr="005C071F">
        <w:t>-15).</w:t>
      </w:r>
    </w:p>
    <w:p w:rsidR="0015203F" w:rsidRPr="005C071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C071F">
        <w:br w:type="page"/>
      </w:r>
    </w:p>
    <w:p w:rsidR="00017D8C" w:rsidRPr="005C071F" w:rsidRDefault="005C071F">
      <w:pPr>
        <w:pStyle w:val="Proposal"/>
      </w:pPr>
      <w:r w:rsidRPr="005C071F">
        <w:rPr>
          <w:u w:val="single"/>
        </w:rPr>
        <w:lastRenderedPageBreak/>
        <w:t>NOC</w:t>
      </w:r>
      <w:r w:rsidRPr="005C071F">
        <w:tab/>
        <w:t>RCC/12A21A4/1</w:t>
      </w:r>
    </w:p>
    <w:p w:rsidR="00DC48DB" w:rsidRPr="005C071F" w:rsidRDefault="005C071F" w:rsidP="00F116C7">
      <w:pPr>
        <w:pStyle w:val="Volumetitle"/>
        <w:rPr>
          <w:bCs/>
          <w:lang w:val="fr-FR"/>
        </w:rPr>
      </w:pPr>
      <w:bookmarkStart w:id="4" w:name="_Toc455752901"/>
      <w:bookmarkStart w:id="5" w:name="_Toc455756140"/>
      <w:r w:rsidRPr="005C071F">
        <w:rPr>
          <w:bCs/>
          <w:lang w:val="fr-FR"/>
        </w:rPr>
        <w:t>ARTICLES</w:t>
      </w:r>
      <w:bookmarkEnd w:id="4"/>
      <w:bookmarkEnd w:id="5"/>
    </w:p>
    <w:p w:rsidR="005A74F0" w:rsidRPr="005C071F" w:rsidRDefault="005C071F" w:rsidP="00C754BF">
      <w:pPr>
        <w:pStyle w:val="Reasons"/>
      </w:pPr>
      <w:r w:rsidRPr="005C071F">
        <w:rPr>
          <w:b/>
        </w:rPr>
        <w:t>Motifs:</w:t>
      </w:r>
      <w:r w:rsidRPr="005C071F">
        <w:tab/>
      </w:r>
      <w:r w:rsidR="005A74F0" w:rsidRPr="005C071F">
        <w:t xml:space="preserve">Sur la base des résultats des études </w:t>
      </w:r>
      <w:r w:rsidR="00C754BF" w:rsidRPr="005C071F">
        <w:t>menées</w:t>
      </w:r>
      <w:r w:rsidR="005A74F0" w:rsidRPr="005C071F">
        <w:t xml:space="preserve">, il a été établi que les stations </w:t>
      </w:r>
      <w:r w:rsidR="00C754BF" w:rsidRPr="005C071F">
        <w:t>placées à bord de</w:t>
      </w:r>
      <w:r w:rsidR="005A74F0" w:rsidRPr="005C071F">
        <w:t xml:space="preserve"> véhicules suborbitaux utiliseront les attributions de fréquences existantes, en particulier pour les systèmes et applications </w:t>
      </w:r>
      <w:r w:rsidR="00C754BF" w:rsidRPr="005C071F">
        <w:t xml:space="preserve">de </w:t>
      </w:r>
      <w:r w:rsidR="005A74F0" w:rsidRPr="005C071F">
        <w:t xml:space="preserve">sécurité </w:t>
      </w:r>
      <w:r w:rsidR="00C754BF" w:rsidRPr="005C071F">
        <w:t xml:space="preserve">aéronautique </w:t>
      </w:r>
      <w:r w:rsidR="005A74F0" w:rsidRPr="005C071F">
        <w:t xml:space="preserve">normalisés par l'OACI </w:t>
      </w:r>
      <w:r w:rsidR="00C754BF" w:rsidRPr="005C071F">
        <w:t>aux fins d</w:t>
      </w:r>
      <w:r w:rsidR="005A74F0" w:rsidRPr="005C071F">
        <w:t xml:space="preserve">'harmonisation et </w:t>
      </w:r>
      <w:r w:rsidR="00C754BF" w:rsidRPr="005C071F">
        <w:t>d</w:t>
      </w:r>
      <w:r w:rsidR="005A74F0" w:rsidRPr="005C071F">
        <w:t>'interopérabilité.</w:t>
      </w:r>
    </w:p>
    <w:p w:rsidR="00017D8C" w:rsidRPr="005C071F" w:rsidRDefault="005C071F">
      <w:pPr>
        <w:pStyle w:val="Proposal"/>
      </w:pPr>
      <w:r w:rsidRPr="005C071F">
        <w:rPr>
          <w:u w:val="single"/>
        </w:rPr>
        <w:t>NOC</w:t>
      </w:r>
      <w:r w:rsidRPr="005C071F">
        <w:tab/>
        <w:t>RCC/12A21A4/2</w:t>
      </w:r>
    </w:p>
    <w:p w:rsidR="00D5115B" w:rsidRPr="005C071F" w:rsidRDefault="005C071F" w:rsidP="00D5115B">
      <w:pPr>
        <w:pStyle w:val="Volumetitle"/>
        <w:rPr>
          <w:lang w:val="fr-FR"/>
        </w:rPr>
      </w:pPr>
      <w:bookmarkStart w:id="6" w:name="_Toc327956568"/>
      <w:r w:rsidRPr="005C071F">
        <w:rPr>
          <w:lang w:val="fr-FR"/>
        </w:rPr>
        <w:t>APPENDICES</w:t>
      </w:r>
      <w:bookmarkEnd w:id="6"/>
    </w:p>
    <w:p w:rsidR="00C754BF" w:rsidRPr="005C071F" w:rsidRDefault="005C071F" w:rsidP="0083591B">
      <w:pPr>
        <w:pStyle w:val="Reasons"/>
      </w:pPr>
      <w:r w:rsidRPr="005C071F">
        <w:rPr>
          <w:b/>
        </w:rPr>
        <w:t>Motifs:</w:t>
      </w:r>
      <w:r w:rsidRPr="005C071F">
        <w:tab/>
      </w:r>
      <w:r w:rsidR="00C754BF" w:rsidRPr="005C071F">
        <w:t>Sur la base des résultats des études menées,</w:t>
      </w:r>
      <w:r w:rsidR="00BC621B">
        <w:t xml:space="preserve"> il a été conclu qu'il n'y a</w:t>
      </w:r>
      <w:r w:rsidR="00C754BF" w:rsidRPr="005C071F">
        <w:t xml:space="preserve"> pas lieu d'apporter des modifications au Volume 2 </w:t>
      </w:r>
      <w:r w:rsidR="0083591B">
        <w:t>«</w:t>
      </w:r>
      <w:r w:rsidR="00C754BF" w:rsidRPr="005C071F">
        <w:t>Appendices</w:t>
      </w:r>
      <w:r w:rsidR="0083591B">
        <w:t>»</w:t>
      </w:r>
      <w:r w:rsidR="00C754BF" w:rsidRPr="005C071F">
        <w:t xml:space="preserve"> du Règlement des radiocommunications.</w:t>
      </w:r>
    </w:p>
    <w:p w:rsidR="00017D8C" w:rsidRPr="005C071F" w:rsidRDefault="005C071F">
      <w:pPr>
        <w:pStyle w:val="Proposal"/>
      </w:pPr>
      <w:r w:rsidRPr="005C071F">
        <w:rPr>
          <w:u w:val="single"/>
        </w:rPr>
        <w:t>NOC</w:t>
      </w:r>
      <w:r w:rsidRPr="005C071F">
        <w:tab/>
        <w:t>RCC/12A21A4/3</w:t>
      </w:r>
    </w:p>
    <w:p w:rsidR="004A4B52" w:rsidRPr="00BC621B" w:rsidRDefault="005C071F" w:rsidP="00711E2A">
      <w:pPr>
        <w:pStyle w:val="Volumetitle"/>
        <w:rPr>
          <w:bCs/>
          <w:szCs w:val="28"/>
          <w:lang w:val="fr-FR"/>
        </w:rPr>
      </w:pPr>
      <w:r w:rsidRPr="00BC621B">
        <w:rPr>
          <w:bCs/>
          <w:szCs w:val="28"/>
          <w:lang w:val="fr-FR"/>
        </w:rPr>
        <w:t>RÉSOLUTIONS</w:t>
      </w:r>
    </w:p>
    <w:p w:rsidR="00C754BF" w:rsidRPr="005C071F" w:rsidRDefault="005C071F" w:rsidP="0083591B">
      <w:pPr>
        <w:pStyle w:val="Reasons"/>
      </w:pPr>
      <w:r w:rsidRPr="005C071F">
        <w:rPr>
          <w:b/>
        </w:rPr>
        <w:t>Motifs:</w:t>
      </w:r>
      <w:r w:rsidRPr="005C071F">
        <w:tab/>
      </w:r>
      <w:r w:rsidR="00C754BF" w:rsidRPr="005C071F">
        <w:t>Sur la base des résultats des études menées,</w:t>
      </w:r>
      <w:r w:rsidR="00BC621B">
        <w:t xml:space="preserve"> il a été conclu qu'il n'y a</w:t>
      </w:r>
      <w:r w:rsidR="00C754BF" w:rsidRPr="005C071F">
        <w:t xml:space="preserve"> pas lieu d'apporter des modifications au Volume 3 </w:t>
      </w:r>
      <w:r w:rsidR="0083591B">
        <w:t>«</w:t>
      </w:r>
      <w:r w:rsidR="00C754BF" w:rsidRPr="005C071F">
        <w:t>Résolutions et Recommandations</w:t>
      </w:r>
      <w:r w:rsidR="0083591B">
        <w:t>»</w:t>
      </w:r>
      <w:r w:rsidR="00C754BF" w:rsidRPr="005C071F">
        <w:t xml:space="preserve"> du Règlement des radiocommunications, à l'exception de la suppression de la Résolution 763 (CMR-15).</w:t>
      </w:r>
    </w:p>
    <w:p w:rsidR="00017D8C" w:rsidRPr="005C071F" w:rsidRDefault="005C071F">
      <w:pPr>
        <w:pStyle w:val="Proposal"/>
      </w:pPr>
      <w:r w:rsidRPr="005C071F">
        <w:rPr>
          <w:u w:val="single"/>
        </w:rPr>
        <w:t>NOC</w:t>
      </w:r>
      <w:r w:rsidRPr="005C071F">
        <w:tab/>
        <w:t>RCC/12A21A4/4</w:t>
      </w:r>
    </w:p>
    <w:p w:rsidR="00CC4AA5" w:rsidRPr="005C071F" w:rsidRDefault="005C071F" w:rsidP="000767E9">
      <w:pPr>
        <w:pStyle w:val="Volumetitle"/>
        <w:rPr>
          <w:bCs/>
          <w:lang w:val="fr-FR"/>
        </w:rPr>
      </w:pPr>
      <w:r w:rsidRPr="005C071F">
        <w:rPr>
          <w:bCs/>
          <w:lang w:val="fr-FR"/>
        </w:rPr>
        <w:t>RECOMMANDATIONS</w:t>
      </w:r>
    </w:p>
    <w:p w:rsidR="00017D8C" w:rsidRPr="005C071F" w:rsidRDefault="005C071F" w:rsidP="00C754BF">
      <w:pPr>
        <w:pStyle w:val="Reasons"/>
      </w:pPr>
      <w:r w:rsidRPr="005C071F">
        <w:rPr>
          <w:b/>
        </w:rPr>
        <w:t>Motifs:</w:t>
      </w:r>
      <w:r w:rsidRPr="005C071F">
        <w:tab/>
      </w:r>
      <w:r w:rsidR="00C754BF" w:rsidRPr="005C071F">
        <w:t>Sur la base des résultats des études menées,</w:t>
      </w:r>
      <w:r w:rsidR="0083591B">
        <w:t xml:space="preserve"> il a été conclu qu'il n'y a</w:t>
      </w:r>
      <w:r w:rsidR="00C754BF" w:rsidRPr="005C071F">
        <w:t xml:space="preserve"> pas lieu d'apporter des modifications aux Recommandations figurant dans le V</w:t>
      </w:r>
      <w:bookmarkStart w:id="7" w:name="_GoBack"/>
      <w:bookmarkEnd w:id="7"/>
      <w:r w:rsidR="00C754BF" w:rsidRPr="005C071F">
        <w:t>olume 3 du Règlement des radiocommunications</w:t>
      </w:r>
      <w:r w:rsidR="00F015E3" w:rsidRPr="005C071F">
        <w:t>.</w:t>
      </w:r>
    </w:p>
    <w:p w:rsidR="00017D8C" w:rsidRPr="005C071F" w:rsidRDefault="005C071F">
      <w:pPr>
        <w:pStyle w:val="Proposal"/>
      </w:pPr>
      <w:r w:rsidRPr="005C071F">
        <w:t>SUP</w:t>
      </w:r>
      <w:r w:rsidRPr="005C071F">
        <w:tab/>
        <w:t>RCC/12A21A4/5</w:t>
      </w:r>
    </w:p>
    <w:p w:rsidR="004A4B52" w:rsidRPr="005C071F" w:rsidRDefault="005C071F" w:rsidP="004A4B52">
      <w:pPr>
        <w:pStyle w:val="ResNo"/>
      </w:pPr>
      <w:r w:rsidRPr="005C071F">
        <w:rPr>
          <w:caps w:val="0"/>
        </w:rPr>
        <w:t xml:space="preserve">RÉSOLUTION </w:t>
      </w:r>
      <w:r w:rsidRPr="005C071F">
        <w:rPr>
          <w:rStyle w:val="href"/>
          <w:caps w:val="0"/>
        </w:rPr>
        <w:t>763</w:t>
      </w:r>
      <w:r w:rsidRPr="005C071F">
        <w:rPr>
          <w:caps w:val="0"/>
        </w:rPr>
        <w:t xml:space="preserve"> (CMR-15)</w:t>
      </w:r>
    </w:p>
    <w:p w:rsidR="004A4B52" w:rsidRPr="005C071F" w:rsidRDefault="005C071F" w:rsidP="004A4B52">
      <w:pPr>
        <w:pStyle w:val="Restitle"/>
        <w:rPr>
          <w:rFonts w:asciiTheme="majorBidi" w:hAnsiTheme="majorBidi" w:cstheme="majorBidi"/>
          <w:bCs/>
          <w:szCs w:val="28"/>
        </w:rPr>
      </w:pPr>
      <w:bookmarkStart w:id="8" w:name="_Toc450208815"/>
      <w:r w:rsidRPr="005C071F">
        <w:rPr>
          <w:rFonts w:asciiTheme="majorBidi" w:hAnsiTheme="majorBidi" w:cstheme="majorBidi"/>
          <w:bCs/>
          <w:szCs w:val="28"/>
        </w:rPr>
        <w:t>Stations placées à bord de véhicules suborbitaux</w:t>
      </w:r>
      <w:bookmarkEnd w:id="8"/>
    </w:p>
    <w:p w:rsidR="00C754BF" w:rsidRPr="005C071F" w:rsidRDefault="005C071F" w:rsidP="0083591B">
      <w:pPr>
        <w:pStyle w:val="Reasons"/>
      </w:pPr>
      <w:r w:rsidRPr="005C071F">
        <w:rPr>
          <w:b/>
        </w:rPr>
        <w:t>Motifs:</w:t>
      </w:r>
      <w:r w:rsidRPr="005C071F">
        <w:tab/>
      </w:r>
      <w:r w:rsidR="00C754BF" w:rsidRPr="005C071F">
        <w:t xml:space="preserve">Sur la base des résultats des études menées, il a été conclu que les études </w:t>
      </w:r>
      <w:r w:rsidR="0092614A" w:rsidRPr="005C071F">
        <w:t xml:space="preserve">indiquées </w:t>
      </w:r>
      <w:r w:rsidR="00C754BF" w:rsidRPr="005C071F">
        <w:t xml:space="preserve">dans le texte de la Résolution sont terminées et </w:t>
      </w:r>
      <w:r w:rsidR="00F14FF2" w:rsidRPr="005C071F">
        <w:t xml:space="preserve">que </w:t>
      </w:r>
      <w:r w:rsidR="00C754BF" w:rsidRPr="005C071F">
        <w:t xml:space="preserve">cette Résolution </w:t>
      </w:r>
      <w:r w:rsidR="00F14FF2" w:rsidRPr="005C071F">
        <w:t xml:space="preserve">n'a pas lieu de figurer </w:t>
      </w:r>
      <w:r w:rsidR="00C754BF" w:rsidRPr="005C071F">
        <w:t xml:space="preserve">dans le Volume 3 </w:t>
      </w:r>
      <w:r w:rsidR="0083591B">
        <w:t>«</w:t>
      </w:r>
      <w:r w:rsidR="00C754BF" w:rsidRPr="005C071F">
        <w:t>Résolutions et recommandations</w:t>
      </w:r>
      <w:r w:rsidR="0083591B">
        <w:t>»</w:t>
      </w:r>
      <w:r w:rsidR="00C754BF" w:rsidRPr="005C071F">
        <w:t xml:space="preserve"> du Règlement des radiocommunications.</w:t>
      </w:r>
    </w:p>
    <w:p w:rsidR="00BC621B" w:rsidRDefault="00BC621B" w:rsidP="00BC621B"/>
    <w:p w:rsidR="00017D8C" w:rsidRPr="005C071F" w:rsidRDefault="00BC621B" w:rsidP="00BC621B">
      <w:pPr>
        <w:jc w:val="center"/>
      </w:pPr>
      <w:r>
        <w:t>______________</w:t>
      </w:r>
    </w:p>
    <w:sectPr w:rsidR="00017D8C" w:rsidRPr="005C071F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96" w:rsidRDefault="00483196">
      <w:r>
        <w:separator/>
      </w:r>
    </w:p>
  </w:endnote>
  <w:endnote w:type="continuationSeparator" w:id="0">
    <w:p w:rsidR="00483196" w:rsidRDefault="0048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C0450">
      <w:rPr>
        <w:noProof/>
        <w:lang w:val="en-US"/>
      </w:rPr>
      <w:t>P:\FRA\ITU-R\CONF-R\CMR19\000\012ADD21ADD04F.docx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C0450">
      <w:rPr>
        <w:noProof/>
      </w:rPr>
      <w:t>17.07.19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C0450">
      <w:rPr>
        <w:noProof/>
      </w:rPr>
      <w:t>17.07.19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BC621B" w:rsidRDefault="00BC621B" w:rsidP="00BC621B">
    <w:pPr>
      <w:pStyle w:val="Footer"/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C0450">
      <w:rPr>
        <w:lang w:val="en-US"/>
      </w:rPr>
      <w:t>P:\FRA\ITU-R\CONF-R\CMR19\000\012ADD21ADD04F.docx</w:t>
    </w:r>
    <w:r>
      <w:fldChar w:fldCharType="end"/>
    </w:r>
    <w:r>
      <w:t xml:space="preserve"> (458150)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C0450">
      <w:rPr>
        <w:lang w:val="en-US"/>
      </w:rPr>
      <w:t>P:\FRA\ITU-R\CONF-R\CMR19\000\012ADD21ADD04F.docx</w:t>
    </w:r>
    <w:r>
      <w:fldChar w:fldCharType="end"/>
    </w:r>
    <w:r w:rsidR="00BC621B">
      <w:t xml:space="preserve"> (458150)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96" w:rsidRDefault="00483196">
      <w:r>
        <w:rPr>
          <w:b/>
        </w:rPr>
        <w:t>_______________</w:t>
      </w:r>
    </w:p>
  </w:footnote>
  <w:footnote w:type="continuationSeparator" w:id="0">
    <w:p w:rsidR="00483196" w:rsidRDefault="0048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EC0450">
      <w:rPr>
        <w:noProof/>
      </w:rPr>
      <w:t>2</w:t>
    </w:r>
    <w:r>
      <w:fldChar w:fldCharType="end"/>
    </w:r>
  </w:p>
  <w:p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12(Add.21)(Add.4)-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17D8C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F17E8"/>
    <w:rsid w:val="00204306"/>
    <w:rsid w:val="00205A0F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D01FC"/>
    <w:rsid w:val="004E28C3"/>
    <w:rsid w:val="004F1F8E"/>
    <w:rsid w:val="00501AAA"/>
    <w:rsid w:val="00512A32"/>
    <w:rsid w:val="005343DA"/>
    <w:rsid w:val="00560874"/>
    <w:rsid w:val="00586CF2"/>
    <w:rsid w:val="005A74F0"/>
    <w:rsid w:val="005A7C75"/>
    <w:rsid w:val="005C071F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6F5FA2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830086"/>
    <w:rsid w:val="0083591B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2614A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64B04"/>
    <w:rsid w:val="00A83B09"/>
    <w:rsid w:val="00A84541"/>
    <w:rsid w:val="00AE36A0"/>
    <w:rsid w:val="00B00294"/>
    <w:rsid w:val="00B3749C"/>
    <w:rsid w:val="00B64FD0"/>
    <w:rsid w:val="00BA5BD0"/>
    <w:rsid w:val="00BB1D82"/>
    <w:rsid w:val="00BC621B"/>
    <w:rsid w:val="00BD51C5"/>
    <w:rsid w:val="00BF26E7"/>
    <w:rsid w:val="00C53FCA"/>
    <w:rsid w:val="00C754BF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0450"/>
    <w:rsid w:val="00EC7615"/>
    <w:rsid w:val="00ED16AA"/>
    <w:rsid w:val="00ED6B8D"/>
    <w:rsid w:val="00EE3D7B"/>
    <w:rsid w:val="00EF662E"/>
    <w:rsid w:val="00F015E3"/>
    <w:rsid w:val="00F10064"/>
    <w:rsid w:val="00F148F1"/>
    <w:rsid w:val="00F14FF2"/>
    <w:rsid w:val="00F711A7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R16-WRC19-C-0012!A21-A4!MSW-F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D4A7C-B090-4B7D-AB35-BA2B291AE2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1076B-F859-4CF9-B470-152FAD1C8C0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525</Words>
  <Characters>3013</Characters>
  <Application>Microsoft Office Word</Application>
  <DocSecurity>0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R16-WRC19-C-0012!A21-A4!MSW-F</vt:lpstr>
    </vt:vector>
  </TitlesOfParts>
  <Manager>Secrétariat général - Pool</Manager>
  <Company>Union internationale des télécommunications (UIT)</Company>
  <LinksUpToDate>false</LinksUpToDate>
  <CharactersWithSpaces>3504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R16-WRC19-C-0012!A21-A4!MSW-F</dc:title>
  <dc:subject>Conférence mondiale des radiocommunications - 2019</dc:subject>
  <dc:creator>Documents Proposals Manager (DPM)</dc:creator>
  <cp:keywords>DPM_v2019.6.28.1_prod</cp:keywords>
  <dc:description/>
  <cp:lastModifiedBy>Royer, Veronique</cp:lastModifiedBy>
  <cp:revision>5</cp:revision>
  <cp:lastPrinted>2019-07-17T06:25:00Z</cp:lastPrinted>
  <dcterms:created xsi:type="dcterms:W3CDTF">2019-07-17T06:00:00Z</dcterms:created>
  <dcterms:modified xsi:type="dcterms:W3CDTF">2019-07-17T06:25:00Z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