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3D7E61">
        <w:trPr>
          <w:cantSplit/>
        </w:trPr>
        <w:tc>
          <w:tcPr>
            <w:tcW w:w="6911" w:type="dxa"/>
          </w:tcPr>
          <w:p w:rsidR="00A066F1" w:rsidRPr="003D7E61" w:rsidRDefault="00241FA2" w:rsidP="000318FB">
            <w:pPr>
              <w:spacing w:before="400" w:after="48"/>
              <w:rPr>
                <w:rFonts w:ascii="Verdana" w:hAnsi="Verdana"/>
                <w:position w:val="6"/>
              </w:rPr>
            </w:pPr>
            <w:r w:rsidRPr="003D7E6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</w:t>
            </w:r>
            <w:r w:rsidR="000E463E" w:rsidRPr="003D7E6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3D7E6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3D7E61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="00116C7A"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 el-Sheikh, Egypt</w:t>
            </w:r>
            <w:r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3D7E6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A066F1" w:rsidRPr="003D7E61" w:rsidRDefault="005F04D8" w:rsidP="000318FB">
            <w:pPr>
              <w:spacing w:before="0"/>
              <w:jc w:val="right"/>
            </w:pPr>
            <w:r w:rsidRPr="003D7E61">
              <w:rPr>
                <w:noProof/>
                <w:lang w:eastAsia="zh-CN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3D7E61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D7E61" w:rsidRDefault="00A066F1" w:rsidP="000318F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3D7E61" w:rsidRDefault="00A066F1" w:rsidP="000318FB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3D7E61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3D7E61" w:rsidRDefault="00A066F1" w:rsidP="000318F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3D7E61" w:rsidRDefault="00A066F1" w:rsidP="000318FB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3D7E61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D7E61" w:rsidRDefault="00FF5EA8" w:rsidP="000318FB">
            <w:pPr>
              <w:pStyle w:val="Committee"/>
              <w:framePr w:hSpace="0" w:wrap="auto" w:hAnchor="text" w:yAlign="inline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3D7E61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3D7E61" w:rsidRDefault="00E55816" w:rsidP="000318FB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 w:rsidRPr="003D7E61">
              <w:rPr>
                <w:rFonts w:ascii="Verdana" w:hAnsi="Verdana"/>
                <w:b/>
                <w:sz w:val="20"/>
              </w:rPr>
              <w:t>Addendum 2 to</w:t>
            </w:r>
            <w:r w:rsidRPr="003D7E61">
              <w:rPr>
                <w:rFonts w:ascii="Verdana" w:hAnsi="Verdana"/>
                <w:b/>
                <w:sz w:val="20"/>
              </w:rPr>
              <w:br/>
              <w:t>Document 12(Add.21)</w:t>
            </w:r>
            <w:r w:rsidR="00A066F1" w:rsidRPr="003D7E61">
              <w:rPr>
                <w:rFonts w:ascii="Verdana" w:hAnsi="Verdana"/>
                <w:b/>
                <w:sz w:val="20"/>
              </w:rPr>
              <w:t>-</w:t>
            </w:r>
            <w:r w:rsidR="005E10C9" w:rsidRPr="003D7E61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3D7E61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D7E61" w:rsidRDefault="00A066F1" w:rsidP="000318FB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:rsidR="00A066F1" w:rsidRPr="003D7E61" w:rsidRDefault="00420873" w:rsidP="000318FB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3D7E61">
              <w:rPr>
                <w:rFonts w:ascii="Verdana" w:hAnsi="Verdana"/>
                <w:b/>
                <w:sz w:val="20"/>
              </w:rPr>
              <w:t>23 June 2019</w:t>
            </w:r>
          </w:p>
        </w:tc>
      </w:tr>
      <w:tr w:rsidR="00A066F1" w:rsidRPr="003D7E61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D7E61" w:rsidRDefault="00A066F1" w:rsidP="000318FB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:rsidR="00A066F1" w:rsidRPr="003D7E61" w:rsidRDefault="00E55816" w:rsidP="000318FB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3D7E61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3D7E6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3D7E61" w:rsidRDefault="00A066F1" w:rsidP="000318FB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3D7E6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D7E61" w:rsidRDefault="00884D60" w:rsidP="000318FB">
            <w:pPr>
              <w:pStyle w:val="Source"/>
            </w:pPr>
            <w:r w:rsidRPr="003D7E61">
              <w:t>Regional Commonwealth in the field of Communications Common Proposals</w:t>
            </w:r>
          </w:p>
        </w:tc>
      </w:tr>
      <w:tr w:rsidR="00E55816" w:rsidRPr="003D7E6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D7E61" w:rsidRDefault="00AC7F77" w:rsidP="000318FB">
            <w:pPr>
              <w:pStyle w:val="Title1"/>
            </w:pPr>
            <w:r w:rsidRPr="003D7E61">
              <w:t>proposals for the work of the conference</w:t>
            </w:r>
          </w:p>
        </w:tc>
      </w:tr>
      <w:tr w:rsidR="00E55816" w:rsidRPr="003D7E6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D7E61" w:rsidRDefault="00E55816" w:rsidP="000318FB">
            <w:pPr>
              <w:pStyle w:val="Title2"/>
            </w:pPr>
          </w:p>
        </w:tc>
      </w:tr>
      <w:tr w:rsidR="00A538A6" w:rsidRPr="003D7E6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3D7E61" w:rsidRDefault="004B13CB" w:rsidP="000318FB">
            <w:pPr>
              <w:pStyle w:val="Agendaitem"/>
              <w:rPr>
                <w:lang w:val="en-GB"/>
              </w:rPr>
            </w:pPr>
            <w:r w:rsidRPr="003D7E61">
              <w:rPr>
                <w:lang w:val="en-GB"/>
              </w:rPr>
              <w:t>Agenda item 9.1(9.1.2)</w:t>
            </w:r>
            <w:r w:rsidR="00AC7F77" w:rsidRPr="003D7E61">
              <w:rPr>
                <w:lang w:val="en-GB"/>
              </w:rPr>
              <w:t xml:space="preserve"> </w:t>
            </w:r>
          </w:p>
        </w:tc>
      </w:tr>
    </w:tbl>
    <w:bookmarkEnd w:id="5"/>
    <w:bookmarkEnd w:id="6"/>
    <w:p w:rsidR="005118F7" w:rsidRPr="003D7E61" w:rsidRDefault="00AF63EE" w:rsidP="000318FB">
      <w:pPr>
        <w:overflowPunct/>
        <w:autoSpaceDE/>
        <w:autoSpaceDN/>
        <w:adjustRightInd/>
        <w:textAlignment w:val="auto"/>
      </w:pPr>
      <w:r w:rsidRPr="003D7E61">
        <w:t>9</w:t>
      </w:r>
      <w:r w:rsidRPr="003D7E61">
        <w:tab/>
        <w:t>to consider and approve the Report of the Director of the Radiocommunication Bureau, in accordance with Article 7 of the Convention:</w:t>
      </w:r>
    </w:p>
    <w:p w:rsidR="005118F7" w:rsidRPr="003D7E61" w:rsidRDefault="00AF63EE" w:rsidP="000318FB">
      <w:pPr>
        <w:overflowPunct/>
        <w:autoSpaceDE/>
        <w:autoSpaceDN/>
        <w:adjustRightInd/>
        <w:textAlignment w:val="auto"/>
      </w:pPr>
      <w:r w:rsidRPr="003D7E61">
        <w:t>9.1</w:t>
      </w:r>
      <w:r w:rsidRPr="003D7E61">
        <w:tab/>
        <w:t>on the activities of the Radiocommunication Sector since WRC-15;</w:t>
      </w:r>
    </w:p>
    <w:p w:rsidR="005118F7" w:rsidRPr="003D7E61" w:rsidRDefault="00AF63EE" w:rsidP="000318FB">
      <w:r w:rsidRPr="003D7E61">
        <w:rPr>
          <w:rFonts w:cstheme="majorBidi"/>
          <w:color w:val="000000"/>
          <w:szCs w:val="24"/>
          <w:lang w:eastAsia="zh-CN"/>
        </w:rPr>
        <w:t>9.1 (</w:t>
      </w:r>
      <w:r w:rsidRPr="003D7E61">
        <w:rPr>
          <w:lang w:eastAsia="zh-CN"/>
        </w:rPr>
        <w:t xml:space="preserve">9.1.2) </w:t>
      </w:r>
      <w:r w:rsidRPr="003D7E61">
        <w:tab/>
        <w:t xml:space="preserve">Resolution </w:t>
      </w:r>
      <w:r w:rsidRPr="003D7E61">
        <w:rPr>
          <w:b/>
          <w:bCs/>
        </w:rPr>
        <w:t>761 (WRC-15)</w:t>
      </w:r>
      <w:r w:rsidRPr="003D7E61">
        <w:t xml:space="preserve"> </w:t>
      </w:r>
      <w:r w:rsidRPr="003D7E61">
        <w:rPr>
          <w:b/>
          <w:bCs/>
        </w:rPr>
        <w:t>-</w:t>
      </w:r>
      <w:r w:rsidRPr="003D7E61">
        <w:t xml:space="preserve"> Compatibility of International Mobile Telecommunications and broadcasting-satellite service (sound) in the frequency band 1 452-1 492 MHz in Regions 1 and 3</w:t>
      </w:r>
      <w:r w:rsidR="00CE3A42" w:rsidRPr="003D7E61">
        <w:t>.</w:t>
      </w:r>
    </w:p>
    <w:p w:rsidR="00AC7F77" w:rsidRPr="003D7E61" w:rsidRDefault="00436FF2" w:rsidP="000318FB">
      <w:pPr>
        <w:pStyle w:val="Headingb"/>
        <w:rPr>
          <w:lang w:val="en-GB"/>
        </w:rPr>
      </w:pPr>
      <w:r w:rsidRPr="003D7E61">
        <w:rPr>
          <w:lang w:val="en-GB"/>
        </w:rPr>
        <w:t>Introduction</w:t>
      </w:r>
    </w:p>
    <w:p w:rsidR="00AC7F77" w:rsidRPr="003D7E61" w:rsidRDefault="00BD54B6" w:rsidP="000318FB">
      <w:pPr>
        <w:rPr>
          <w:color w:val="000000"/>
        </w:rPr>
      </w:pPr>
      <w:r w:rsidRPr="003D7E61">
        <w:t>Agenda item 9.1</w:t>
      </w:r>
      <w:r w:rsidR="007F0578" w:rsidRPr="003D7E61">
        <w:t xml:space="preserve">, issue 9.1.2 is a continuation of </w:t>
      </w:r>
      <w:r w:rsidR="005C2EAD" w:rsidRPr="003D7E61">
        <w:t xml:space="preserve">the </w:t>
      </w:r>
      <w:r w:rsidR="007F0578" w:rsidRPr="003D7E61">
        <w:t>work done at WRC-15. The</w:t>
      </w:r>
      <w:r w:rsidR="00264182" w:rsidRPr="003D7E61">
        <w:t xml:space="preserve"> </w:t>
      </w:r>
      <w:r w:rsidR="007F0578" w:rsidRPr="003D7E61">
        <w:t xml:space="preserve">Conference identified the frequency band 1 452-1 492 MHz for IMT on a worldwide basis and </w:t>
      </w:r>
      <w:r w:rsidR="00950893" w:rsidRPr="003D7E61">
        <w:t xml:space="preserve">invited </w:t>
      </w:r>
      <w:r w:rsidR="00E1211B" w:rsidRPr="003D7E61">
        <w:t>ITU-R</w:t>
      </w:r>
      <w:r w:rsidR="00E1211B" w:rsidRPr="003D7E61">
        <w:rPr>
          <w:color w:val="000000"/>
        </w:rPr>
        <w:t xml:space="preserve"> </w:t>
      </w:r>
      <w:r w:rsidR="00264182" w:rsidRPr="003D7E61">
        <w:rPr>
          <w:color w:val="000000"/>
        </w:rPr>
        <w:t xml:space="preserve">to </w:t>
      </w:r>
      <w:r w:rsidR="00950893" w:rsidRPr="003D7E61">
        <w:rPr>
          <w:color w:val="000000"/>
        </w:rPr>
        <w:t xml:space="preserve">conduct, before </w:t>
      </w:r>
      <w:r w:rsidR="00264182" w:rsidRPr="003D7E61">
        <w:rPr>
          <w:color w:val="000000"/>
        </w:rPr>
        <w:t>WRC-19</w:t>
      </w:r>
      <w:r w:rsidR="00950893" w:rsidRPr="003D7E61">
        <w:rPr>
          <w:color w:val="000000"/>
        </w:rPr>
        <w:t xml:space="preserve">, </w:t>
      </w:r>
      <w:r w:rsidR="00264182" w:rsidRPr="003D7E61">
        <w:rPr>
          <w:color w:val="000000"/>
        </w:rPr>
        <w:t xml:space="preserve">the appropriate regulatory and technical studies, and </w:t>
      </w:r>
      <w:r w:rsidR="00950893" w:rsidRPr="003D7E61">
        <w:rPr>
          <w:color w:val="000000"/>
        </w:rPr>
        <w:t xml:space="preserve">to </w:t>
      </w:r>
      <w:r w:rsidR="00264182" w:rsidRPr="003D7E61">
        <w:rPr>
          <w:color w:val="000000"/>
        </w:rPr>
        <w:t>prepare, inter alia, the regulatory action that could be taken, based on the studies carried out in order to facilitate the long-term stability of IMT and BSS (sound) in the frequency band 1 452-1 492 MHz</w:t>
      </w:r>
      <w:r w:rsidR="008A4FDD" w:rsidRPr="003D7E61">
        <w:rPr>
          <w:color w:val="000000"/>
        </w:rPr>
        <w:t xml:space="preserve"> in Regions 1 and 3</w:t>
      </w:r>
      <w:r w:rsidR="005C2EAD" w:rsidRPr="003D7E61">
        <w:rPr>
          <w:color w:val="000000"/>
        </w:rPr>
        <w:t>.</w:t>
      </w:r>
    </w:p>
    <w:p w:rsidR="005C2EAD" w:rsidRPr="003D7E61" w:rsidRDefault="005C2EAD" w:rsidP="000318FB">
      <w:r w:rsidRPr="003D7E61">
        <w:t>Regulatory and technical studies have been undertaken within ITU-R and the Regional Commonwealth in the field of Communications</w:t>
      </w:r>
      <w:r w:rsidR="00973B80" w:rsidRPr="003D7E61">
        <w:t xml:space="preserve"> (RCC</w:t>
      </w:r>
      <w:r w:rsidR="002532CF" w:rsidRPr="003D7E61">
        <w:t xml:space="preserve"> Administrations</w:t>
      </w:r>
      <w:r w:rsidR="00973B80" w:rsidRPr="003D7E61">
        <w:t>) o</w:t>
      </w:r>
      <w:r w:rsidRPr="003D7E61">
        <w:t>n this agenda item.</w:t>
      </w:r>
    </w:p>
    <w:p w:rsidR="00973B80" w:rsidRPr="003D7E61" w:rsidRDefault="00973B80" w:rsidP="00597AF1">
      <w:r w:rsidRPr="003D7E61">
        <w:t xml:space="preserve">Taking into account the results of </w:t>
      </w:r>
      <w:r w:rsidR="002532CF" w:rsidRPr="003D7E61">
        <w:t xml:space="preserve">the </w:t>
      </w:r>
      <w:r w:rsidRPr="003D7E61">
        <w:t xml:space="preserve">studies conducted, </w:t>
      </w:r>
      <w:r w:rsidR="002532CF" w:rsidRPr="003D7E61">
        <w:t xml:space="preserve">the </w:t>
      </w:r>
      <w:r w:rsidRPr="003D7E61">
        <w:t>RCC</w:t>
      </w:r>
      <w:r w:rsidR="002532CF" w:rsidRPr="003D7E61">
        <w:t xml:space="preserve"> Administrations consider</w:t>
      </w:r>
      <w:r w:rsidRPr="003D7E61">
        <w:t xml:space="preserve"> that the current provisions of the Radio Regulations </w:t>
      </w:r>
      <w:r w:rsidR="00A00E2A" w:rsidRPr="003D7E61">
        <w:t xml:space="preserve">are sufficient </w:t>
      </w:r>
      <w:r w:rsidR="00AF1927" w:rsidRPr="003D7E61">
        <w:t>to maintain the status quo regard</w:t>
      </w:r>
      <w:r w:rsidR="00C94DF7" w:rsidRPr="003D7E61">
        <w:t>ing</w:t>
      </w:r>
      <w:r w:rsidR="00CB5E56">
        <w:t xml:space="preserve"> the use of IMT and BSS</w:t>
      </w:r>
      <w:r w:rsidR="00AF1927" w:rsidRPr="003D7E61">
        <w:t xml:space="preserve"> (sound) </w:t>
      </w:r>
      <w:r w:rsidR="008A4FDD" w:rsidRPr="003D7E61">
        <w:t xml:space="preserve">in the frequency band 1 452-1 492 MHz in </w:t>
      </w:r>
      <w:r w:rsidR="00AF1927" w:rsidRPr="003D7E61">
        <w:t>Regions 1 and 3</w:t>
      </w:r>
      <w:r w:rsidR="00CE3A42" w:rsidRPr="003D7E61">
        <w:t xml:space="preserve"> in the long term.</w:t>
      </w:r>
    </w:p>
    <w:p w:rsidR="00CE3A42" w:rsidRPr="003D7E61" w:rsidRDefault="00CE3A42" w:rsidP="003D7E61">
      <w:pPr>
        <w:pStyle w:val="Headingb"/>
        <w:tabs>
          <w:tab w:val="clear" w:pos="1134"/>
          <w:tab w:val="clear" w:pos="1871"/>
          <w:tab w:val="clear" w:pos="2268"/>
          <w:tab w:val="left" w:pos="7950"/>
        </w:tabs>
        <w:rPr>
          <w:lang w:val="en-GB"/>
        </w:rPr>
      </w:pPr>
      <w:r w:rsidRPr="003D7E61">
        <w:rPr>
          <w:lang w:val="en-GB"/>
        </w:rPr>
        <w:t>Proposal</w:t>
      </w:r>
    </w:p>
    <w:p w:rsidR="00CE3A42" w:rsidRPr="003D7E61" w:rsidRDefault="002532CF" w:rsidP="000318FB">
      <w:r w:rsidRPr="003D7E61">
        <w:t xml:space="preserve">In response to agenda item 9.1, issue 9.1.2, the </w:t>
      </w:r>
      <w:r w:rsidR="00CE3A42" w:rsidRPr="003D7E61">
        <w:t xml:space="preserve">RCC </w:t>
      </w:r>
      <w:r w:rsidRPr="003D7E61">
        <w:t>Administrations consider</w:t>
      </w:r>
      <w:r w:rsidR="00CE3A42" w:rsidRPr="003D7E61">
        <w:t xml:space="preserve"> that </w:t>
      </w:r>
      <w:r w:rsidRPr="003D7E61">
        <w:rPr>
          <w:color w:val="000000"/>
        </w:rPr>
        <w:t xml:space="preserve">there is no need to amend the Radio Regulations, but that Resolution </w:t>
      </w:r>
      <w:r w:rsidRPr="003D7E61">
        <w:rPr>
          <w:b/>
          <w:color w:val="000000"/>
        </w:rPr>
        <w:t>761</w:t>
      </w:r>
      <w:r w:rsidRPr="003D7E61">
        <w:rPr>
          <w:color w:val="000000"/>
        </w:rPr>
        <w:t xml:space="preserve"> </w:t>
      </w:r>
      <w:r w:rsidRPr="003D7E61">
        <w:rPr>
          <w:b/>
          <w:color w:val="000000"/>
        </w:rPr>
        <w:t>(WRC-15)</w:t>
      </w:r>
      <w:r w:rsidRPr="003D7E61">
        <w:rPr>
          <w:color w:val="000000"/>
        </w:rPr>
        <w:t xml:space="preserve"> </w:t>
      </w:r>
      <w:r w:rsidR="00453ED0" w:rsidRPr="003D7E61">
        <w:rPr>
          <w:color w:val="000000"/>
        </w:rPr>
        <w:t xml:space="preserve">should </w:t>
      </w:r>
      <w:r w:rsidRPr="003D7E61">
        <w:rPr>
          <w:color w:val="000000"/>
        </w:rPr>
        <w:t>be suppressed.</w:t>
      </w:r>
    </w:p>
    <w:p w:rsidR="00CE3A42" w:rsidRPr="003D7E61" w:rsidRDefault="00CE3A42" w:rsidP="000318FB"/>
    <w:p w:rsidR="00187BD9" w:rsidRPr="003D7E61" w:rsidRDefault="00187BD9" w:rsidP="000318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D7E61">
        <w:br w:type="page"/>
      </w:r>
      <w:bookmarkStart w:id="7" w:name="_GoBack"/>
      <w:bookmarkEnd w:id="7"/>
    </w:p>
    <w:p w:rsidR="008B2E84" w:rsidRPr="003D7E61" w:rsidRDefault="00AF63EE" w:rsidP="000318FB">
      <w:pPr>
        <w:pStyle w:val="ArtNo"/>
        <w:spacing w:before="0"/>
      </w:pPr>
      <w:bookmarkStart w:id="8" w:name="_Toc451865291"/>
      <w:r w:rsidRPr="003D7E61">
        <w:lastRenderedPageBreak/>
        <w:t xml:space="preserve">ARTICLE </w:t>
      </w:r>
      <w:r w:rsidRPr="003D7E61">
        <w:rPr>
          <w:rStyle w:val="href"/>
          <w:rFonts w:eastAsiaTheme="majorEastAsia"/>
          <w:color w:val="000000"/>
        </w:rPr>
        <w:t>5</w:t>
      </w:r>
      <w:bookmarkEnd w:id="8"/>
    </w:p>
    <w:p w:rsidR="008B2E84" w:rsidRPr="003D7E61" w:rsidRDefault="00AF63EE" w:rsidP="000318FB">
      <w:pPr>
        <w:pStyle w:val="Arttitle"/>
      </w:pPr>
      <w:bookmarkStart w:id="9" w:name="_Toc327956583"/>
      <w:bookmarkStart w:id="10" w:name="_Toc451865292"/>
      <w:r w:rsidRPr="003D7E61">
        <w:t>Frequency allocations</w:t>
      </w:r>
      <w:bookmarkEnd w:id="9"/>
      <w:bookmarkEnd w:id="10"/>
    </w:p>
    <w:p w:rsidR="00223C5A" w:rsidRPr="003D7E61" w:rsidRDefault="00AF63EE" w:rsidP="000318FB">
      <w:pPr>
        <w:pStyle w:val="Proposal"/>
      </w:pPr>
      <w:r w:rsidRPr="003D7E61">
        <w:rPr>
          <w:u w:val="single"/>
        </w:rPr>
        <w:t>NOC</w:t>
      </w:r>
      <w:r w:rsidRPr="003D7E61">
        <w:tab/>
        <w:t>RCC/12A21A2/1</w:t>
      </w:r>
    </w:p>
    <w:p w:rsidR="008B2E84" w:rsidRPr="003D7E61" w:rsidRDefault="00AF63EE" w:rsidP="000318FB">
      <w:pPr>
        <w:pStyle w:val="Section1"/>
        <w:keepNext/>
      </w:pPr>
      <w:r w:rsidRPr="003D7E61">
        <w:t>Section IV – Table of Frequency Allocations</w:t>
      </w:r>
      <w:r w:rsidRPr="003D7E61">
        <w:br/>
      </w:r>
      <w:r w:rsidRPr="003D7E61">
        <w:rPr>
          <w:b w:val="0"/>
          <w:bCs/>
        </w:rPr>
        <w:t xml:space="preserve">(See No. </w:t>
      </w:r>
      <w:r w:rsidRPr="003D7E61">
        <w:t>2.1</w:t>
      </w:r>
      <w:r w:rsidRPr="003D7E61">
        <w:rPr>
          <w:b w:val="0"/>
          <w:bCs/>
        </w:rPr>
        <w:t>)</w:t>
      </w:r>
      <w:r w:rsidRPr="003D7E61">
        <w:rPr>
          <w:b w:val="0"/>
          <w:bCs/>
        </w:rPr>
        <w:br/>
      </w:r>
      <w:r w:rsidRPr="003D7E61">
        <w:br/>
      </w:r>
    </w:p>
    <w:p w:rsidR="00223C5A" w:rsidRPr="003D7E61" w:rsidRDefault="00AF63EE" w:rsidP="000318FB">
      <w:pPr>
        <w:pStyle w:val="Reasons"/>
      </w:pPr>
      <w:r w:rsidRPr="003D7E61">
        <w:rPr>
          <w:b/>
        </w:rPr>
        <w:t>Reasons:</w:t>
      </w:r>
      <w:r w:rsidRPr="003D7E61">
        <w:tab/>
      </w:r>
      <w:r w:rsidR="006F3899" w:rsidRPr="003D7E61">
        <w:t xml:space="preserve">None of the studies </w:t>
      </w:r>
      <w:r w:rsidR="00453ED0" w:rsidRPr="003D7E61">
        <w:t xml:space="preserve">conducted indicate that it is necessary to </w:t>
      </w:r>
      <w:r w:rsidR="00C94DF7" w:rsidRPr="003D7E61">
        <w:t xml:space="preserve">modify </w:t>
      </w:r>
      <w:r w:rsidR="006F3899" w:rsidRPr="003D7E61">
        <w:t>the Table of Frequency Allocations in the Radio Regulations.</w:t>
      </w:r>
    </w:p>
    <w:p w:rsidR="00223C5A" w:rsidRPr="003D7E61" w:rsidRDefault="00AF63EE" w:rsidP="000318FB">
      <w:pPr>
        <w:pStyle w:val="Proposal"/>
      </w:pPr>
      <w:r w:rsidRPr="003D7E61">
        <w:rPr>
          <w:u w:val="single"/>
        </w:rPr>
        <w:t>NOC</w:t>
      </w:r>
      <w:r w:rsidRPr="003D7E61">
        <w:tab/>
        <w:t>RCC/12A21A2/2</w:t>
      </w:r>
    </w:p>
    <w:p w:rsidR="008B2E84" w:rsidRPr="003D7E61" w:rsidRDefault="00AF63EE" w:rsidP="000318FB">
      <w:pPr>
        <w:pStyle w:val="ArtNo"/>
        <w:spacing w:before="0"/>
      </w:pPr>
      <w:bookmarkStart w:id="11" w:name="_Toc451865330"/>
      <w:r w:rsidRPr="003D7E61">
        <w:t xml:space="preserve">ARTICLE </w:t>
      </w:r>
      <w:r w:rsidRPr="003D7E61">
        <w:rPr>
          <w:rStyle w:val="href"/>
        </w:rPr>
        <w:t>21</w:t>
      </w:r>
      <w:bookmarkEnd w:id="11"/>
    </w:p>
    <w:p w:rsidR="008B2E84" w:rsidRPr="003D7E61" w:rsidRDefault="00AF63EE" w:rsidP="000318FB">
      <w:pPr>
        <w:pStyle w:val="Arttitle"/>
      </w:pPr>
      <w:bookmarkStart w:id="12" w:name="_Toc327956622"/>
      <w:bookmarkStart w:id="13" w:name="_Toc451865331"/>
      <w:r w:rsidRPr="003D7E61">
        <w:t>Terrestrial and space services sharing frequency bands above 1 GHz</w:t>
      </w:r>
      <w:bookmarkEnd w:id="12"/>
      <w:bookmarkEnd w:id="13"/>
    </w:p>
    <w:p w:rsidR="00223C5A" w:rsidRPr="003D7E61" w:rsidRDefault="00AF63EE" w:rsidP="000318FB">
      <w:pPr>
        <w:pStyle w:val="Reasons"/>
      </w:pPr>
      <w:r w:rsidRPr="003D7E61">
        <w:rPr>
          <w:b/>
        </w:rPr>
        <w:t>Reasons:</w:t>
      </w:r>
      <w:r w:rsidRPr="003D7E61">
        <w:tab/>
      </w:r>
      <w:r w:rsidR="006F3899" w:rsidRPr="003D7E61">
        <w:t xml:space="preserve">None of the studies </w:t>
      </w:r>
      <w:r w:rsidR="00453ED0" w:rsidRPr="003D7E61">
        <w:t xml:space="preserve">conducted indicate that it is necessary to </w:t>
      </w:r>
      <w:r w:rsidR="00C94DF7" w:rsidRPr="003D7E61">
        <w:t xml:space="preserve">modify </w:t>
      </w:r>
      <w:r w:rsidR="006C0C15" w:rsidRPr="003D7E61">
        <w:t xml:space="preserve">the </w:t>
      </w:r>
      <w:r w:rsidR="00C55087" w:rsidRPr="003D7E61">
        <w:t xml:space="preserve">corresponding </w:t>
      </w:r>
      <w:r w:rsidR="006C0C15" w:rsidRPr="003D7E61">
        <w:t xml:space="preserve">pfd values </w:t>
      </w:r>
      <w:r w:rsidR="00600669" w:rsidRPr="003D7E61">
        <w:t>in Article 21 of the Radio Regulations.</w:t>
      </w:r>
    </w:p>
    <w:p w:rsidR="00223C5A" w:rsidRPr="003D7E61" w:rsidRDefault="00AF63EE" w:rsidP="000318FB">
      <w:pPr>
        <w:pStyle w:val="Proposal"/>
      </w:pPr>
      <w:r w:rsidRPr="003D7E61">
        <w:t>SUP</w:t>
      </w:r>
      <w:r w:rsidRPr="003D7E61">
        <w:tab/>
        <w:t>RCC/12A21A2/3</w:t>
      </w:r>
    </w:p>
    <w:p w:rsidR="007B1885" w:rsidRPr="003D7E61" w:rsidRDefault="00AF63EE" w:rsidP="000318FB">
      <w:pPr>
        <w:pStyle w:val="ResNo"/>
        <w:rPr>
          <w:rFonts w:eastAsia="???"/>
        </w:rPr>
      </w:pPr>
      <w:bookmarkStart w:id="14" w:name="_Toc450048838"/>
      <w:r w:rsidRPr="003D7E61">
        <w:rPr>
          <w:rFonts w:eastAsia="???"/>
        </w:rPr>
        <w:t xml:space="preserve">RESOLUTION </w:t>
      </w:r>
      <w:r w:rsidRPr="003D7E61">
        <w:rPr>
          <w:rStyle w:val="href"/>
        </w:rPr>
        <w:t>761</w:t>
      </w:r>
      <w:r w:rsidRPr="003D7E61">
        <w:rPr>
          <w:rFonts w:eastAsia="???"/>
        </w:rPr>
        <w:t xml:space="preserve"> (WRC</w:t>
      </w:r>
      <w:r w:rsidRPr="003D7E61">
        <w:rPr>
          <w:rFonts w:eastAsia="???"/>
        </w:rPr>
        <w:noBreakHyphen/>
        <w:t>15)</w:t>
      </w:r>
      <w:bookmarkEnd w:id="14"/>
    </w:p>
    <w:p w:rsidR="007B1885" w:rsidRPr="003D7E61" w:rsidRDefault="00AF63EE" w:rsidP="000318FB">
      <w:pPr>
        <w:pStyle w:val="Restitle"/>
        <w:rPr>
          <w:rFonts w:eastAsia="???"/>
        </w:rPr>
      </w:pPr>
      <w:bookmarkStart w:id="15" w:name="_Toc450048839"/>
      <w:bookmarkStart w:id="16" w:name="_Toc319401786"/>
      <w:bookmarkStart w:id="17" w:name="_Toc327364412"/>
      <w:r w:rsidRPr="003D7E61">
        <w:rPr>
          <w:rFonts w:eastAsia="???"/>
        </w:rPr>
        <w:t xml:space="preserve">Compatibility of International Mobile Telecommunications and </w:t>
      </w:r>
      <w:r w:rsidRPr="003D7E61">
        <w:rPr>
          <w:rFonts w:eastAsia="???"/>
        </w:rPr>
        <w:br/>
        <w:t xml:space="preserve">broadcasting-satellite service (sound) in the frequency band </w:t>
      </w:r>
      <w:r w:rsidRPr="003D7E61">
        <w:rPr>
          <w:rFonts w:eastAsia="???"/>
        </w:rPr>
        <w:br/>
        <w:t>1 452-1 492 MHz in Regions 1 and 3</w:t>
      </w:r>
      <w:bookmarkEnd w:id="15"/>
      <w:r w:rsidRPr="003D7E61">
        <w:rPr>
          <w:rFonts w:eastAsia="???"/>
        </w:rPr>
        <w:t xml:space="preserve"> </w:t>
      </w:r>
      <w:bookmarkEnd w:id="16"/>
      <w:bookmarkEnd w:id="17"/>
    </w:p>
    <w:p w:rsidR="00223C5A" w:rsidRPr="003D7E61" w:rsidRDefault="00AF63EE" w:rsidP="000318FB">
      <w:pPr>
        <w:pStyle w:val="Reasons"/>
      </w:pPr>
      <w:r w:rsidRPr="003D7E61">
        <w:rPr>
          <w:b/>
        </w:rPr>
        <w:t>Reasons:</w:t>
      </w:r>
      <w:r w:rsidRPr="003D7E61">
        <w:tab/>
      </w:r>
      <w:r w:rsidR="00C55087" w:rsidRPr="003D7E61">
        <w:t xml:space="preserve">Consequential suppression of Resolution </w:t>
      </w:r>
      <w:r w:rsidR="00C55087" w:rsidRPr="003D7E61">
        <w:rPr>
          <w:b/>
        </w:rPr>
        <w:t>761</w:t>
      </w:r>
      <w:r w:rsidR="00C55087" w:rsidRPr="003D7E61">
        <w:t xml:space="preserve"> (WRC-15).</w:t>
      </w:r>
    </w:p>
    <w:p w:rsidR="00AC7F77" w:rsidRPr="003D7E61" w:rsidRDefault="00AC7F77" w:rsidP="000318FB"/>
    <w:p w:rsidR="00AC7F77" w:rsidRPr="003D7E61" w:rsidRDefault="00AC7F77" w:rsidP="000318FB"/>
    <w:p w:rsidR="00AC7F77" w:rsidRPr="003D7E61" w:rsidRDefault="00AC7F77" w:rsidP="000318FB">
      <w:pPr>
        <w:pStyle w:val="Reasons"/>
      </w:pPr>
    </w:p>
    <w:p w:rsidR="00AC7F77" w:rsidRPr="003D7E61" w:rsidRDefault="00AC7F77" w:rsidP="000318FB">
      <w:pPr>
        <w:jc w:val="center"/>
      </w:pPr>
      <w:r w:rsidRPr="003D7E61">
        <w:t>______________</w:t>
      </w:r>
    </w:p>
    <w:p w:rsidR="00AC7F77" w:rsidRDefault="00AC7F77" w:rsidP="000318FB"/>
    <w:sectPr w:rsidR="00AC7F77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09" w:rsidRDefault="00156C09">
      <w:r>
        <w:separator/>
      </w:r>
    </w:p>
  </w:endnote>
  <w:endnote w:type="continuationSeparator" w:id="0">
    <w:p w:rsidR="00156C09" w:rsidRDefault="0015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B1DEB">
      <w:rPr>
        <w:noProof/>
        <w:lang w:val="en-US"/>
      </w:rPr>
      <w:t>R:\REFTXT\REFTXT2019\ITU-R\CONF-R\CMR19\000\012ADD21ADD02E.DOCX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40A49">
      <w:rPr>
        <w:noProof/>
      </w:rPr>
      <w:t>09.07.19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1DEB">
      <w:rPr>
        <w:noProof/>
      </w:rPr>
      <w:t>05.07.19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3D7E61" w:rsidRDefault="003D7E61" w:rsidP="003D7E6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40A49">
      <w:rPr>
        <w:lang w:val="en-US"/>
      </w:rPr>
      <w:t>Y:\APP\BR\POOL\WRC-19\DOC\012ADD21ADD02V2E.docx</w:t>
    </w:r>
    <w:r>
      <w:fldChar w:fldCharType="end"/>
    </w:r>
    <w:r>
      <w:t xml:space="preserve"> (458142)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40A49">
      <w:t>09.07.19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1DEB">
      <w:t>05.07.19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3D7E61" w:rsidRDefault="003D7E61" w:rsidP="003D7E6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40A49">
      <w:rPr>
        <w:lang w:val="en-US"/>
      </w:rPr>
      <w:t>Y:\APP\BR\POOL\WRC-19\DOC\012ADD21ADD02V2E.docx</w:t>
    </w:r>
    <w:r>
      <w:fldChar w:fldCharType="end"/>
    </w:r>
    <w:r>
      <w:t xml:space="preserve"> (458142)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40A49">
      <w:t>09.07.19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1DEB">
      <w:t>05.07.19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09" w:rsidRDefault="00156C09">
      <w:r>
        <w:rPr>
          <w:b/>
        </w:rPr>
        <w:t>_______________</w:t>
      </w:r>
    </w:p>
  </w:footnote>
  <w:footnote w:type="continuationSeparator" w:id="0">
    <w:p w:rsidR="00156C09" w:rsidRDefault="0015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40A49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8" w:name="OLE_LINK1"/>
    <w:bookmarkStart w:id="19" w:name="OLE_LINK2"/>
    <w:bookmarkStart w:id="20" w:name="OLE_LINK3"/>
    <w:r w:rsidR="00EB55C6">
      <w:t>12(Add.21)(Add.2)</w:t>
    </w:r>
    <w:bookmarkEnd w:id="18"/>
    <w:bookmarkEnd w:id="19"/>
    <w:bookmarkEnd w:id="2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18FB"/>
    <w:rsid w:val="000355FD"/>
    <w:rsid w:val="00051E39"/>
    <w:rsid w:val="000705F2"/>
    <w:rsid w:val="00077239"/>
    <w:rsid w:val="0007795D"/>
    <w:rsid w:val="00086491"/>
    <w:rsid w:val="00091346"/>
    <w:rsid w:val="0009706C"/>
    <w:rsid w:val="000B1DEB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56C09"/>
    <w:rsid w:val="00187BD9"/>
    <w:rsid w:val="00190B55"/>
    <w:rsid w:val="001B02F8"/>
    <w:rsid w:val="001C3B5F"/>
    <w:rsid w:val="001D058F"/>
    <w:rsid w:val="002009EA"/>
    <w:rsid w:val="00202756"/>
    <w:rsid w:val="00202CA0"/>
    <w:rsid w:val="00216B6D"/>
    <w:rsid w:val="00223C5A"/>
    <w:rsid w:val="00241FA2"/>
    <w:rsid w:val="002532CF"/>
    <w:rsid w:val="0026418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D7E61"/>
    <w:rsid w:val="003E0DB6"/>
    <w:rsid w:val="0041348E"/>
    <w:rsid w:val="00420873"/>
    <w:rsid w:val="00436FF2"/>
    <w:rsid w:val="00440A49"/>
    <w:rsid w:val="00453ED0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97AF1"/>
    <w:rsid w:val="005C099A"/>
    <w:rsid w:val="005C2EAD"/>
    <w:rsid w:val="005C31A5"/>
    <w:rsid w:val="005D65C4"/>
    <w:rsid w:val="005E10C9"/>
    <w:rsid w:val="005E290B"/>
    <w:rsid w:val="005E61DD"/>
    <w:rsid w:val="005F04D8"/>
    <w:rsid w:val="00600669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0C15"/>
    <w:rsid w:val="006C23DA"/>
    <w:rsid w:val="006E3D45"/>
    <w:rsid w:val="006F3899"/>
    <w:rsid w:val="0070607A"/>
    <w:rsid w:val="007149F9"/>
    <w:rsid w:val="00733A30"/>
    <w:rsid w:val="00745AEE"/>
    <w:rsid w:val="00750F10"/>
    <w:rsid w:val="007742CA"/>
    <w:rsid w:val="007857C5"/>
    <w:rsid w:val="00790D70"/>
    <w:rsid w:val="007A6F1F"/>
    <w:rsid w:val="007D5320"/>
    <w:rsid w:val="007F0578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A4FDD"/>
    <w:rsid w:val="008B43F2"/>
    <w:rsid w:val="008B6CFF"/>
    <w:rsid w:val="009274B4"/>
    <w:rsid w:val="00934EA2"/>
    <w:rsid w:val="00944A5C"/>
    <w:rsid w:val="00950893"/>
    <w:rsid w:val="00952A66"/>
    <w:rsid w:val="00973B80"/>
    <w:rsid w:val="009B7C9A"/>
    <w:rsid w:val="009C56E5"/>
    <w:rsid w:val="009C7716"/>
    <w:rsid w:val="009E5FC8"/>
    <w:rsid w:val="009E687A"/>
    <w:rsid w:val="009F236F"/>
    <w:rsid w:val="00A00E2A"/>
    <w:rsid w:val="00A05218"/>
    <w:rsid w:val="00A066F1"/>
    <w:rsid w:val="00A141AF"/>
    <w:rsid w:val="00A16D29"/>
    <w:rsid w:val="00A30305"/>
    <w:rsid w:val="00A31D2D"/>
    <w:rsid w:val="00A4600A"/>
    <w:rsid w:val="00A538A6"/>
    <w:rsid w:val="00A54C25"/>
    <w:rsid w:val="00A54DA7"/>
    <w:rsid w:val="00A710E7"/>
    <w:rsid w:val="00A7372E"/>
    <w:rsid w:val="00A93B85"/>
    <w:rsid w:val="00AA0B18"/>
    <w:rsid w:val="00AA3C65"/>
    <w:rsid w:val="00AA666F"/>
    <w:rsid w:val="00AC7F77"/>
    <w:rsid w:val="00AD7914"/>
    <w:rsid w:val="00AF1927"/>
    <w:rsid w:val="00AF63EE"/>
    <w:rsid w:val="00B40888"/>
    <w:rsid w:val="00B639E9"/>
    <w:rsid w:val="00B817CD"/>
    <w:rsid w:val="00B81A7D"/>
    <w:rsid w:val="00B94AD0"/>
    <w:rsid w:val="00BB3A95"/>
    <w:rsid w:val="00BD54B6"/>
    <w:rsid w:val="00BD6CCE"/>
    <w:rsid w:val="00C0018F"/>
    <w:rsid w:val="00C16A5A"/>
    <w:rsid w:val="00C20466"/>
    <w:rsid w:val="00C214ED"/>
    <w:rsid w:val="00C234E6"/>
    <w:rsid w:val="00C324A8"/>
    <w:rsid w:val="00C54517"/>
    <w:rsid w:val="00C55087"/>
    <w:rsid w:val="00C56F70"/>
    <w:rsid w:val="00C57B91"/>
    <w:rsid w:val="00C64CD8"/>
    <w:rsid w:val="00C82695"/>
    <w:rsid w:val="00C94DF7"/>
    <w:rsid w:val="00C97C68"/>
    <w:rsid w:val="00CA1A47"/>
    <w:rsid w:val="00CA3DFC"/>
    <w:rsid w:val="00CB44E5"/>
    <w:rsid w:val="00CB5E56"/>
    <w:rsid w:val="00CC247A"/>
    <w:rsid w:val="00CD24EB"/>
    <w:rsid w:val="00CE388F"/>
    <w:rsid w:val="00CE3A42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2172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1211B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R16-WRC19-C-0012!A21-A2!MSW-E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0A3B-EA17-41EA-BA82-6962680D1965}">
  <ds:schemaRefs>
    <ds:schemaRef ds:uri="http://purl.org/dc/elements/1.1/"/>
    <ds:schemaRef ds:uri="http://schemas.microsoft.com/office/infopath/2007/PartnerControls"/>
    <ds:schemaRef ds:uri="996b2e75-67fd-4955-a3b0-5ab9934cb50b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D3838F-E337-406F-8850-E21FADC0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408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R16-WRC19-C-0012!A21-A2!MSW-E</vt:lpstr>
    </vt:vector>
  </TitlesOfParts>
  <Manager>General Secretariat - Pool</Manager>
  <Company>International Telecommunication Union (ITU)</Company>
  <LinksUpToDate>false</LinksUpToDate>
  <CharactersWithSpaces>2689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R16-WRC19-C-0012!A21-A2!MSW-E</dc:title>
  <dc:subject>World Radiocommunication Conference - 2019</dc:subject>
  <dc:creator>Documents Proposals Manager (DPM)</dc:creator>
  <cp:keywords>DPM_v2019.6.28.1_prod</cp:keywords>
  <dc:description>Uploaded on 2015.07.06</dc:description>
  <cp:lastModifiedBy>Faure, Graciela</cp:lastModifiedBy>
  <cp:revision>5</cp:revision>
  <cp:lastPrinted>2019-07-05T09:29:00Z</cp:lastPrinted>
  <dcterms:created xsi:type="dcterms:W3CDTF">2019-07-08T22:29:00Z</dcterms:created>
  <dcterms:modified xsi:type="dcterms:W3CDTF">2019-07-09T07:32:00Z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