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2E547A" w:rsidRPr="002E547A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:rsidR="0090121B" w:rsidRPr="002E547A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2E547A">
              <w:rPr>
                <w:rFonts w:ascii="Verdana" w:hAnsi="Verdana"/>
                <w:b/>
                <w:sz w:val="20"/>
                <w:lang w:val="es-ES"/>
              </w:rPr>
              <w:t>Addéndum 7 al</w:t>
            </w:r>
            <w:r w:rsidRPr="002E547A">
              <w:rPr>
                <w:rFonts w:ascii="Verdana" w:hAnsi="Verdana"/>
                <w:b/>
                <w:sz w:val="20"/>
                <w:lang w:val="es-ES"/>
              </w:rPr>
              <w:br/>
              <w:t>Documento 12(Add.19)</w:t>
            </w:r>
            <w:r w:rsidR="0090121B" w:rsidRPr="002E547A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2E547A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2E547A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25 de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junio</w:t>
            </w:r>
            <w:proofErr w:type="spellEnd"/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 de 2019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 xml:space="preserve">Original: </w:t>
            </w:r>
            <w:proofErr w:type="spellStart"/>
            <w:r w:rsidRPr="0002785D">
              <w:rPr>
                <w:rFonts w:ascii="Verdana" w:hAnsi="Verdana"/>
                <w:b/>
                <w:sz w:val="20"/>
                <w:lang w:val="en-US"/>
              </w:rPr>
              <w:t>ruso</w:t>
            </w:r>
            <w:proofErr w:type="spellEnd"/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E547A" w:rsidRDefault="000A5B9A" w:rsidP="000A5B9A">
            <w:pPr>
              <w:pStyle w:val="Source"/>
              <w:rPr>
                <w:lang w:val="es-ES"/>
              </w:rPr>
            </w:pPr>
            <w:bookmarkStart w:id="1" w:name="dsource" w:colFirst="0" w:colLast="0"/>
            <w:r w:rsidRPr="002E547A">
              <w:rPr>
                <w:lang w:val="es-ES"/>
              </w:rPr>
              <w:t>Propuestas Comunes de la Comunidad Regional de Comunicaciones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E547A" w:rsidRDefault="006F4731" w:rsidP="000A5B9A">
            <w:pPr>
              <w:pStyle w:val="Title1"/>
              <w:rPr>
                <w:lang w:val="es-ES"/>
              </w:rPr>
            </w:pPr>
            <w:bookmarkStart w:id="2" w:name="dtitle1" w:colFirst="0" w:colLast="0"/>
            <w:bookmarkEnd w:id="1"/>
            <w:r w:rsidRPr="008201EC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2E547A" w:rsidRDefault="000A5B9A" w:rsidP="000A5B9A">
            <w:pPr>
              <w:pStyle w:val="Title2"/>
              <w:rPr>
                <w:lang w:val="es-ES"/>
              </w:rPr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7(G) del orden del día</w:t>
            </w:r>
          </w:p>
        </w:tc>
      </w:tr>
    </w:tbl>
    <w:bookmarkEnd w:id="4"/>
    <w:p w:rsidR="001C0E40" w:rsidRPr="00E9771B" w:rsidRDefault="006F4731" w:rsidP="00302849">
      <w:r w:rsidRPr="00E8457B">
        <w:t>7</w:t>
      </w:r>
      <w:r w:rsidRPr="00E8457B">
        <w:tab/>
        <w:t xml:space="preserve">considerar posibles modificaciones y otras opciones para responder a lo dispuesto en la Resolución 86 (Rev. Marrakech, 2002) de la Conferencia de Plenipotenciarios: </w:t>
      </w:r>
      <w:r w:rsidR="00302849">
        <w:t>«</w:t>
      </w:r>
      <w:r w:rsidRPr="00E8457B">
        <w:t>Procedimientos de publicación anticipada, de coordinación, de notificación y de inscripción de asignaciones de frecuencias de redes de satélite</w:t>
      </w:r>
      <w:r w:rsidR="00302849">
        <w:t>»</w:t>
      </w:r>
      <w:r w:rsidRPr="00E8457B">
        <w:t xml:space="preserve"> de conformidad con la Resolución </w:t>
      </w:r>
      <w:r w:rsidRPr="00E8457B">
        <w:rPr>
          <w:b/>
          <w:bCs/>
        </w:rPr>
        <w:t>86 (Rev.CMR-07</w:t>
      </w:r>
      <w:r w:rsidRPr="00E8457B">
        <w:rPr>
          <w:b/>
        </w:rPr>
        <w:t xml:space="preserve">) </w:t>
      </w:r>
      <w:r w:rsidRPr="00E8457B">
        <w:rPr>
          <w:bCs/>
        </w:rPr>
        <w:t>para facilitar el uso racional, eficiente y económico de las radiofrecuencias y órbitas asociadas, incluida la órbita de los satélites geoestacionarios</w:t>
      </w:r>
      <w:r w:rsidRPr="00E8457B">
        <w:t>;</w:t>
      </w:r>
    </w:p>
    <w:p w:rsidR="001C0E40" w:rsidRPr="00E9771B" w:rsidRDefault="006F4731" w:rsidP="008B6E95">
      <w:r w:rsidRPr="00E8457B">
        <w:t>7</w:t>
      </w:r>
      <w:r>
        <w:t>(G)</w:t>
      </w:r>
      <w:r w:rsidRPr="00E8457B">
        <w:tab/>
      </w:r>
      <w:r w:rsidRPr="00CA0BE0">
        <w:t xml:space="preserve">Tema G – </w:t>
      </w:r>
      <w:r w:rsidRPr="001F68F3">
        <w:t xml:space="preserve">Actualización de la situación de referencia para las redes de las Regiones 1 y 3 con arreglo a los Apéndices </w:t>
      </w:r>
      <w:r w:rsidRPr="001F68F3">
        <w:rPr>
          <w:b/>
          <w:bCs/>
        </w:rPr>
        <w:t>30</w:t>
      </w:r>
      <w:r w:rsidRPr="001F68F3">
        <w:t xml:space="preserve"> y </w:t>
      </w:r>
      <w:r w:rsidRPr="001F68F3">
        <w:rPr>
          <w:b/>
          <w:bCs/>
        </w:rPr>
        <w:t>30A</w:t>
      </w:r>
      <w:r w:rsidRPr="001F68F3">
        <w:t xml:space="preserve"> del RR cuando las asignaciones inscritas a título provisional se convierten en asignaciones inscritas definitivas</w:t>
      </w:r>
    </w:p>
    <w:p w:rsidR="006F4731" w:rsidRPr="002E547A" w:rsidRDefault="006F4731" w:rsidP="006F4731">
      <w:pPr>
        <w:pStyle w:val="Headingb"/>
        <w:rPr>
          <w:lang w:val="es-ES"/>
        </w:rPr>
      </w:pPr>
      <w:r w:rsidRPr="002E547A">
        <w:rPr>
          <w:lang w:val="es-ES"/>
        </w:rPr>
        <w:t>Introducción</w:t>
      </w:r>
    </w:p>
    <w:p w:rsidR="006F4731" w:rsidRPr="000509B8" w:rsidRDefault="006F4731" w:rsidP="00D07DFA">
      <w:r w:rsidRPr="006F4731">
        <w:t xml:space="preserve">Las Administraciones del RCC consideran que no es razonable modificar el § </w:t>
      </w:r>
      <w:r w:rsidRPr="006F4731">
        <w:rPr>
          <w:b/>
          <w:bCs/>
        </w:rPr>
        <w:t>4.1.18</w:t>
      </w:r>
      <w:r>
        <w:t xml:space="preserve"> de los Apéndices </w:t>
      </w:r>
      <w:r w:rsidRPr="00D07DFA">
        <w:rPr>
          <w:b/>
          <w:bCs/>
        </w:rPr>
        <w:t>30</w:t>
      </w:r>
      <w:r>
        <w:t xml:space="preserve"> y </w:t>
      </w:r>
      <w:r w:rsidRPr="00D07DFA">
        <w:rPr>
          <w:b/>
          <w:bCs/>
        </w:rPr>
        <w:t>30A</w:t>
      </w:r>
      <w:r>
        <w:t xml:space="preserve"> a</w:t>
      </w:r>
      <w:r w:rsidRPr="006F4731">
        <w:t xml:space="preserve">l RR, según el cual la situación de referencia de la red de satélite </w:t>
      </w:r>
      <w:r w:rsidR="00D07DFA">
        <w:t>«</w:t>
      </w:r>
      <w:r w:rsidRPr="006F4731">
        <w:t>interfe</w:t>
      </w:r>
      <w:r>
        <w:t>rida</w:t>
      </w:r>
      <w:r w:rsidR="00D07DFA">
        <w:t>»</w:t>
      </w:r>
      <w:r>
        <w:t xml:space="preserve"> sólo se actualizaría una vez obtenido </w:t>
      </w:r>
      <w:r w:rsidRPr="006F4731">
        <w:t xml:space="preserve">un acuerdo entre la Administración </w:t>
      </w:r>
      <w:r>
        <w:t>notificante de</w:t>
      </w:r>
      <w:r w:rsidRPr="006F4731">
        <w:t xml:space="preserve"> dicha red y la Administración </w:t>
      </w:r>
      <w:r>
        <w:t>notificante de</w:t>
      </w:r>
      <w:r w:rsidRPr="006F4731">
        <w:t xml:space="preserve"> la nueva </w:t>
      </w:r>
      <w:r w:rsidR="00D07DFA">
        <w:t>«</w:t>
      </w:r>
      <w:r w:rsidRPr="006F4731">
        <w:t>red interferente</w:t>
      </w:r>
      <w:r w:rsidR="00D07DFA">
        <w:t>»</w:t>
      </w:r>
      <w:r w:rsidRPr="006F4731">
        <w:t xml:space="preserve"> </w:t>
      </w:r>
      <w:r>
        <w:t>(Método G3)</w:t>
      </w:r>
      <w:r w:rsidRPr="000509B8">
        <w:t>.</w:t>
      </w:r>
    </w:p>
    <w:p w:rsidR="008750A8" w:rsidRDefault="008750A8" w:rsidP="00302849">
      <w:r>
        <w:br w:type="page"/>
      </w:r>
    </w:p>
    <w:p w:rsidR="00B063AE" w:rsidRPr="004513DF" w:rsidRDefault="006F4731" w:rsidP="00302849">
      <w:pPr>
        <w:pStyle w:val="AppendixNo"/>
        <w:rPr>
          <w:vertAlign w:val="superscript"/>
        </w:rPr>
      </w:pPr>
      <w:r w:rsidRPr="00302849">
        <w:lastRenderedPageBreak/>
        <w:t>APÉNDICE</w:t>
      </w:r>
      <w:r w:rsidRPr="004513DF">
        <w:t xml:space="preserve"> </w:t>
      </w:r>
      <w:r w:rsidRPr="004513DF">
        <w:rPr>
          <w:rStyle w:val="href"/>
          <w:color w:val="000000"/>
        </w:rPr>
        <w:t xml:space="preserve">30 </w:t>
      </w:r>
      <w:r w:rsidRPr="004513DF">
        <w:t>(</w:t>
      </w:r>
      <w:r w:rsidRPr="004513DF">
        <w:rPr>
          <w:caps w:val="0"/>
        </w:rPr>
        <w:t>REV</w:t>
      </w:r>
      <w:r w:rsidRPr="004513DF">
        <w:t>.CMR-15)</w:t>
      </w:r>
      <w:r w:rsidRPr="004513DF">
        <w:rPr>
          <w:rStyle w:val="FootnoteReference"/>
          <w:color w:val="000000"/>
        </w:rPr>
        <w:footnoteReference w:customMarkFollows="1" w:id="1"/>
        <w:t>*</w:t>
      </w:r>
    </w:p>
    <w:p w:rsidR="00B063AE" w:rsidRPr="004513DF" w:rsidRDefault="006F4731" w:rsidP="00302849">
      <w:pPr>
        <w:pStyle w:val="Appendixtitle"/>
        <w:rPr>
          <w:b w:val="0"/>
          <w:bCs/>
          <w:color w:val="000000"/>
          <w:sz w:val="16"/>
        </w:rPr>
      </w:pPr>
      <w:r w:rsidRPr="004513DF">
        <w:rPr>
          <w:color w:val="000000"/>
        </w:rPr>
        <w:t>Disposiciones aplicables a todos los servicios y Planes y Lista</w:t>
      </w:r>
      <w:r w:rsidRPr="004513DF">
        <w:rPr>
          <w:rStyle w:val="FootnoteReference"/>
          <w:b w:val="0"/>
          <w:bCs/>
          <w:color w:val="000000"/>
        </w:rPr>
        <w:footnoteReference w:customMarkFollows="1" w:id="2"/>
        <w:t>1</w:t>
      </w:r>
      <w:r w:rsidRPr="004513DF">
        <w:rPr>
          <w:color w:val="000000"/>
        </w:rPr>
        <w:t xml:space="preserve"> asociados</w:t>
      </w:r>
      <w:r w:rsidRPr="004513DF">
        <w:rPr>
          <w:color w:val="000000"/>
        </w:rPr>
        <w:br/>
        <w:t>para el servicio de radiodifusión por satélite en las bandas de</w:t>
      </w:r>
      <w:r w:rsidRPr="004513DF">
        <w:rPr>
          <w:color w:val="000000"/>
        </w:rPr>
        <w:br/>
        <w:t>frecuencias 11,7</w:t>
      </w:r>
      <w:r w:rsidRPr="004513DF">
        <w:rPr>
          <w:color w:val="000000"/>
        </w:rPr>
        <w:noBreakHyphen/>
        <w:t>12,2 GHz (en la Región 3), 11,7-12,5 GHz</w:t>
      </w:r>
      <w:r w:rsidR="00302849">
        <w:rPr>
          <w:color w:val="000000"/>
        </w:rPr>
        <w:t xml:space="preserve"> </w:t>
      </w:r>
      <w:r w:rsidRPr="004513DF">
        <w:rPr>
          <w:color w:val="000000"/>
        </w:rPr>
        <w:br/>
        <w:t>(en la Región 1) y 12,2</w:t>
      </w:r>
      <w:r w:rsidRPr="004513DF">
        <w:rPr>
          <w:color w:val="000000"/>
        </w:rPr>
        <w:noBreakHyphen/>
        <w:t>12,7 GHz (en la Región 2)</w:t>
      </w:r>
      <w:r w:rsidRPr="004513DF">
        <w:rPr>
          <w:b w:val="0"/>
          <w:bCs/>
          <w:color w:val="000000"/>
          <w:sz w:val="16"/>
        </w:rPr>
        <w:t>     </w:t>
      </w:r>
      <w:r w:rsidRPr="004513DF">
        <w:rPr>
          <w:rFonts w:ascii="Times New Roman"/>
          <w:b w:val="0"/>
          <w:bCs/>
          <w:color w:val="000000"/>
          <w:sz w:val="16"/>
        </w:rPr>
        <w:t>(CMR</w:t>
      </w:r>
      <w:r w:rsidRPr="004513DF">
        <w:rPr>
          <w:rFonts w:ascii="Times New Roman"/>
          <w:b w:val="0"/>
          <w:bCs/>
          <w:color w:val="000000"/>
          <w:sz w:val="16"/>
        </w:rPr>
        <w:noBreakHyphen/>
        <w:t>03)</w:t>
      </w:r>
    </w:p>
    <w:p w:rsidR="00B063AE" w:rsidRPr="004513DF" w:rsidRDefault="006F4731" w:rsidP="00302849">
      <w:pPr>
        <w:pStyle w:val="AppArtNo"/>
      </w:pPr>
      <w:r w:rsidRPr="004513DF">
        <w:t>ARTÍCULO 4</w:t>
      </w:r>
      <w:r w:rsidRPr="004513DF">
        <w:rPr>
          <w:sz w:val="16"/>
        </w:rPr>
        <w:t>     (Rev.CMR</w:t>
      </w:r>
      <w:r w:rsidRPr="004513DF">
        <w:rPr>
          <w:sz w:val="16"/>
        </w:rPr>
        <w:noBreakHyphen/>
        <w:t>15)</w:t>
      </w:r>
    </w:p>
    <w:p w:rsidR="00B063AE" w:rsidRPr="004513DF" w:rsidRDefault="006F4731" w:rsidP="00302849">
      <w:pPr>
        <w:pStyle w:val="AppArttitle"/>
      </w:pPr>
      <w:r w:rsidRPr="00302849">
        <w:t>Procedimientos</w:t>
      </w:r>
      <w:r w:rsidRPr="004513DF">
        <w:t xml:space="preserve"> para las modificaciones del Plan de la Región 2</w:t>
      </w:r>
      <w:r w:rsidRPr="004513DF">
        <w:br/>
        <w:t>o para los usos adicionales en las Regiones 1 y 3</w:t>
      </w:r>
      <w:r w:rsidRPr="004513DF">
        <w:rPr>
          <w:rStyle w:val="FootnoteReference"/>
          <w:b w:val="0"/>
          <w:bCs/>
          <w:color w:val="000000"/>
        </w:rPr>
        <w:footnoteReference w:customMarkFollows="1" w:id="3"/>
        <w:t>3</w:t>
      </w:r>
    </w:p>
    <w:p w:rsidR="00B063AE" w:rsidRPr="00302849" w:rsidRDefault="006F4731" w:rsidP="00302849">
      <w:pPr>
        <w:pStyle w:val="Heading2"/>
      </w:pPr>
      <w:r w:rsidRPr="00302849">
        <w:t>4.1</w:t>
      </w:r>
      <w:r w:rsidRPr="00302849">
        <w:tab/>
        <w:t>Disposiciones aplicables a las Regiones 1 y 3</w:t>
      </w:r>
    </w:p>
    <w:p w:rsidR="00B936E6" w:rsidRDefault="006F4731">
      <w:pPr>
        <w:pStyle w:val="Proposal"/>
      </w:pPr>
      <w:r>
        <w:rPr>
          <w:u w:val="single"/>
        </w:rPr>
        <w:t>NOC</w:t>
      </w:r>
      <w:r>
        <w:tab/>
        <w:t>RCC/12A19A7/1</w:t>
      </w:r>
    </w:p>
    <w:p w:rsidR="00B063AE" w:rsidRPr="004513DF" w:rsidRDefault="006F4731" w:rsidP="00302849">
      <w:r w:rsidRPr="004513DF">
        <w:rPr>
          <w:rStyle w:val="Provsplit"/>
        </w:rPr>
        <w:t>4.1.18</w:t>
      </w:r>
      <w:r w:rsidRPr="004513DF">
        <w:tab/>
        <w:t>Si, pese a la aplicación de los § 4.1.16 y 4.1.17, subsiste el desacuerdo y la asignación que motiva el desacuerdo no es una asignación del Plan de las Regiones 1 y 3, ni del Plan de la Región 2, ni se ha iniciado para la misma el procedimiento del § 4.2, y si la administración notificante insiste en que la asignación propuesta se incluya en la Lista de las Regiones 1 y 3, la Oficina inscribirá provisionalmente la asignación en la Lista de las Regiones 1 y 3, indicando las administraciones cuyas asignaciones suscitaron desacuerdo. Sin embargo, la inscripción en la Lista sólo dejará de ser provisional y se convertirá en definitiva cuando se informe a la Oficina de que la nueva asignación que figura en la Lista de las Regiones 1 y 3 se ha utilizado, junto con la asignación que suscitó el desacuerdo, durante por lo menos cuatro meses, sin que se haya formulado reclamación alguna por interferencias perjudiciales</w:t>
      </w:r>
      <w:proofErr w:type="gramStart"/>
      <w:r w:rsidRPr="004513DF">
        <w:t>.</w:t>
      </w:r>
      <w:r w:rsidRPr="004513DF">
        <w:rPr>
          <w:sz w:val="16"/>
        </w:rPr>
        <w:t>     </w:t>
      </w:r>
      <w:proofErr w:type="gramEnd"/>
      <w:r w:rsidRPr="004513DF">
        <w:rPr>
          <w:sz w:val="16"/>
        </w:rPr>
        <w:t>(CMR</w:t>
      </w:r>
      <w:r w:rsidRPr="004513DF">
        <w:rPr>
          <w:sz w:val="16"/>
        </w:rPr>
        <w:noBreakHyphen/>
        <w:t>03)</w:t>
      </w:r>
    </w:p>
    <w:p w:rsidR="00B936E6" w:rsidRDefault="006F4731" w:rsidP="006F4731">
      <w:pPr>
        <w:pStyle w:val="Reasons"/>
      </w:pPr>
      <w:r>
        <w:rPr>
          <w:b/>
        </w:rPr>
        <w:t>Motivos:</w:t>
      </w:r>
      <w:r>
        <w:tab/>
      </w:r>
      <w:r w:rsidRPr="006F4731">
        <w:t xml:space="preserve">Dada la complejidad de llegar a un acuerdo en </w:t>
      </w:r>
      <w:r>
        <w:t>algunos</w:t>
      </w:r>
      <w:r w:rsidRPr="006F4731">
        <w:t xml:space="preserve"> casos y las consiguientes dificultades para convertir las asignaciones de frecuencia</w:t>
      </w:r>
      <w:r w:rsidR="004D1DE5">
        <w:t>s</w:t>
      </w:r>
      <w:r w:rsidRPr="006F4731">
        <w:t xml:space="preserve"> inscritas </w:t>
      </w:r>
      <w:r>
        <w:t>a título provisional</w:t>
      </w:r>
      <w:r w:rsidRPr="006F4731">
        <w:t xml:space="preserve"> en asignaciones definitivas, </w:t>
      </w:r>
      <w:r>
        <w:t xml:space="preserve">se </w:t>
      </w:r>
      <w:r w:rsidRPr="006F4731">
        <w:t xml:space="preserve">debe mantener el procedimiento existente de inscripción </w:t>
      </w:r>
      <w:r>
        <w:t xml:space="preserve">una vez trascurridos </w:t>
      </w:r>
      <w:r w:rsidRPr="006F4731">
        <w:t>cuatro meses de funcionamiento sin interferencias</w:t>
      </w:r>
      <w:r>
        <w:t>.</w:t>
      </w:r>
    </w:p>
    <w:p w:rsidR="00B936E6" w:rsidRDefault="006F4731">
      <w:pPr>
        <w:pStyle w:val="Proposal"/>
      </w:pPr>
      <w:r>
        <w:rPr>
          <w:u w:val="single"/>
        </w:rPr>
        <w:t>NOC</w:t>
      </w:r>
      <w:r>
        <w:tab/>
        <w:t>RCC/12A19A7/2</w:t>
      </w:r>
    </w:p>
    <w:p w:rsidR="00B063AE" w:rsidRPr="004513DF" w:rsidRDefault="006F4731" w:rsidP="00302849">
      <w:r w:rsidRPr="004513DF">
        <w:rPr>
          <w:rStyle w:val="Provsplit"/>
        </w:rPr>
        <w:t>4.1.18</w:t>
      </w:r>
      <w:r w:rsidRPr="004513DF">
        <w:rPr>
          <w:rStyle w:val="Provsplit"/>
          <w:i/>
          <w:iCs/>
        </w:rPr>
        <w:t>bis</w:t>
      </w:r>
      <w:r w:rsidRPr="004513DF">
        <w:tab/>
        <w:t xml:space="preserve">Cuando solicite la aplicación del § 4.1.18, la administración notificante se comprometerá a cumplir los requisitos del § 4.1.20 y a facilitar a la administración a la que se aplica el § 4.1.18, con copia a la Oficina, la descripción de las medidas que se compromete a adoptar para cumplir estos requisitos. Una vez que se inscribe una asignación en la Lista con carácter provisional </w:t>
      </w:r>
      <w:r w:rsidRPr="004513DF">
        <w:lastRenderedPageBreak/>
        <w:t>con arreglo a las disposiciones del § 4.1.18, el cálculo del margen de protección equivalente (MPE)</w:t>
      </w:r>
      <w:r w:rsidRPr="004513DF">
        <w:rPr>
          <w:rStyle w:val="FootnoteReference"/>
          <w:color w:val="000000"/>
        </w:rPr>
        <w:footnoteReference w:customMarkFollows="1" w:id="4"/>
        <w:t>9</w:t>
      </w:r>
      <w:r w:rsidRPr="004513DF">
        <w:t xml:space="preserve"> de una asignación en la Lista de las Regiones 1 y 3 o para la que se haya iniciado el procedimiento del Artículo 4 y que hubiese suscitado el desacuerdo, no tendrá en cuenta la interferencia producida por la asignación a la que se han aplicado las disposiciones del § 4.1.18</w:t>
      </w:r>
      <w:proofErr w:type="gramStart"/>
      <w:r w:rsidRPr="004513DF">
        <w:t>.</w:t>
      </w:r>
      <w:r w:rsidRPr="004513DF">
        <w:rPr>
          <w:sz w:val="16"/>
        </w:rPr>
        <w:t xml:space="preserve">      </w:t>
      </w:r>
      <w:proofErr w:type="gramEnd"/>
      <w:r w:rsidRPr="004513DF">
        <w:rPr>
          <w:sz w:val="16"/>
        </w:rPr>
        <w:t>(CMR</w:t>
      </w:r>
      <w:r w:rsidRPr="004513DF">
        <w:rPr>
          <w:sz w:val="16"/>
        </w:rPr>
        <w:noBreakHyphen/>
        <w:t>03)</w:t>
      </w:r>
    </w:p>
    <w:p w:rsidR="006F4731" w:rsidRDefault="006F4731" w:rsidP="00302849">
      <w:pPr>
        <w:pStyle w:val="Reasons"/>
      </w:pPr>
      <w:r>
        <w:rPr>
          <w:b/>
        </w:rPr>
        <w:t>Motivos:</w:t>
      </w:r>
      <w:r>
        <w:tab/>
      </w:r>
      <w:r w:rsidRPr="006F4731">
        <w:t xml:space="preserve">Dada la complejidad de llegar a un acuerdo en </w:t>
      </w:r>
      <w:r>
        <w:t>algunos</w:t>
      </w:r>
      <w:r w:rsidRPr="006F4731">
        <w:t xml:space="preserve"> casos y las consiguientes dificultades para convertir las asignaciones de frecuencia</w:t>
      </w:r>
      <w:r w:rsidR="00E1522D">
        <w:t>s</w:t>
      </w:r>
      <w:r w:rsidRPr="006F4731">
        <w:t xml:space="preserve"> inscritas </w:t>
      </w:r>
      <w:r>
        <w:t>a título provisional</w:t>
      </w:r>
      <w:r w:rsidRPr="006F4731">
        <w:t xml:space="preserve"> en asignaciones definitivas, </w:t>
      </w:r>
      <w:r>
        <w:t xml:space="preserve">se </w:t>
      </w:r>
      <w:r w:rsidRPr="006F4731">
        <w:t xml:space="preserve">debe mantener el procedimiento existente de inscripción </w:t>
      </w:r>
      <w:r>
        <w:t xml:space="preserve">una vez trascurridos </w:t>
      </w:r>
      <w:r w:rsidRPr="006F4731">
        <w:t>cuatro meses de funcionamiento sin interferencias</w:t>
      </w:r>
      <w:r>
        <w:t>.</w:t>
      </w:r>
    </w:p>
    <w:p w:rsidR="00B063AE" w:rsidRPr="00CC2C5E" w:rsidRDefault="006F4731" w:rsidP="00302849">
      <w:pPr>
        <w:pStyle w:val="AppendixNo"/>
        <w:rPr>
          <w:rStyle w:val="FootnoteReference"/>
        </w:rPr>
      </w:pPr>
      <w:r w:rsidRPr="00CC2C5E">
        <w:t xml:space="preserve">APÉNDICE </w:t>
      </w:r>
      <w:r w:rsidRPr="00CC2C5E">
        <w:rPr>
          <w:rStyle w:val="href"/>
          <w:color w:val="000000"/>
        </w:rPr>
        <w:t xml:space="preserve">30A </w:t>
      </w:r>
      <w:r w:rsidRPr="00CC2C5E">
        <w:t>(</w:t>
      </w:r>
      <w:r w:rsidRPr="00CC2C5E">
        <w:rPr>
          <w:caps w:val="0"/>
        </w:rPr>
        <w:t>REV</w:t>
      </w:r>
      <w:r w:rsidRPr="00CC2C5E">
        <w:t>.CMR-15)</w:t>
      </w:r>
      <w:r w:rsidRPr="00CC2C5E">
        <w:rPr>
          <w:rStyle w:val="FootnoteReference"/>
        </w:rPr>
        <w:footnoteReference w:customMarkFollows="1" w:id="5"/>
        <w:t>*</w:t>
      </w:r>
    </w:p>
    <w:p w:rsidR="00B063AE" w:rsidRPr="00CC2C5E" w:rsidRDefault="006F4731" w:rsidP="00B063AE">
      <w:pPr>
        <w:pStyle w:val="Appendixtitle"/>
        <w:rPr>
          <w:rFonts w:asciiTheme="majorBidi" w:hAnsiTheme="majorBidi" w:cstheme="majorBidi"/>
          <w:b w:val="0"/>
          <w:bCs/>
          <w:szCs w:val="28"/>
        </w:rPr>
      </w:pPr>
      <w:r w:rsidRPr="00CC2C5E">
        <w:rPr>
          <w:color w:val="000000"/>
        </w:rPr>
        <w:t>Disposiciones y Planes asociados y Lista</w:t>
      </w:r>
      <w:r w:rsidRPr="00CC2C5E">
        <w:rPr>
          <w:rStyle w:val="FootnoteReference"/>
          <w:b w:val="0"/>
          <w:bCs/>
          <w:color w:val="000000"/>
        </w:rPr>
        <w:footnoteReference w:customMarkFollows="1" w:id="6"/>
        <w:t>1</w:t>
      </w:r>
      <w:r w:rsidRPr="00CC2C5E">
        <w:rPr>
          <w:color w:val="000000"/>
        </w:rPr>
        <w:t xml:space="preserve"> para los enlaces de conexión del</w:t>
      </w:r>
      <w:r w:rsidRPr="00CC2C5E">
        <w:rPr>
          <w:color w:val="000000"/>
        </w:rPr>
        <w:br/>
        <w:t>servicio de radiodifusión por satélite (11,7</w:t>
      </w:r>
      <w:r w:rsidRPr="00CC2C5E">
        <w:rPr>
          <w:color w:val="000000"/>
        </w:rPr>
        <w:noBreakHyphen/>
        <w:t>12,5 GHz en la Región 1,</w:t>
      </w:r>
      <w:r w:rsidRPr="00CC2C5E">
        <w:rPr>
          <w:color w:val="000000"/>
        </w:rPr>
        <w:br/>
        <w:t>12,2</w:t>
      </w:r>
      <w:r w:rsidRPr="00CC2C5E">
        <w:rPr>
          <w:color w:val="000000"/>
        </w:rPr>
        <w:noBreakHyphen/>
        <w:t>12,7 GHz en la Región 2 y 11,7</w:t>
      </w:r>
      <w:r w:rsidRPr="00CC2C5E">
        <w:rPr>
          <w:color w:val="000000"/>
        </w:rPr>
        <w:noBreakHyphen/>
        <w:t>12,2 GHz en la Región 3) en</w:t>
      </w:r>
      <w:r w:rsidRPr="00CC2C5E">
        <w:rPr>
          <w:color w:val="000000"/>
        </w:rPr>
        <w:br/>
        <w:t>las bandas de frecuencias 14,5-14,8 GHz</w:t>
      </w:r>
      <w:r w:rsidRPr="00CC2C5E">
        <w:rPr>
          <w:rStyle w:val="FootnoteReference"/>
          <w:color w:val="000000"/>
        </w:rPr>
        <w:footnoteReference w:customMarkFollows="1" w:id="7"/>
        <w:t>2</w:t>
      </w:r>
      <w:r w:rsidRPr="00CC2C5E">
        <w:rPr>
          <w:color w:val="000000"/>
        </w:rPr>
        <w:t xml:space="preserve"> y 17,3</w:t>
      </w:r>
      <w:r w:rsidRPr="00CC2C5E">
        <w:rPr>
          <w:color w:val="000000"/>
        </w:rPr>
        <w:noBreakHyphen/>
        <w:t>18,1 GHz en</w:t>
      </w:r>
      <w:r w:rsidRPr="00CC2C5E">
        <w:rPr>
          <w:color w:val="000000"/>
        </w:rPr>
        <w:br/>
        <w:t>las Regiones 1 y 3, y 17,3</w:t>
      </w:r>
      <w:r w:rsidRPr="00CC2C5E">
        <w:rPr>
          <w:color w:val="000000"/>
        </w:rPr>
        <w:noBreakHyphen/>
        <w:t>17,8 GHz en la Región 2</w:t>
      </w:r>
      <w:r w:rsidRPr="00CC2C5E">
        <w:rPr>
          <w:b w:val="0"/>
          <w:bCs/>
          <w:color w:val="000000"/>
          <w:sz w:val="20"/>
        </w:rPr>
        <w:t>     </w:t>
      </w:r>
      <w:r w:rsidRPr="00CC2C5E">
        <w:rPr>
          <w:rFonts w:asciiTheme="majorBidi" w:hAnsiTheme="majorBidi" w:cstheme="majorBidi"/>
          <w:b w:val="0"/>
          <w:bCs/>
          <w:sz w:val="16"/>
        </w:rPr>
        <w:t>(CMR</w:t>
      </w:r>
      <w:r w:rsidRPr="00CC2C5E">
        <w:rPr>
          <w:rFonts w:asciiTheme="majorBidi" w:hAnsiTheme="majorBidi" w:cstheme="majorBidi"/>
          <w:b w:val="0"/>
          <w:bCs/>
          <w:sz w:val="16"/>
        </w:rPr>
        <w:noBreakHyphen/>
        <w:t>03)</w:t>
      </w:r>
    </w:p>
    <w:p w:rsidR="00B063AE" w:rsidRPr="00CC2C5E" w:rsidRDefault="006F4731" w:rsidP="00302849">
      <w:pPr>
        <w:pStyle w:val="AppArtNo"/>
      </w:pPr>
      <w:r w:rsidRPr="00CC2C5E">
        <w:t>ARTÍCULO 4</w:t>
      </w:r>
      <w:r w:rsidRPr="00CC2C5E">
        <w:rPr>
          <w:sz w:val="16"/>
        </w:rPr>
        <w:t>     (</w:t>
      </w:r>
      <w:r w:rsidRPr="00CC2C5E">
        <w:rPr>
          <w:caps w:val="0"/>
          <w:sz w:val="16"/>
        </w:rPr>
        <w:t>REV.</w:t>
      </w:r>
      <w:r w:rsidRPr="00CC2C5E">
        <w:rPr>
          <w:sz w:val="16"/>
        </w:rPr>
        <w:t>CMR</w:t>
      </w:r>
      <w:r w:rsidRPr="00CC2C5E">
        <w:rPr>
          <w:sz w:val="16"/>
        </w:rPr>
        <w:noBreakHyphen/>
        <w:t>15)</w:t>
      </w:r>
    </w:p>
    <w:p w:rsidR="00B063AE" w:rsidRPr="00CC2C5E" w:rsidRDefault="006F4731" w:rsidP="00302849">
      <w:pPr>
        <w:pStyle w:val="AppArttitle"/>
      </w:pPr>
      <w:r w:rsidRPr="00CC2C5E">
        <w:t>Procedimientos para las modificaciones del Plan para los enlaces</w:t>
      </w:r>
      <w:r w:rsidRPr="00CC2C5E">
        <w:br/>
        <w:t>de conexión en la Región 2 o para los usos adicionales</w:t>
      </w:r>
      <w:r w:rsidRPr="00CC2C5E">
        <w:br/>
        <w:t>en las Regiones 1 y 3</w:t>
      </w:r>
    </w:p>
    <w:p w:rsidR="00B063AE" w:rsidRPr="00302849" w:rsidRDefault="006F4731" w:rsidP="00B063AE">
      <w:pPr>
        <w:pStyle w:val="Heading2"/>
      </w:pPr>
      <w:r w:rsidRPr="00302849">
        <w:t>4.1</w:t>
      </w:r>
      <w:r w:rsidRPr="00302849">
        <w:tab/>
        <w:t>Disposiciones aplicables a las Regiones 1 y 3</w:t>
      </w:r>
    </w:p>
    <w:p w:rsidR="00B936E6" w:rsidRDefault="006F4731">
      <w:pPr>
        <w:pStyle w:val="Proposal"/>
      </w:pPr>
      <w:r>
        <w:rPr>
          <w:u w:val="single"/>
        </w:rPr>
        <w:t>NOC</w:t>
      </w:r>
      <w:r>
        <w:tab/>
        <w:t>RCC/12A19A7/3</w:t>
      </w:r>
    </w:p>
    <w:p w:rsidR="00B063AE" w:rsidRPr="00CC2C5E" w:rsidRDefault="006F4731" w:rsidP="00B063AE">
      <w:r w:rsidRPr="00CC2C5E">
        <w:rPr>
          <w:rStyle w:val="Provsplit"/>
        </w:rPr>
        <w:t>4.1.18</w:t>
      </w:r>
      <w:r w:rsidRPr="00CC2C5E">
        <w:tab/>
        <w:t xml:space="preserve">Si, pese a la aplicación de los § 4.1.16 y 4.1.17, subsiste el desacuerdo y la asignación que motiva el desacuerdo no es una asignación del Plan de las Regiones 1 y 3, ni del Plan de la Región 2 ni se ha iniciado para la misma el procedimiento del § 4.2, y si la administración notificante insiste en que la asignación propuesta se incluya en la Lista para los enlaces de conexión de las Regiones 1 y 3, la Oficina inscribirá provisionalmente la asignación en la Lista para los enlaces de conexión de las Regiones 1 y 3, indicando las administraciones cuyas asignaciones suscitaron desacuerdo. Sin embargo, la inscripción en la Lista para los enlaces de conexión sólo dejará de ser provisional y se convertirá en definitiva cuando se informe a la Oficina de que la </w:t>
      </w:r>
      <w:r w:rsidRPr="00CC2C5E">
        <w:lastRenderedPageBreak/>
        <w:t>nueva asignación que figura en la Lista para los enlaces de conexión de las Regiones 1 y 3 se ha utilizado, junto con la asignación que suscitó el desacuerdo, durante por lo menos cuatro meses, sin que se haya formulado reclamación alguna por interferencias perjudiciales</w:t>
      </w:r>
      <w:proofErr w:type="gramStart"/>
      <w:r w:rsidRPr="00CC2C5E">
        <w:t>.</w:t>
      </w:r>
      <w:r w:rsidRPr="00CC2C5E">
        <w:rPr>
          <w:sz w:val="16"/>
        </w:rPr>
        <w:t>     </w:t>
      </w:r>
      <w:proofErr w:type="gramEnd"/>
      <w:r w:rsidRPr="00CC2C5E">
        <w:rPr>
          <w:sz w:val="16"/>
        </w:rPr>
        <w:t>(CMR-03)</w:t>
      </w:r>
    </w:p>
    <w:p w:rsidR="00B936E6" w:rsidRDefault="006F4731">
      <w:pPr>
        <w:pStyle w:val="Reasons"/>
      </w:pPr>
      <w:r w:rsidRPr="00302849">
        <w:rPr>
          <w:b/>
          <w:bCs/>
        </w:rPr>
        <w:t>Motivos:</w:t>
      </w:r>
      <w:r w:rsidRPr="00302849">
        <w:rPr>
          <w:b/>
          <w:bCs/>
        </w:rPr>
        <w:tab/>
      </w:r>
      <w:r w:rsidRPr="006F4731">
        <w:t xml:space="preserve">Dada la complejidad de llegar a un acuerdo en </w:t>
      </w:r>
      <w:r>
        <w:t>algunos</w:t>
      </w:r>
      <w:r w:rsidRPr="006F4731">
        <w:t xml:space="preserve"> casos y las consiguientes dificultades para convertir las asignaciones de frecuencia</w:t>
      </w:r>
      <w:r w:rsidR="00192BE1">
        <w:t>s</w:t>
      </w:r>
      <w:r w:rsidRPr="006F4731">
        <w:t xml:space="preserve"> inscritas </w:t>
      </w:r>
      <w:r>
        <w:t>a título provisional</w:t>
      </w:r>
      <w:r w:rsidRPr="006F4731">
        <w:t xml:space="preserve"> en asignaciones definitivas, </w:t>
      </w:r>
      <w:r>
        <w:t xml:space="preserve">se </w:t>
      </w:r>
      <w:r w:rsidRPr="006F4731">
        <w:t xml:space="preserve">debe mantener el procedimiento existente de inscripción </w:t>
      </w:r>
      <w:r>
        <w:t xml:space="preserve">una vez trascurridos </w:t>
      </w:r>
      <w:r w:rsidRPr="006F4731">
        <w:t>cuatro meses de funcionamiento sin interferencias</w:t>
      </w:r>
      <w:r>
        <w:t>.</w:t>
      </w:r>
    </w:p>
    <w:p w:rsidR="00B936E6" w:rsidRDefault="006F4731">
      <w:pPr>
        <w:pStyle w:val="Proposal"/>
      </w:pPr>
      <w:r>
        <w:rPr>
          <w:u w:val="single"/>
        </w:rPr>
        <w:t>NOC</w:t>
      </w:r>
      <w:r>
        <w:tab/>
        <w:t>RCC/12A19A7/4</w:t>
      </w:r>
    </w:p>
    <w:p w:rsidR="00B063AE" w:rsidRPr="00CC2C5E" w:rsidRDefault="006F4731" w:rsidP="00C760B7">
      <w:pPr>
        <w:rPr>
          <w:sz w:val="16"/>
        </w:rPr>
      </w:pPr>
      <w:r w:rsidRPr="00CC2C5E">
        <w:rPr>
          <w:rStyle w:val="Provsplit"/>
        </w:rPr>
        <w:t>4.1.18</w:t>
      </w:r>
      <w:r w:rsidRPr="00CC2C5E">
        <w:rPr>
          <w:rStyle w:val="Provsplit"/>
          <w:i/>
          <w:iCs/>
        </w:rPr>
        <w:t>bis</w:t>
      </w:r>
      <w:r w:rsidRPr="00CC2C5E">
        <w:tab/>
        <w:t>Cuando solicite la aplicación del § 4.1.18, la administración notificante se comprometerá a cumplir los requisitos del § 4.1.20 y facilitar a la administración a la que se aplica el § 4.1.18, con copia a la Oficina, la descripción de las medidas que se compromete a adoptar para cumplir estos requisitos. Una vez que se inscribe una asignación en la Lista para los enlaces de conexión con carácter provisional con arreglo a las disposiciones del § 4.1.18, el cálculo del margen de protección equivalente (MPE)</w:t>
      </w:r>
      <w:r w:rsidRPr="00CC2C5E">
        <w:rPr>
          <w:rStyle w:val="FootnoteReference"/>
          <w:color w:val="000000"/>
        </w:rPr>
        <w:footnoteReference w:customMarkFollows="1" w:id="8"/>
        <w:t>11</w:t>
      </w:r>
      <w:r w:rsidRPr="00CC2C5E">
        <w:t xml:space="preserve"> de una asignación en la Lista para los enlaces de conexión de las Regiones 1 y 3 o para la que se haya iniciado el procedimiento del Artículo 4 y que hubiese suscitado el desacuerdo, no tendrá en cuenta la interferencia producida por la asignación a la que se han aplicado las disposiciones del § 4.1.18.</w:t>
      </w:r>
      <w:r w:rsidRPr="00CC2C5E">
        <w:rPr>
          <w:sz w:val="16"/>
        </w:rPr>
        <w:t>     (CMR</w:t>
      </w:r>
      <w:r w:rsidRPr="00CC2C5E">
        <w:rPr>
          <w:sz w:val="16"/>
        </w:rPr>
        <w:noBreakHyphen/>
        <w:t>03)</w:t>
      </w:r>
    </w:p>
    <w:p w:rsidR="00B936E6" w:rsidRDefault="006F4731">
      <w:pPr>
        <w:pStyle w:val="Reasons"/>
      </w:pPr>
      <w:r w:rsidRPr="00302849">
        <w:rPr>
          <w:b/>
          <w:bCs/>
        </w:rPr>
        <w:t>Motivos:</w:t>
      </w:r>
      <w:r w:rsidRPr="00302849">
        <w:rPr>
          <w:b/>
          <w:bCs/>
        </w:rPr>
        <w:tab/>
      </w:r>
      <w:r w:rsidRPr="006F4731">
        <w:t xml:space="preserve">Dada la complejidad de llegar a un acuerdo en </w:t>
      </w:r>
      <w:r>
        <w:t>algunos</w:t>
      </w:r>
      <w:r w:rsidRPr="006F4731">
        <w:t xml:space="preserve"> casos y las consiguientes dificultades para convertir las asignaciones de frecuencia</w:t>
      </w:r>
      <w:r w:rsidR="0037081A">
        <w:t>s</w:t>
      </w:r>
      <w:r w:rsidRPr="006F4731">
        <w:t xml:space="preserve"> inscritas </w:t>
      </w:r>
      <w:r>
        <w:t>a título provisional</w:t>
      </w:r>
      <w:r w:rsidRPr="006F4731">
        <w:t xml:space="preserve"> en asignaciones definitivas, </w:t>
      </w:r>
      <w:r>
        <w:t xml:space="preserve">se </w:t>
      </w:r>
      <w:r w:rsidRPr="006F4731">
        <w:t>debe mantener el procedimiento</w:t>
      </w:r>
      <w:bookmarkStart w:id="5" w:name="_GoBack"/>
      <w:bookmarkEnd w:id="5"/>
      <w:r w:rsidRPr="006F4731">
        <w:t xml:space="preserve"> existente de inscripción </w:t>
      </w:r>
      <w:r>
        <w:t xml:space="preserve">una vez trascurridos </w:t>
      </w:r>
      <w:r w:rsidRPr="006F4731">
        <w:t>cuatro meses de funcionamiento sin interferencias</w:t>
      </w:r>
      <w:r>
        <w:t>.</w:t>
      </w:r>
    </w:p>
    <w:p w:rsidR="00302849" w:rsidRDefault="00302849" w:rsidP="00302849"/>
    <w:p w:rsidR="00302849" w:rsidRDefault="00302849">
      <w:pPr>
        <w:jc w:val="center"/>
      </w:pPr>
      <w:r>
        <w:t>______________</w:t>
      </w:r>
    </w:p>
    <w:sectPr w:rsidR="00302849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8E" w:rsidRDefault="0059098E">
      <w:r>
        <w:separator/>
      </w:r>
    </w:p>
  </w:endnote>
  <w:endnote w:type="continuationSeparator" w:id="0">
    <w:p w:rsidR="0059098E" w:rsidRDefault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D07DFA" w:rsidRDefault="0077084A">
    <w:pPr>
      <w:ind w:right="360"/>
    </w:pPr>
    <w:r>
      <w:fldChar w:fldCharType="begin"/>
    </w:r>
    <w:r w:rsidRPr="00D07DFA">
      <w:instrText xml:space="preserve"> FILENAME \p  \* MERGEFORMAT </w:instrText>
    </w:r>
    <w:r>
      <w:fldChar w:fldCharType="separate"/>
    </w:r>
    <w:r w:rsidR="00D07DFA">
      <w:rPr>
        <w:noProof/>
      </w:rPr>
      <w:t>P:\ESP\ITU-R\CONF-R\CMR19\000\012ADD19ADD07S.docx</w:t>
    </w:r>
    <w:r>
      <w:fldChar w:fldCharType="end"/>
    </w:r>
    <w:r w:rsidRPr="00D07DFA">
      <w:tab/>
    </w:r>
    <w:r>
      <w:fldChar w:fldCharType="begin"/>
    </w:r>
    <w:r>
      <w:instrText xml:space="preserve"> SAVEDATE \@ DD.MM.YY </w:instrText>
    </w:r>
    <w:r>
      <w:fldChar w:fldCharType="separate"/>
    </w:r>
    <w:r w:rsidR="00D07DFA">
      <w:rPr>
        <w:noProof/>
      </w:rPr>
      <w:t>26.07.19</w:t>
    </w:r>
    <w:r>
      <w:fldChar w:fldCharType="end"/>
    </w:r>
    <w:r w:rsidRPr="00D07DFA">
      <w:tab/>
    </w:r>
    <w:r>
      <w:fldChar w:fldCharType="begin"/>
    </w:r>
    <w:r>
      <w:instrText xml:space="preserve"> PRINTDATE \@ DD.MM.YY </w:instrText>
    </w:r>
    <w:r>
      <w:fldChar w:fldCharType="separate"/>
    </w:r>
    <w:r w:rsidR="00D07DFA">
      <w:rPr>
        <w:noProof/>
      </w:rPr>
      <w:t>26.07.19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302849" w:rsidP="00302849">
    <w:pPr>
      <w:pStyle w:val="Footer"/>
      <w:rPr>
        <w:lang w:val="en-US"/>
      </w:rPr>
    </w:pPr>
    <w:fldSimple w:instr=" FILENAME \p  \* MERGEFORMAT ">
      <w:r w:rsidR="00D07DFA">
        <w:t>P:\ESP\ITU-R\CONF-R\CMR19\000\012ADD19ADD07S.docx</w:t>
      </w:r>
    </w:fldSimple>
    <w:r>
      <w:t xml:space="preserve"> (458137)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302849" w:rsidRDefault="00302849" w:rsidP="0030284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D07DFA">
      <w:t>P:\ESP\ITU-R\CONF-R\CMR19\000\012ADD19ADD07S.docx</w:t>
    </w:r>
    <w:r>
      <w:fldChar w:fldCharType="end"/>
    </w:r>
    <w:r>
      <w:t xml:space="preserve"> (458137)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8E" w:rsidRDefault="0059098E">
      <w:r>
        <w:rPr>
          <w:b/>
        </w:rPr>
        <w:t>_______________</w:t>
      </w:r>
    </w:p>
  </w:footnote>
  <w:footnote w:type="continuationSeparator" w:id="0">
    <w:p w:rsidR="0059098E" w:rsidRDefault="0059098E">
      <w:r>
        <w:continuationSeparator/>
      </w:r>
    </w:p>
  </w:footnote>
  <w:footnote w:id="1">
    <w:p w:rsidR="00453441" w:rsidRPr="001B0C91" w:rsidRDefault="006F4731" w:rsidP="00B063AE">
      <w:pPr>
        <w:pStyle w:val="FootnoteText"/>
      </w:pPr>
      <w:r w:rsidRPr="001B0C91">
        <w:rPr>
          <w:rStyle w:val="FootnoteReference"/>
        </w:rPr>
        <w:t>*</w:t>
      </w:r>
      <w:r w:rsidRPr="001B0C91">
        <w:tab/>
      </w:r>
      <w:r w:rsidRPr="001B0C91">
        <w:rPr>
          <w:szCs w:val="24"/>
        </w:rPr>
        <w:t>Cuando aparezca en este Apéndice la expresión «asignación de frecuencia a una estación espacial», se entenderá que se refiere a una asignación de frecuencia asociada a una posición orbital dada. Véanse además en el Anexo 7 las restricciones aplicables a las posiciones orbitales</w:t>
      </w:r>
      <w:proofErr w:type="gramStart"/>
      <w:r w:rsidRPr="001B0C91">
        <w:rPr>
          <w:szCs w:val="24"/>
        </w:rPr>
        <w:t>.</w:t>
      </w:r>
      <w:r w:rsidRPr="001B0C91">
        <w:rPr>
          <w:sz w:val="16"/>
        </w:rPr>
        <w:t>     </w:t>
      </w:r>
      <w:proofErr w:type="gramEnd"/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2000)</w:t>
      </w:r>
    </w:p>
  </w:footnote>
  <w:footnote w:id="2">
    <w:p w:rsidR="00453441" w:rsidRDefault="006F4731" w:rsidP="00B063AE">
      <w:pPr>
        <w:pStyle w:val="FootnoteText"/>
        <w:rPr>
          <w:sz w:val="16"/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605F62">
        <w:rPr>
          <w:szCs w:val="24"/>
          <w:lang w:val="es-ES" w:eastAsia="fr-FR"/>
        </w:rPr>
        <w:t xml:space="preserve">La Lista de usos adicionales en las </w:t>
      </w:r>
      <w:r>
        <w:rPr>
          <w:szCs w:val="24"/>
          <w:lang w:val="es-ES" w:eastAsia="fr-FR"/>
        </w:rPr>
        <w:t>Regiones 1</w:t>
      </w:r>
      <w:r w:rsidRPr="00605F62">
        <w:rPr>
          <w:szCs w:val="24"/>
          <w:lang w:val="es-ES"/>
        </w:rPr>
        <w:t xml:space="preserve"> y 3 se encuentra en el Anexo al Registro Internacional de Frecuencias (véase la Resolución </w:t>
      </w:r>
      <w:r w:rsidRPr="00605F62">
        <w:rPr>
          <w:b/>
          <w:bCs/>
          <w:szCs w:val="24"/>
          <w:lang w:val="es-ES"/>
        </w:rPr>
        <w:t>542</w:t>
      </w:r>
      <w:r w:rsidRPr="00605F62">
        <w:rPr>
          <w:b/>
          <w:szCs w:val="24"/>
          <w:lang w:val="es-ES"/>
        </w:rPr>
        <w:t xml:space="preserve"> (CMR-2000)</w:t>
      </w:r>
      <w:r w:rsidRPr="001B0C91">
        <w:rPr>
          <w:szCs w:val="24"/>
        </w:rPr>
        <w:t>**</w:t>
      </w:r>
      <w:r w:rsidRPr="00605F62">
        <w:rPr>
          <w:bCs/>
          <w:szCs w:val="24"/>
          <w:lang w:val="es-ES"/>
        </w:rPr>
        <w:t>)</w:t>
      </w:r>
      <w:proofErr w:type="gramStart"/>
      <w:r w:rsidRPr="00605F62">
        <w:rPr>
          <w:bCs/>
          <w:szCs w:val="24"/>
          <w:lang w:val="es-ES"/>
        </w:rPr>
        <w:t>.</w:t>
      </w:r>
      <w:r>
        <w:rPr>
          <w:sz w:val="16"/>
          <w:lang w:val="es-ES"/>
        </w:rPr>
        <w:t>     </w:t>
      </w:r>
      <w:proofErr w:type="gramEnd"/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03)</w:t>
      </w:r>
    </w:p>
    <w:p w:rsidR="00453441" w:rsidRPr="00605F62" w:rsidRDefault="006F4731" w:rsidP="00B063AE">
      <w:pPr>
        <w:pStyle w:val="FootnoteText"/>
        <w:rPr>
          <w:szCs w:val="24"/>
          <w:lang w:val="es-ES"/>
        </w:rPr>
      </w:pPr>
      <w:r w:rsidRPr="001B0C91">
        <w:rPr>
          <w:rStyle w:val="FootnoteReference"/>
        </w:rPr>
        <w:tab/>
        <w:t>**</w:t>
      </w:r>
      <w:r w:rsidRPr="001B0C91">
        <w:t>   </w:t>
      </w: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Esta Resolución ha sido abrogada por la CMR</w:t>
      </w:r>
      <w:r w:rsidRPr="00605F62">
        <w:rPr>
          <w:szCs w:val="24"/>
          <w:lang w:val="es-ES"/>
        </w:rPr>
        <w:noBreakHyphen/>
        <w:t>03.</w:t>
      </w:r>
    </w:p>
    <w:p w:rsidR="00453441" w:rsidRPr="001B0C91" w:rsidRDefault="006F4731" w:rsidP="00B063AE">
      <w:pPr>
        <w:pStyle w:val="FootnoteText"/>
        <w:rPr>
          <w:szCs w:val="24"/>
        </w:rPr>
      </w:pPr>
      <w:r w:rsidRPr="00605F62">
        <w:rPr>
          <w:i/>
          <w:iCs/>
          <w:szCs w:val="24"/>
          <w:lang w:val="es-ES"/>
        </w:rPr>
        <w:t>Nota de la Secretaría:</w:t>
      </w:r>
      <w:r w:rsidRPr="00605F62">
        <w:rPr>
          <w:szCs w:val="24"/>
          <w:lang w:val="es-ES"/>
        </w:rPr>
        <w:t xml:space="preserve"> </w:t>
      </w:r>
      <w:r w:rsidRPr="000A3497">
        <w:rPr>
          <w:iCs/>
          <w:szCs w:val="24"/>
          <w:lang w:val="es-ES"/>
        </w:rPr>
        <w:t xml:space="preserve">Las referencias a un </w:t>
      </w:r>
      <w:r w:rsidRPr="000A3497">
        <w:rPr>
          <w:iCs/>
          <w:caps/>
          <w:szCs w:val="24"/>
          <w:lang w:val="es-ES"/>
        </w:rPr>
        <w:t>A</w:t>
      </w:r>
      <w:r w:rsidRPr="000A3497">
        <w:rPr>
          <w:iCs/>
          <w:szCs w:val="24"/>
          <w:lang w:val="es-ES"/>
        </w:rPr>
        <w:t>rtículo con su número en romanillas se refiere a un Artículo del presente Apéndice.</w:t>
      </w:r>
    </w:p>
  </w:footnote>
  <w:footnote w:id="3">
    <w:p w:rsidR="00453441" w:rsidRPr="001B0C91" w:rsidRDefault="006F4731" w:rsidP="00B063AE">
      <w:pPr>
        <w:pStyle w:val="FootnoteText"/>
        <w:rPr>
          <w:sz w:val="16"/>
        </w:rPr>
      </w:pPr>
      <w:r w:rsidRPr="001B0C91">
        <w:rPr>
          <w:rStyle w:val="FootnoteReference"/>
        </w:rPr>
        <w:t>3</w:t>
      </w:r>
      <w:r w:rsidRPr="001B0C91">
        <w:tab/>
      </w:r>
      <w:r w:rsidRPr="001B0C91">
        <w:rPr>
          <w:szCs w:val="24"/>
        </w:rPr>
        <w:t xml:space="preserve">Se aplican las disposiciones de la Resolución </w:t>
      </w:r>
      <w:r w:rsidRPr="001B0C91">
        <w:rPr>
          <w:b/>
          <w:bCs/>
          <w:szCs w:val="24"/>
        </w:rPr>
        <w:t>49 (Rev.CMR</w:t>
      </w:r>
      <w:r w:rsidRPr="001B0C91">
        <w:rPr>
          <w:b/>
          <w:bCs/>
          <w:szCs w:val="24"/>
        </w:rPr>
        <w:noBreakHyphen/>
        <w:t>15)</w:t>
      </w:r>
      <w:proofErr w:type="gramStart"/>
      <w:r w:rsidRPr="001B0C91">
        <w:rPr>
          <w:szCs w:val="24"/>
        </w:rPr>
        <w:t>.</w:t>
      </w:r>
      <w:r w:rsidRPr="001B0C91">
        <w:rPr>
          <w:sz w:val="16"/>
        </w:rPr>
        <w:t>     </w:t>
      </w:r>
      <w:proofErr w:type="gramEnd"/>
      <w:r w:rsidRPr="001B0C91">
        <w:rPr>
          <w:sz w:val="16"/>
        </w:rPr>
        <w:t>(CMR-15)</w:t>
      </w:r>
    </w:p>
  </w:footnote>
  <w:footnote w:id="4">
    <w:p w:rsidR="00453441" w:rsidRPr="001B0C91" w:rsidRDefault="006F4731" w:rsidP="00B063AE">
      <w:pPr>
        <w:pStyle w:val="FootnoteText"/>
      </w:pPr>
      <w:r w:rsidRPr="001B0C91">
        <w:rPr>
          <w:rStyle w:val="FootnoteReference"/>
        </w:rPr>
        <w:t>9</w:t>
      </w:r>
      <w:r w:rsidRPr="001B0C91">
        <w:tab/>
      </w:r>
      <w:r w:rsidRPr="001F0C8F">
        <w:rPr>
          <w:szCs w:val="24"/>
          <w:lang w:val="es-ES"/>
        </w:rPr>
        <w:t xml:space="preserve">Véase en el </w:t>
      </w:r>
      <w:r>
        <w:rPr>
          <w:szCs w:val="24"/>
          <w:lang w:val="es-ES"/>
        </w:rPr>
        <w:t>§ 3.4 del Anexo </w:t>
      </w:r>
      <w:r w:rsidRPr="001F0C8F">
        <w:rPr>
          <w:szCs w:val="24"/>
          <w:lang w:val="es-ES"/>
        </w:rPr>
        <w:t>5 la definición de MPE</w:t>
      </w:r>
      <w:proofErr w:type="gramStart"/>
      <w:r w:rsidRPr="001F0C8F">
        <w:rPr>
          <w:szCs w:val="24"/>
          <w:lang w:val="es-ES"/>
        </w:rPr>
        <w:t>.</w:t>
      </w:r>
      <w:r>
        <w:rPr>
          <w:sz w:val="16"/>
          <w:lang w:val="es-ES"/>
        </w:rPr>
        <w:t>     </w:t>
      </w:r>
      <w:proofErr w:type="gramEnd"/>
      <w:r w:rsidRPr="001B0C91">
        <w:rPr>
          <w:sz w:val="16"/>
        </w:rPr>
        <w:t>(CMR-03)</w:t>
      </w:r>
    </w:p>
  </w:footnote>
  <w:footnote w:id="5">
    <w:p w:rsidR="00453441" w:rsidRPr="001B0C91" w:rsidRDefault="006F4731" w:rsidP="00B063AE">
      <w:pPr>
        <w:pStyle w:val="FootnoteText"/>
      </w:pPr>
      <w:r w:rsidRPr="001B0C91">
        <w:rPr>
          <w:rStyle w:val="FootnoteReference"/>
          <w:color w:val="000000"/>
        </w:rPr>
        <w:t>*</w:t>
      </w:r>
      <w:r w:rsidRPr="001B0C91">
        <w:tab/>
      </w:r>
      <w:r w:rsidRPr="007000BD">
        <w:rPr>
          <w:szCs w:val="24"/>
          <w:lang w:val="es-ES"/>
        </w:rPr>
        <w:t>Siempre que en este Apéndice aparezca la expresión «asignación de frecuencia a una estación espacial», se entenderá con referencia a una asignación de frecuencia asociada a una determinada posición orbital</w:t>
      </w:r>
      <w:proofErr w:type="gramStart"/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 </w:t>
      </w:r>
      <w:proofErr w:type="gramEnd"/>
      <w:r w:rsidRPr="001B0C91">
        <w:rPr>
          <w:sz w:val="16"/>
          <w:szCs w:val="16"/>
        </w:rPr>
        <w:t>(CMR-03)</w:t>
      </w:r>
    </w:p>
  </w:footnote>
  <w:footnote w:id="6">
    <w:p w:rsidR="00453441" w:rsidRPr="00D9062E" w:rsidRDefault="006F4731" w:rsidP="00B063AE">
      <w:pPr>
        <w:pStyle w:val="FootnoteText"/>
        <w:rPr>
          <w:lang w:val="es-ES"/>
        </w:rPr>
      </w:pPr>
      <w:r w:rsidRPr="001B0C91">
        <w:rPr>
          <w:rStyle w:val="FootnoteReference"/>
        </w:rPr>
        <w:t>1</w:t>
      </w:r>
      <w:r w:rsidRPr="001B0C91">
        <w:tab/>
      </w:r>
      <w:r w:rsidRPr="007000BD">
        <w:rPr>
          <w:szCs w:val="24"/>
          <w:lang w:val="es-ES"/>
        </w:rPr>
        <w:t xml:space="preserve">La Lista de usos adicionales para los enlaces de conexión en las </w:t>
      </w:r>
      <w:r>
        <w:rPr>
          <w:szCs w:val="24"/>
          <w:lang w:val="es-ES"/>
        </w:rPr>
        <w:t>Regiones 1</w:t>
      </w:r>
      <w:r w:rsidRPr="007000BD">
        <w:rPr>
          <w:szCs w:val="24"/>
          <w:lang w:val="es-ES"/>
        </w:rPr>
        <w:t xml:space="preserve"> y 3 figurará como Anexo al Registro Internacional de Frecuencias (véase la Resolución </w:t>
      </w:r>
      <w:r w:rsidRPr="007000BD">
        <w:rPr>
          <w:b/>
          <w:bCs/>
          <w:szCs w:val="24"/>
          <w:lang w:val="es-ES"/>
        </w:rPr>
        <w:t>542 (CMR-2000)</w:t>
      </w:r>
      <w:r>
        <w:rPr>
          <w:szCs w:val="24"/>
          <w:lang w:val="es-ES"/>
        </w:rPr>
        <w:t>**)</w:t>
      </w:r>
      <w:proofErr w:type="gramStart"/>
      <w:r w:rsidRPr="007000BD">
        <w:rPr>
          <w:szCs w:val="24"/>
          <w:lang w:val="es-ES"/>
        </w:rPr>
        <w:t>.</w:t>
      </w:r>
      <w:r>
        <w:rPr>
          <w:sz w:val="16"/>
          <w:lang w:val="es-ES"/>
        </w:rPr>
        <w:t>    </w:t>
      </w:r>
      <w:proofErr w:type="gramEnd"/>
      <w:r>
        <w:rPr>
          <w:sz w:val="16"/>
          <w:lang w:val="es-ES"/>
        </w:rPr>
        <w:t>(CMR-03)</w:t>
      </w:r>
    </w:p>
    <w:p w:rsidR="00453441" w:rsidRPr="00D9062E" w:rsidRDefault="006F4731" w:rsidP="00D9062E">
      <w:pPr>
        <w:pStyle w:val="FootnoteText"/>
        <w:rPr>
          <w:lang w:val="es-ES"/>
        </w:rPr>
      </w:pPr>
      <w:r w:rsidRPr="001B0C91">
        <w:rPr>
          <w:sz w:val="16"/>
        </w:rPr>
        <w:tab/>
      </w:r>
      <w:r>
        <w:rPr>
          <w:szCs w:val="24"/>
          <w:lang w:val="es-ES"/>
        </w:rPr>
        <w:t>**</w:t>
      </w:r>
      <w:r>
        <w:rPr>
          <w:rStyle w:val="FootnoteTextChar"/>
        </w:rPr>
        <w:t>   </w:t>
      </w:r>
      <w:r w:rsidRPr="001B0C91">
        <w:rPr>
          <w:i/>
          <w:iCs/>
          <w:szCs w:val="24"/>
        </w:rPr>
        <w:t>Nota de la Secretaría</w:t>
      </w:r>
      <w:r w:rsidRPr="001B0C91">
        <w:rPr>
          <w:szCs w:val="24"/>
        </w:rPr>
        <w:t>: Esta Resolución ha sido abrogada por la CMR-03.</w:t>
      </w:r>
    </w:p>
  </w:footnote>
  <w:footnote w:id="7">
    <w:p w:rsidR="00453441" w:rsidRPr="001B0C91" w:rsidRDefault="006F4731" w:rsidP="00B063AE">
      <w:pPr>
        <w:pStyle w:val="FootnoteText"/>
        <w:rPr>
          <w:szCs w:val="24"/>
        </w:rPr>
      </w:pPr>
      <w:r w:rsidRPr="001B0C91">
        <w:rPr>
          <w:rStyle w:val="FootnoteReference"/>
        </w:rPr>
        <w:t>2</w:t>
      </w:r>
      <w:r w:rsidRPr="001B0C91">
        <w:tab/>
      </w:r>
      <w:r w:rsidRPr="001B0C91">
        <w:rPr>
          <w:szCs w:val="24"/>
        </w:rPr>
        <w:t>Este uso de la banda 14,5-14,8 GHz está reservado a los países situados fuera de Europa.</w:t>
      </w:r>
    </w:p>
    <w:p w:rsidR="00453441" w:rsidRPr="001B0C91" w:rsidRDefault="006F4731" w:rsidP="00B063AE">
      <w:pPr>
        <w:pStyle w:val="FootnoteText"/>
        <w:spacing w:before="80"/>
        <w:rPr>
          <w:color w:val="000000"/>
          <w:szCs w:val="24"/>
        </w:rPr>
      </w:pPr>
      <w:r w:rsidRPr="001B0C91">
        <w:rPr>
          <w:i/>
          <w:iCs/>
          <w:color w:val="000000"/>
          <w:szCs w:val="24"/>
        </w:rPr>
        <w:t>Nota de la Secretaría:</w:t>
      </w:r>
      <w:r w:rsidRPr="001B0C91">
        <w:rPr>
          <w:color w:val="000000"/>
          <w:szCs w:val="24"/>
        </w:rPr>
        <w:t xml:space="preserve"> Las referencias a un Artículo con su número en romanillas se refiere a un Artículo del presente Apéndice.</w:t>
      </w:r>
    </w:p>
  </w:footnote>
  <w:footnote w:id="8">
    <w:p w:rsidR="00453441" w:rsidRPr="001B0C91" w:rsidRDefault="006F4731" w:rsidP="00B063AE">
      <w:pPr>
        <w:pStyle w:val="FootnoteText"/>
        <w:tabs>
          <w:tab w:val="clear" w:pos="255"/>
          <w:tab w:val="left" w:pos="284"/>
        </w:tabs>
      </w:pPr>
      <w:r>
        <w:rPr>
          <w:rStyle w:val="FootnoteReference"/>
          <w:color w:val="000000"/>
          <w:lang w:val="es-ES"/>
        </w:rPr>
        <w:t>11</w:t>
      </w:r>
      <w:r>
        <w:rPr>
          <w:lang w:val="es-ES"/>
        </w:rPr>
        <w:tab/>
      </w:r>
      <w:r w:rsidRPr="00A30AAA">
        <w:rPr>
          <w:szCs w:val="24"/>
          <w:lang w:val="es-ES"/>
        </w:rPr>
        <w:t xml:space="preserve">Véase en el </w:t>
      </w:r>
      <w:r>
        <w:rPr>
          <w:szCs w:val="24"/>
          <w:lang w:val="es-ES"/>
        </w:rPr>
        <w:t>§ </w:t>
      </w:r>
      <w:r w:rsidRPr="00A30AAA">
        <w:rPr>
          <w:szCs w:val="24"/>
          <w:lang w:val="es-ES"/>
        </w:rPr>
        <w:t>1.7 del Anexo 3 la definición de MPE</w:t>
      </w:r>
      <w:proofErr w:type="gramStart"/>
      <w:r w:rsidRPr="00A30AAA">
        <w:rPr>
          <w:szCs w:val="24"/>
          <w:lang w:val="es-ES"/>
        </w:rPr>
        <w:t>.</w:t>
      </w:r>
      <w:r>
        <w:rPr>
          <w:sz w:val="16"/>
          <w:lang w:val="es-ES"/>
        </w:rPr>
        <w:t>     </w:t>
      </w:r>
      <w:proofErr w:type="gramEnd"/>
      <w:r>
        <w:rPr>
          <w:sz w:val="16"/>
          <w:lang w:val="es-ES"/>
        </w:rPr>
        <w:t>(CMR</w:t>
      </w:r>
      <w:r>
        <w:rPr>
          <w:sz w:val="16"/>
          <w:lang w:val="es-ES"/>
        </w:rPr>
        <w:noBreakHyphen/>
        <w:t>03)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081A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12(Add.19</w:t>
    </w:r>
    <w:proofErr w:type="gramStart"/>
    <w:r w:rsidR="00702F3D">
      <w:t>)(</w:t>
    </w:r>
    <w:proofErr w:type="gramEnd"/>
    <w:r w:rsidR="00702F3D">
      <w:t>Add.7)-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2BE1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547A"/>
    <w:rsid w:val="002E701F"/>
    <w:rsid w:val="00302849"/>
    <w:rsid w:val="003248A9"/>
    <w:rsid w:val="00324FFA"/>
    <w:rsid w:val="0032680B"/>
    <w:rsid w:val="00363A65"/>
    <w:rsid w:val="0037081A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1DE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C0E38"/>
    <w:rsid w:val="006D6E67"/>
    <w:rsid w:val="006E1A13"/>
    <w:rsid w:val="006F4731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7F43F6"/>
    <w:rsid w:val="00866AE6"/>
    <w:rsid w:val="008750A8"/>
    <w:rsid w:val="008E5AF2"/>
    <w:rsid w:val="0090121B"/>
    <w:rsid w:val="009144C9"/>
    <w:rsid w:val="0094091F"/>
    <w:rsid w:val="00962171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936E6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07DFA"/>
    <w:rsid w:val="00D72A5D"/>
    <w:rsid w:val="00DA71A3"/>
    <w:rsid w:val="00DC629B"/>
    <w:rsid w:val="00E05BFF"/>
    <w:rsid w:val="00E1522D"/>
    <w:rsid w:val="00E262F1"/>
    <w:rsid w:val="00E3176A"/>
    <w:rsid w:val="00E54754"/>
    <w:rsid w:val="00E56BD3"/>
    <w:rsid w:val="00E71D14"/>
    <w:rsid w:val="00EA77F0"/>
    <w:rsid w:val="00F32316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link w:val="FootnoteTextChar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character" w:customStyle="1" w:styleId="FootnoteTextChar">
    <w:name w:val="Footnote Text Char"/>
    <w:basedOn w:val="DefaultParagraphFont"/>
    <w:link w:val="FootnoteText"/>
    <w:rsid w:val="00B54C73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R16-WRC19-C-0012!A19-A7!MSW-S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BE03-5977-49DB-AAE8-D8B54BE8A564}">
  <ds:schemaRefs>
    <ds:schemaRef ds:uri="http://purl.org/dc/elements/1.1/"/>
    <ds:schemaRef ds:uri="http://purl.org/dc/dcmitype/"/>
    <ds:schemaRef ds:uri="996b2e75-67fd-4955-a3b0-5ab9934cb50b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4A9E67-7731-46CE-98F7-18347F0E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1222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R16-WRC19-C-0012!A19-A7!MSW-S</vt:lpstr>
    </vt:vector>
  </TitlesOfParts>
  <Manager>Secretaría General - Pool</Manager>
  <Company>Unión Internacional de Telecomunicaciones (UIT)</Company>
  <LinksUpToDate>false</LinksUpToDate>
  <CharactersWithSpaces>7624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R16-WRC19-C-0012!A19-A7!MSW-S</dc:title>
  <dc:subject>Conferencia Mundial de Radiocomunicaciones - 2019</dc:subject>
  <dc:creator>Documents Proposals Manager (DPM)</dc:creator>
  <cp:keywords>DPM_v2019.6.28.1_prod</cp:keywords>
  <dc:description/>
  <cp:lastModifiedBy>Spanish</cp:lastModifiedBy>
  <cp:revision>9</cp:revision>
  <cp:lastPrinted>2019-07-26T12:53:00Z</cp:lastPrinted>
  <dcterms:created xsi:type="dcterms:W3CDTF">2019-07-26T12:47:00Z</dcterms:created>
  <dcterms:modified xsi:type="dcterms:W3CDTF">2019-07-26T13:00:00Z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