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E365552" w14:textId="77777777" w:rsidTr="00F55E63">
        <w:trPr>
          <w:cantSplit/>
          <w:trHeight w:val="20"/>
        </w:trPr>
        <w:tc>
          <w:tcPr>
            <w:tcW w:w="6619" w:type="dxa"/>
          </w:tcPr>
          <w:p w14:paraId="1A0F273D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260FF7E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CAE7780" wp14:editId="3C2B229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59DA344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5740EBF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06674D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EC7712A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B8D39E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3F3105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6845781F" w14:textId="77777777" w:rsidTr="00F55E63">
        <w:trPr>
          <w:cantSplit/>
        </w:trPr>
        <w:tc>
          <w:tcPr>
            <w:tcW w:w="6619" w:type="dxa"/>
          </w:tcPr>
          <w:p w14:paraId="544D26B5" w14:textId="77777777" w:rsidR="00A809E8" w:rsidRPr="004802C3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hAnsi="Verdana" w:hint="cs"/>
                <w:sz w:val="19"/>
                <w:szCs w:val="30"/>
                <w:rtl/>
              </w:rPr>
            </w:pPr>
            <w:r w:rsidRPr="004802C3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ED2CE6A" w14:textId="5A38080C" w:rsidR="004802C3" w:rsidRPr="004802C3" w:rsidRDefault="004802C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  <w:r>
              <w:rPr>
                <w:rFonts w:ascii="Verdana" w:eastAsia="SimSun" w:hAnsi="Verdana" w:hint="cs"/>
                <w:rtl/>
              </w:rPr>
              <w:t xml:space="preserve">الإضافة </w:t>
            </w:r>
            <w:r>
              <w:rPr>
                <w:rFonts w:ascii="Verdana" w:eastAsia="SimSun" w:hAnsi="Verdana"/>
              </w:rPr>
              <w:t>5</w:t>
            </w:r>
            <w:r>
              <w:rPr>
                <w:rFonts w:ascii="Verdana" w:eastAsia="SimSun" w:hAnsi="Verdana"/>
                <w:rtl/>
              </w:rPr>
              <w:br/>
            </w:r>
            <w:r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12(Add.</w:t>
            </w:r>
            <w:proofErr w:type="gramStart"/>
            <w:r>
              <w:rPr>
                <w:rFonts w:ascii="Verdana" w:eastAsia="SimSun" w:hAnsi="Verdana"/>
              </w:rPr>
              <w:t>19)-</w:t>
            </w:r>
            <w:proofErr w:type="gramEnd"/>
            <w:r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02E3F860" w14:textId="77777777" w:rsidTr="00F55E63">
        <w:trPr>
          <w:cantSplit/>
        </w:trPr>
        <w:tc>
          <w:tcPr>
            <w:tcW w:w="6619" w:type="dxa"/>
          </w:tcPr>
          <w:p w14:paraId="4C1E1F44" w14:textId="77777777" w:rsidR="00A809E8" w:rsidRPr="004802C3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3AA26405" w14:textId="77777777" w:rsidR="00A809E8" w:rsidRPr="004802C3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4802C3">
              <w:rPr>
                <w:rFonts w:ascii="Verdana" w:eastAsia="SimSun" w:hAnsi="Verdana"/>
              </w:rPr>
              <w:t>2</w:t>
            </w:r>
            <w:r w:rsidRPr="004802C3">
              <w:rPr>
                <w:rFonts w:ascii="Verdana" w:eastAsia="SimSun" w:hAnsi="Verdana"/>
                <w:rtl/>
              </w:rPr>
              <w:t xml:space="preserve"> أكتوبر </w:t>
            </w:r>
            <w:r w:rsidRPr="004802C3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0F6503F5" w14:textId="77777777" w:rsidTr="00F55E63">
        <w:trPr>
          <w:cantSplit/>
        </w:trPr>
        <w:tc>
          <w:tcPr>
            <w:tcW w:w="6619" w:type="dxa"/>
          </w:tcPr>
          <w:p w14:paraId="7EBC2535" w14:textId="77777777" w:rsidR="00A809E8" w:rsidRPr="004802C3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12EC5426" w14:textId="77777777" w:rsidR="00A809E8" w:rsidRPr="004802C3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4802C3">
              <w:rPr>
                <w:rFonts w:ascii="Verdana" w:hAnsi="Verdana"/>
                <w:rtl/>
              </w:rPr>
              <w:t>الأصل: بالروسية</w:t>
            </w:r>
          </w:p>
        </w:tc>
      </w:tr>
      <w:tr w:rsidR="00764079" w14:paraId="3AED1F7B" w14:textId="77777777" w:rsidTr="00F55E63">
        <w:trPr>
          <w:cantSplit/>
        </w:trPr>
        <w:tc>
          <w:tcPr>
            <w:tcW w:w="9672" w:type="dxa"/>
            <w:gridSpan w:val="2"/>
          </w:tcPr>
          <w:p w14:paraId="315592CA" w14:textId="77777777" w:rsidR="00764079" w:rsidRPr="004802C3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</w:tr>
      <w:tr w:rsidR="00764079" w14:paraId="103E39D8" w14:textId="77777777" w:rsidTr="00F55E63">
        <w:trPr>
          <w:cantSplit/>
        </w:trPr>
        <w:tc>
          <w:tcPr>
            <w:tcW w:w="9672" w:type="dxa"/>
            <w:gridSpan w:val="2"/>
          </w:tcPr>
          <w:p w14:paraId="35DD9231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</w:t>
            </w:r>
            <w:bookmarkStart w:id="0" w:name="_GoBack"/>
            <w:bookmarkEnd w:id="0"/>
            <w:r w:rsidRPr="00F55E63">
              <w:rPr>
                <w:rtl/>
              </w:rPr>
              <w:t>ث الإقليمي في مجال الاتصالات</w:t>
            </w:r>
          </w:p>
        </w:tc>
      </w:tr>
      <w:tr w:rsidR="00764079" w14:paraId="657B8743" w14:textId="77777777" w:rsidTr="00F55E63">
        <w:trPr>
          <w:cantSplit/>
        </w:trPr>
        <w:tc>
          <w:tcPr>
            <w:tcW w:w="9672" w:type="dxa"/>
            <w:gridSpan w:val="2"/>
          </w:tcPr>
          <w:p w14:paraId="3E3DD75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48DCABB" w14:textId="77777777" w:rsidTr="00F55E63">
        <w:trPr>
          <w:cantSplit/>
        </w:trPr>
        <w:tc>
          <w:tcPr>
            <w:tcW w:w="9672" w:type="dxa"/>
            <w:gridSpan w:val="2"/>
          </w:tcPr>
          <w:p w14:paraId="4F0100F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49E17B4" w14:textId="77777777" w:rsidTr="00F55E63">
        <w:trPr>
          <w:cantSplit/>
        </w:trPr>
        <w:tc>
          <w:tcPr>
            <w:tcW w:w="9672" w:type="dxa"/>
            <w:gridSpan w:val="2"/>
          </w:tcPr>
          <w:p w14:paraId="7EA75613" w14:textId="12BC5614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‎‎‎بند جدول الأعمال</w:t>
            </w:r>
            <w:r w:rsidR="004802C3">
              <w:rPr>
                <w:rFonts w:hint="cs"/>
                <w:rtl/>
                <w:lang w:val="en-US"/>
              </w:rPr>
              <w:t xml:space="preserve"> </w:t>
            </w:r>
            <w:r w:rsidR="004802C3">
              <w:t>7(E)</w:t>
            </w:r>
          </w:p>
        </w:tc>
      </w:tr>
    </w:tbl>
    <w:p w14:paraId="70003785" w14:textId="77777777" w:rsidR="001D597A" w:rsidRPr="007E63A1" w:rsidRDefault="00274BE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535ECF25" w14:textId="77777777" w:rsidR="002919E1" w:rsidRPr="00C7634E" w:rsidRDefault="00274BE3" w:rsidP="006477D4">
      <w:pPr>
        <w:rPr>
          <w:szCs w:val="22"/>
          <w:rtl/>
        </w:rPr>
      </w:pPr>
      <w:r>
        <w:t>7(E)</w:t>
      </w:r>
      <w:r>
        <w:tab/>
      </w:r>
      <w:r w:rsidRPr="0003610E">
        <w:rPr>
          <w:rtl/>
          <w:lang w:bidi="ar-EG"/>
        </w:rPr>
        <w:t xml:space="preserve">المسألة </w:t>
      </w:r>
      <w:r w:rsidRPr="0003610E">
        <w:rPr>
          <w:lang w:bidi="ar-EG"/>
        </w:rPr>
        <w:t>E</w:t>
      </w:r>
      <w:r w:rsidRPr="0003610E">
        <w:rPr>
          <w:rtl/>
          <w:lang w:bidi="ar-EG"/>
        </w:rPr>
        <w:t xml:space="preserve"> - القرار ذو الصلة بالتذييل</w:t>
      </w:r>
      <w:r w:rsidRPr="0003610E">
        <w:rPr>
          <w:rFonts w:asciiTheme="majorBidi" w:hAnsiTheme="majorBidi" w:cstheme="majorBidi"/>
          <w:szCs w:val="22"/>
          <w:rtl/>
          <w:lang w:bidi="ar-EG"/>
        </w:rPr>
        <w:t xml:space="preserve"> </w:t>
      </w:r>
      <w:r w:rsidRPr="0003610E">
        <w:rPr>
          <w:rFonts w:asciiTheme="majorBidi" w:hAnsiTheme="majorBidi" w:cstheme="majorBidi"/>
          <w:b/>
          <w:bCs/>
          <w:szCs w:val="22"/>
          <w:rtl/>
          <w:lang w:bidi="ar-EG"/>
        </w:rPr>
        <w:t>30</w:t>
      </w:r>
      <w:r w:rsidRPr="0003610E">
        <w:rPr>
          <w:rFonts w:asciiTheme="majorBidi" w:hAnsiTheme="majorBidi" w:cstheme="majorBidi"/>
          <w:b/>
          <w:bCs/>
          <w:szCs w:val="22"/>
          <w:lang w:bidi="ar-EG"/>
        </w:rPr>
        <w:t>B</w:t>
      </w:r>
      <w:r w:rsidRPr="0003610E">
        <w:rPr>
          <w:rtl/>
          <w:lang w:bidi="ar-EG"/>
        </w:rPr>
        <w:t xml:space="preserve"> للوائح الراديو</w:t>
      </w:r>
    </w:p>
    <w:p w14:paraId="5D120A46" w14:textId="77777777" w:rsidR="00A17E61" w:rsidRPr="002F3E46" w:rsidRDefault="00A17E61" w:rsidP="008614B8"/>
    <w:p w14:paraId="182112F9" w14:textId="77777777" w:rsidR="00E26BED" w:rsidRDefault="00274BE3">
      <w:pPr>
        <w:pStyle w:val="Proposal"/>
      </w:pPr>
      <w:r>
        <w:tab/>
        <w:t>RCC/12A19A5/1</w:t>
      </w:r>
    </w:p>
    <w:p w14:paraId="3393158C" w14:textId="66DBFA9C" w:rsidR="00E26BED" w:rsidRDefault="00F6770E" w:rsidP="004802C3">
      <w:r w:rsidRPr="00F6770E">
        <w:rPr>
          <w:rtl/>
        </w:rPr>
        <w:t>تؤيد إدارات الكومنولث الإقليمي</w:t>
      </w:r>
      <w:r>
        <w:rPr>
          <w:rFonts w:hint="cs"/>
          <w:rtl/>
          <w:lang w:bidi="ar-EG"/>
        </w:rPr>
        <w:t xml:space="preserve"> للاتصالات</w:t>
      </w:r>
      <w:r w:rsidRPr="00F6770E">
        <w:rPr>
          <w:rtl/>
        </w:rPr>
        <w:t xml:space="preserve"> </w:t>
      </w:r>
      <w:r w:rsidR="00AE319A">
        <w:t>(</w:t>
      </w:r>
      <w:r w:rsidR="00AE319A" w:rsidRPr="00F6770E">
        <w:t>RCC</w:t>
      </w:r>
      <w:r w:rsidR="00AE319A">
        <w:t>)</w:t>
      </w:r>
      <w:r w:rsidRPr="00F6770E">
        <w:rPr>
          <w:rtl/>
        </w:rPr>
        <w:t xml:space="preserve"> اعتماد القرار </w:t>
      </w:r>
      <w:r>
        <w:rPr>
          <w:rFonts w:hint="cs"/>
          <w:rtl/>
        </w:rPr>
        <w:t>ب</w:t>
      </w:r>
      <w:r w:rsidRPr="00F6770E">
        <w:rPr>
          <w:rtl/>
        </w:rPr>
        <w:t xml:space="preserve">الإجراء الأكثر ملاءمة لتحويل التعيين إلى تخصيص بخصائص معدلة </w:t>
      </w:r>
      <w:r>
        <w:rPr>
          <w:rFonts w:hint="cs"/>
          <w:rtl/>
        </w:rPr>
        <w:t>ضمن</w:t>
      </w:r>
      <w:r w:rsidRPr="00F6770E">
        <w:rPr>
          <w:rtl/>
        </w:rPr>
        <w:t xml:space="preserve"> الحدود الوطنية للإدارة (الإدارات) المبلغة، أو لإدخال نظام إضافي في قائمة </w:t>
      </w:r>
      <w:r>
        <w:rPr>
          <w:rFonts w:hint="cs"/>
          <w:rtl/>
        </w:rPr>
        <w:t>ال</w:t>
      </w:r>
      <w:r w:rsidRPr="00F6770E">
        <w:rPr>
          <w:rtl/>
        </w:rPr>
        <w:t>تخصيصات التردد</w:t>
      </w:r>
      <w:r>
        <w:rPr>
          <w:rFonts w:hint="cs"/>
          <w:rtl/>
        </w:rPr>
        <w:t>ية</w:t>
      </w:r>
      <w:r w:rsidRPr="00F6770E">
        <w:rPr>
          <w:rtl/>
        </w:rPr>
        <w:t xml:space="preserve">، </w:t>
      </w:r>
      <w:r>
        <w:rPr>
          <w:rFonts w:hint="cs"/>
          <w:rtl/>
        </w:rPr>
        <w:t>ب</w:t>
      </w:r>
      <w:r w:rsidRPr="00F6770E">
        <w:rPr>
          <w:rtl/>
        </w:rPr>
        <w:t xml:space="preserve">وجود منطقة خدمة </w:t>
      </w:r>
      <w:r>
        <w:rPr>
          <w:rFonts w:hint="cs"/>
          <w:rtl/>
        </w:rPr>
        <w:t>محصورة</w:t>
      </w:r>
      <w:r w:rsidRPr="00F6770E">
        <w:rPr>
          <w:rtl/>
        </w:rPr>
        <w:t xml:space="preserve"> بإقليم أو أقاليم وطنية لإدارات </w:t>
      </w:r>
      <w:r>
        <w:rPr>
          <w:rFonts w:hint="cs"/>
          <w:rtl/>
        </w:rPr>
        <w:t>ليس لها</w:t>
      </w:r>
      <w:r w:rsidRPr="00F6770E">
        <w:rPr>
          <w:rtl/>
        </w:rPr>
        <w:t xml:space="preserve"> أي تخصيصات في القائمة.</w:t>
      </w:r>
    </w:p>
    <w:p w14:paraId="202A161B" w14:textId="77777777" w:rsidR="00357DD0" w:rsidRPr="00357DD0" w:rsidRDefault="00357DD0" w:rsidP="00357DD0">
      <w:pPr>
        <w:pStyle w:val="Reasons"/>
        <w:rPr>
          <w:rtl/>
        </w:rPr>
      </w:pPr>
    </w:p>
    <w:p w14:paraId="41C6FAC5" w14:textId="7D045676" w:rsidR="004802C3" w:rsidRPr="004802C3" w:rsidRDefault="00274BE3" w:rsidP="00B941B3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802C3" w:rsidRPr="004802C3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C407D" w14:textId="77777777" w:rsidR="00EA5D25" w:rsidRDefault="00EA5D25" w:rsidP="002919E1">
      <w:r>
        <w:separator/>
      </w:r>
    </w:p>
    <w:p w14:paraId="4E02D267" w14:textId="77777777" w:rsidR="00EA5D25" w:rsidRDefault="00EA5D25" w:rsidP="002919E1"/>
    <w:p w14:paraId="5D4E8ED6" w14:textId="77777777" w:rsidR="00EA5D25" w:rsidRDefault="00EA5D25" w:rsidP="002919E1"/>
    <w:p w14:paraId="29CA8448" w14:textId="77777777" w:rsidR="00EA5D25" w:rsidRDefault="00EA5D25"/>
  </w:endnote>
  <w:endnote w:type="continuationSeparator" w:id="0">
    <w:p w14:paraId="40912FED" w14:textId="77777777" w:rsidR="00EA5D25" w:rsidRDefault="00EA5D25" w:rsidP="002919E1">
      <w:r>
        <w:continuationSeparator/>
      </w:r>
    </w:p>
    <w:p w14:paraId="1CE872D0" w14:textId="77777777" w:rsidR="00EA5D25" w:rsidRDefault="00EA5D25" w:rsidP="002919E1"/>
    <w:p w14:paraId="1C8955A1" w14:textId="77777777" w:rsidR="00EA5D25" w:rsidRDefault="00EA5D25" w:rsidP="002919E1"/>
    <w:p w14:paraId="5BA6C094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1F5CC" w14:textId="2DEE38D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957D1">
      <w:rPr>
        <w:noProof/>
      </w:rPr>
      <w:t>P:\ARA\ITU-R\CONF-R\CMR19\000\012ADD19ADD05A.docx</w:t>
    </w:r>
    <w:r>
      <w:fldChar w:fldCharType="end"/>
    </w:r>
    <w:proofErr w:type="gramStart"/>
    <w:r w:rsidRPr="00A809E8">
      <w:t xml:space="preserve">   (</w:t>
    </w:r>
    <w:proofErr w:type="gramEnd"/>
    <w:r w:rsidR="00274BE3">
      <w:t>461762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5C8B" w14:textId="5AF810F9" w:rsidR="00274BE3" w:rsidRPr="0012545F" w:rsidRDefault="00274BE3" w:rsidP="00274BE3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957D1">
      <w:rPr>
        <w:noProof/>
      </w:rPr>
      <w:t>P:\ARA\ITU-R\CONF-R\CMR19\000\012ADD19ADD05A.docx</w:t>
    </w:r>
    <w:r>
      <w:fldChar w:fldCharType="end"/>
    </w:r>
    <w:proofErr w:type="gramStart"/>
    <w:r w:rsidRPr="00A809E8">
      <w:t xml:space="preserve">   (</w:t>
    </w:r>
    <w:proofErr w:type="gramEnd"/>
    <w:r>
      <w:t>461762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0ACB" w14:textId="77777777" w:rsidR="00EA5D25" w:rsidRDefault="00EA5D25" w:rsidP="002919E1">
      <w:r>
        <w:t>___________________</w:t>
      </w:r>
    </w:p>
  </w:footnote>
  <w:footnote w:type="continuationSeparator" w:id="0">
    <w:p w14:paraId="43119BB1" w14:textId="77777777" w:rsidR="00EA5D25" w:rsidRDefault="00EA5D25" w:rsidP="002919E1">
      <w:r>
        <w:continuationSeparator/>
      </w:r>
    </w:p>
    <w:p w14:paraId="158EA57A" w14:textId="77777777" w:rsidR="00EA5D25" w:rsidRDefault="00EA5D25" w:rsidP="002919E1"/>
    <w:p w14:paraId="1C6EFA6F" w14:textId="77777777" w:rsidR="00EA5D25" w:rsidRDefault="00EA5D25" w:rsidP="002919E1"/>
    <w:p w14:paraId="688A483E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1ADB" w14:textId="77777777" w:rsidR="00281F5F" w:rsidRDefault="00281F5F" w:rsidP="002919E1"/>
  <w:p w14:paraId="18994BDB" w14:textId="77777777" w:rsidR="00281F5F" w:rsidRDefault="00281F5F" w:rsidP="002919E1"/>
  <w:p w14:paraId="4BFFD39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263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12(Add.19)(Add.5)-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439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24E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3C6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B85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4BE3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57DD0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802C3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30A5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57D1"/>
    <w:rsid w:val="00A9645C"/>
    <w:rsid w:val="00AB2A33"/>
    <w:rsid w:val="00AC1275"/>
    <w:rsid w:val="00AC7395"/>
    <w:rsid w:val="00AD162B"/>
    <w:rsid w:val="00AD690F"/>
    <w:rsid w:val="00AD69DD"/>
    <w:rsid w:val="00AE319A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41B3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74BA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26BED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6770E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4CBF89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VolumeTitle0">
    <w:name w:val="VolumeTitle"/>
    <w:basedOn w:val="Normal"/>
    <w:next w:val="Normal"/>
    <w:autoRedefine/>
    <w:qFormat/>
    <w:rsid w:val="00263D53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Calibri" w:hAnsi="Calibri"/>
      <w:b/>
      <w:bCs/>
      <w:sz w:val="32"/>
      <w:szCs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CCAD-2F58-4D4C-87BF-8C5352C53F8F}">
  <ds:schemaRefs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32a1a8c5-2265-4ebc-b7a0-2071e2c5c9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9F41EF-E63B-42E3-8012-9F67BE8CE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C784F-BC40-4A45-AA4F-F3CECC667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AA0A23-7ACF-4D9E-9259-8B10D8C64F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0F80F9-C745-4DA6-A838-A1B9B8E0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R16-WRC19-C-0012!A19-A5!MSW-A</vt:lpstr>
    </vt:vector>
  </TitlesOfParts>
  <Manager>General Secretariat - Pool</Manager>
  <Company>International Telecommunication Union (ITU)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R16-WRC19-C-0012!A19-A5!MSW-A</dc:title>
  <dc:creator>Documents Proposals Manager (DPM)</dc:creator>
  <cp:keywords>DPM_v2019.10.15.2_prod</cp:keywords>
  <cp:lastModifiedBy>Riz, Imad</cp:lastModifiedBy>
  <cp:revision>6</cp:revision>
  <cp:lastPrinted>2019-10-24T14:18:00Z</cp:lastPrinted>
  <dcterms:created xsi:type="dcterms:W3CDTF">2019-10-18T12:06:00Z</dcterms:created>
  <dcterms:modified xsi:type="dcterms:W3CDTF">2019-10-24T14:18:00Z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