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2A06B702" w14:textId="77777777" w:rsidTr="0050008E">
        <w:trPr>
          <w:cantSplit/>
        </w:trPr>
        <w:tc>
          <w:tcPr>
            <w:tcW w:w="6911" w:type="dxa"/>
          </w:tcPr>
          <w:p w14:paraId="6A64EAE7" w14:textId="77777777"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3C948D8A" w14:textId="77777777" w:rsidR="0090121B" w:rsidRPr="0002785D" w:rsidRDefault="00DA71A3" w:rsidP="00CE7431">
            <w:pPr>
              <w:spacing w:before="0" w:line="240" w:lineRule="atLeast"/>
              <w:jc w:val="right"/>
              <w:rPr>
                <w:lang w:val="en-US"/>
              </w:rPr>
            </w:pPr>
            <w:r>
              <w:rPr>
                <w:rFonts w:ascii="Verdana" w:hAnsi="Verdana"/>
                <w:b/>
                <w:bCs/>
                <w:noProof/>
                <w:szCs w:val="24"/>
                <w:lang w:val="en-US" w:eastAsia="zh-CN"/>
              </w:rPr>
              <w:drawing>
                <wp:inline distT="0" distB="0" distL="0" distR="0" wp14:anchorId="18E45D94" wp14:editId="0BE6AC1E">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71A6DD7E" w14:textId="77777777" w:rsidTr="0050008E">
        <w:trPr>
          <w:cantSplit/>
        </w:trPr>
        <w:tc>
          <w:tcPr>
            <w:tcW w:w="6911" w:type="dxa"/>
            <w:tcBorders>
              <w:bottom w:val="single" w:sz="12" w:space="0" w:color="auto"/>
            </w:tcBorders>
          </w:tcPr>
          <w:p w14:paraId="5EA79354" w14:textId="77777777" w:rsidR="0090121B" w:rsidRPr="0002785D" w:rsidRDefault="0090121B" w:rsidP="0090121B">
            <w:pPr>
              <w:spacing w:before="0" w:after="48" w:line="240" w:lineRule="atLeast"/>
              <w:rPr>
                <w:b/>
                <w:smallCaps/>
                <w:szCs w:val="24"/>
                <w:lang w:val="en-US"/>
              </w:rPr>
            </w:pPr>
            <w:bookmarkStart w:id="0" w:name="dhead"/>
          </w:p>
        </w:tc>
        <w:tc>
          <w:tcPr>
            <w:tcW w:w="3120" w:type="dxa"/>
            <w:tcBorders>
              <w:bottom w:val="single" w:sz="12" w:space="0" w:color="auto"/>
            </w:tcBorders>
          </w:tcPr>
          <w:p w14:paraId="5DCBE1EB" w14:textId="77777777" w:rsidR="0090121B" w:rsidRPr="0002785D" w:rsidRDefault="0090121B" w:rsidP="0090121B">
            <w:pPr>
              <w:spacing w:before="0" w:line="240" w:lineRule="atLeast"/>
              <w:rPr>
                <w:rFonts w:ascii="Verdana" w:hAnsi="Verdana"/>
                <w:szCs w:val="24"/>
                <w:lang w:val="en-US"/>
              </w:rPr>
            </w:pPr>
          </w:p>
        </w:tc>
      </w:tr>
      <w:tr w:rsidR="0090121B" w:rsidRPr="0002785D" w14:paraId="7EE11BC2" w14:textId="77777777" w:rsidTr="0090121B">
        <w:trPr>
          <w:cantSplit/>
        </w:trPr>
        <w:tc>
          <w:tcPr>
            <w:tcW w:w="6911" w:type="dxa"/>
            <w:tcBorders>
              <w:top w:val="single" w:sz="12" w:space="0" w:color="auto"/>
            </w:tcBorders>
          </w:tcPr>
          <w:p w14:paraId="298C24E9" w14:textId="77777777"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14:paraId="0070B51F" w14:textId="77777777" w:rsidR="0090121B" w:rsidRPr="0002785D" w:rsidRDefault="0090121B" w:rsidP="0090121B">
            <w:pPr>
              <w:spacing w:before="0" w:line="240" w:lineRule="atLeast"/>
              <w:rPr>
                <w:rFonts w:ascii="Verdana" w:hAnsi="Verdana"/>
                <w:sz w:val="20"/>
                <w:lang w:val="en-US"/>
              </w:rPr>
            </w:pPr>
          </w:p>
        </w:tc>
      </w:tr>
      <w:tr w:rsidR="0090121B" w:rsidRPr="0002785D" w14:paraId="1A3F65B9" w14:textId="77777777" w:rsidTr="0090121B">
        <w:trPr>
          <w:cantSplit/>
        </w:trPr>
        <w:tc>
          <w:tcPr>
            <w:tcW w:w="6911" w:type="dxa"/>
          </w:tcPr>
          <w:p w14:paraId="1CF2D5D8" w14:textId="77777777" w:rsidR="0090121B" w:rsidRPr="0023659C" w:rsidRDefault="001E7D42" w:rsidP="00EA77F0">
            <w:pPr>
              <w:pStyle w:val="Committee"/>
              <w:framePr w:hSpace="0" w:wrap="auto" w:hAnchor="text" w:yAlign="inline"/>
              <w:rPr>
                <w:sz w:val="18"/>
                <w:szCs w:val="18"/>
              </w:rPr>
            </w:pPr>
            <w:r w:rsidRPr="0023659C">
              <w:rPr>
                <w:sz w:val="18"/>
                <w:szCs w:val="18"/>
              </w:rPr>
              <w:t>SESIÓN PLENARIA</w:t>
            </w:r>
          </w:p>
        </w:tc>
        <w:tc>
          <w:tcPr>
            <w:tcW w:w="3120" w:type="dxa"/>
          </w:tcPr>
          <w:p w14:paraId="2B0281EF" w14:textId="77777777" w:rsidR="0090121B" w:rsidRPr="008439FD" w:rsidRDefault="00AE658F" w:rsidP="0045384C">
            <w:pPr>
              <w:spacing w:before="0"/>
              <w:rPr>
                <w:rFonts w:ascii="Verdana" w:hAnsi="Verdana"/>
                <w:sz w:val="18"/>
                <w:szCs w:val="18"/>
                <w:lang w:val="es-ES"/>
              </w:rPr>
            </w:pPr>
            <w:r w:rsidRPr="008439FD">
              <w:rPr>
                <w:rFonts w:ascii="Verdana" w:hAnsi="Verdana"/>
                <w:b/>
                <w:sz w:val="18"/>
                <w:szCs w:val="18"/>
                <w:lang w:val="es-ES"/>
              </w:rPr>
              <w:t>Addéndum 10 al</w:t>
            </w:r>
            <w:r w:rsidRPr="008439FD">
              <w:rPr>
                <w:rFonts w:ascii="Verdana" w:hAnsi="Verdana"/>
                <w:b/>
                <w:sz w:val="18"/>
                <w:szCs w:val="18"/>
                <w:lang w:val="es-ES"/>
              </w:rPr>
              <w:br/>
              <w:t>Documento 12(Add.19)</w:t>
            </w:r>
            <w:r w:rsidR="0090121B" w:rsidRPr="008439FD">
              <w:rPr>
                <w:rFonts w:ascii="Verdana" w:hAnsi="Verdana"/>
                <w:b/>
                <w:sz w:val="18"/>
                <w:szCs w:val="18"/>
                <w:lang w:val="es-ES"/>
              </w:rPr>
              <w:t>-</w:t>
            </w:r>
            <w:r w:rsidRPr="008439FD">
              <w:rPr>
                <w:rFonts w:ascii="Verdana" w:hAnsi="Verdana"/>
                <w:b/>
                <w:sz w:val="18"/>
                <w:szCs w:val="18"/>
                <w:lang w:val="es-ES"/>
              </w:rPr>
              <w:t>S</w:t>
            </w:r>
          </w:p>
        </w:tc>
      </w:tr>
      <w:bookmarkEnd w:id="0"/>
      <w:tr w:rsidR="000A5B9A" w:rsidRPr="0002785D" w14:paraId="6E7BC611" w14:textId="77777777" w:rsidTr="0090121B">
        <w:trPr>
          <w:cantSplit/>
        </w:trPr>
        <w:tc>
          <w:tcPr>
            <w:tcW w:w="6911" w:type="dxa"/>
          </w:tcPr>
          <w:p w14:paraId="0D2E3105" w14:textId="77777777" w:rsidR="000A5B9A" w:rsidRPr="008439FD" w:rsidRDefault="000A5B9A" w:rsidP="0045384C">
            <w:pPr>
              <w:spacing w:before="0" w:after="48"/>
              <w:rPr>
                <w:rFonts w:ascii="Verdana" w:hAnsi="Verdana"/>
                <w:b/>
                <w:smallCaps/>
                <w:sz w:val="18"/>
                <w:szCs w:val="18"/>
                <w:lang w:val="es-ES"/>
              </w:rPr>
            </w:pPr>
          </w:p>
        </w:tc>
        <w:tc>
          <w:tcPr>
            <w:tcW w:w="3120" w:type="dxa"/>
          </w:tcPr>
          <w:p w14:paraId="401B32E1"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3 de octubre de 2019</w:t>
            </w:r>
          </w:p>
        </w:tc>
      </w:tr>
      <w:tr w:rsidR="000A5B9A" w:rsidRPr="0002785D" w14:paraId="01E121A0" w14:textId="77777777" w:rsidTr="0090121B">
        <w:trPr>
          <w:cantSplit/>
        </w:trPr>
        <w:tc>
          <w:tcPr>
            <w:tcW w:w="6911" w:type="dxa"/>
          </w:tcPr>
          <w:p w14:paraId="1D6A5C56" w14:textId="77777777" w:rsidR="000A5B9A" w:rsidRPr="0023659C" w:rsidRDefault="000A5B9A" w:rsidP="0045384C">
            <w:pPr>
              <w:spacing w:before="0" w:after="48"/>
              <w:rPr>
                <w:rFonts w:ascii="Verdana" w:hAnsi="Verdana"/>
                <w:b/>
                <w:smallCaps/>
                <w:sz w:val="18"/>
                <w:szCs w:val="18"/>
                <w:lang w:val="en-US"/>
              </w:rPr>
            </w:pPr>
          </w:p>
        </w:tc>
        <w:tc>
          <w:tcPr>
            <w:tcW w:w="3120" w:type="dxa"/>
          </w:tcPr>
          <w:p w14:paraId="146500EC"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Original: ruso</w:t>
            </w:r>
          </w:p>
        </w:tc>
      </w:tr>
      <w:tr w:rsidR="000A5B9A" w:rsidRPr="0002785D" w14:paraId="34C68455" w14:textId="77777777" w:rsidTr="006744FC">
        <w:trPr>
          <w:cantSplit/>
        </w:trPr>
        <w:tc>
          <w:tcPr>
            <w:tcW w:w="10031" w:type="dxa"/>
            <w:gridSpan w:val="2"/>
          </w:tcPr>
          <w:p w14:paraId="34D399F8" w14:textId="77777777" w:rsidR="000A5B9A" w:rsidRPr="007424E8" w:rsidRDefault="000A5B9A" w:rsidP="0045384C">
            <w:pPr>
              <w:spacing w:before="0"/>
              <w:rPr>
                <w:rFonts w:ascii="Verdana" w:hAnsi="Verdana"/>
                <w:b/>
                <w:sz w:val="18"/>
                <w:szCs w:val="22"/>
                <w:lang w:val="en-US"/>
              </w:rPr>
            </w:pPr>
          </w:p>
        </w:tc>
      </w:tr>
      <w:tr w:rsidR="000A5B9A" w:rsidRPr="0002785D" w14:paraId="37CACBE4" w14:textId="77777777" w:rsidTr="0050008E">
        <w:trPr>
          <w:cantSplit/>
        </w:trPr>
        <w:tc>
          <w:tcPr>
            <w:tcW w:w="10031" w:type="dxa"/>
            <w:gridSpan w:val="2"/>
          </w:tcPr>
          <w:p w14:paraId="3ECF7510" w14:textId="77777777" w:rsidR="000A5B9A" w:rsidRPr="008439FD" w:rsidRDefault="000A5B9A" w:rsidP="000A5B9A">
            <w:pPr>
              <w:pStyle w:val="Source"/>
              <w:rPr>
                <w:lang w:val="es-ES"/>
              </w:rPr>
            </w:pPr>
            <w:bookmarkStart w:id="1" w:name="dsource" w:colFirst="0" w:colLast="0"/>
            <w:r w:rsidRPr="008439FD">
              <w:rPr>
                <w:lang w:val="es-ES"/>
              </w:rPr>
              <w:t>Propuestas Comunes de la Comunidad Regional de Comunicaciones</w:t>
            </w:r>
          </w:p>
        </w:tc>
      </w:tr>
      <w:tr w:rsidR="000A5B9A" w:rsidRPr="0002785D" w14:paraId="711C2697" w14:textId="77777777" w:rsidTr="0050008E">
        <w:trPr>
          <w:cantSplit/>
        </w:trPr>
        <w:tc>
          <w:tcPr>
            <w:tcW w:w="10031" w:type="dxa"/>
            <w:gridSpan w:val="2"/>
          </w:tcPr>
          <w:p w14:paraId="79FCC4F0" w14:textId="77777777" w:rsidR="000A5B9A" w:rsidRPr="008439FD" w:rsidRDefault="000A5B9A" w:rsidP="000A5B9A">
            <w:pPr>
              <w:pStyle w:val="Title1"/>
              <w:rPr>
                <w:lang w:val="es-ES"/>
              </w:rPr>
            </w:pPr>
            <w:bookmarkStart w:id="2" w:name="dtitle1" w:colFirst="0" w:colLast="0"/>
            <w:bookmarkEnd w:id="1"/>
            <w:r w:rsidRPr="008439FD">
              <w:rPr>
                <w:lang w:val="es-ES"/>
              </w:rPr>
              <w:t>Propuestas para los trabajos de la Conferencia</w:t>
            </w:r>
          </w:p>
        </w:tc>
      </w:tr>
      <w:tr w:rsidR="000A5B9A" w:rsidRPr="0002785D" w14:paraId="32FFD955" w14:textId="77777777" w:rsidTr="0050008E">
        <w:trPr>
          <w:cantSplit/>
        </w:trPr>
        <w:tc>
          <w:tcPr>
            <w:tcW w:w="10031" w:type="dxa"/>
            <w:gridSpan w:val="2"/>
          </w:tcPr>
          <w:p w14:paraId="6001755A" w14:textId="77777777" w:rsidR="000A5B9A" w:rsidRPr="008439FD" w:rsidRDefault="000A5B9A" w:rsidP="000A5B9A">
            <w:pPr>
              <w:pStyle w:val="Title2"/>
              <w:rPr>
                <w:lang w:val="es-ES"/>
              </w:rPr>
            </w:pPr>
            <w:bookmarkStart w:id="3" w:name="dtitle2" w:colFirst="0" w:colLast="0"/>
            <w:bookmarkEnd w:id="2"/>
          </w:p>
        </w:tc>
      </w:tr>
      <w:tr w:rsidR="000A5B9A" w14:paraId="15A5D9D2" w14:textId="77777777" w:rsidTr="0050008E">
        <w:trPr>
          <w:cantSplit/>
        </w:trPr>
        <w:tc>
          <w:tcPr>
            <w:tcW w:w="10031" w:type="dxa"/>
            <w:gridSpan w:val="2"/>
          </w:tcPr>
          <w:p w14:paraId="1C417157" w14:textId="77777777" w:rsidR="000A5B9A" w:rsidRDefault="000A5B9A" w:rsidP="000A5B9A">
            <w:pPr>
              <w:pStyle w:val="Agendaitem"/>
            </w:pPr>
            <w:bookmarkStart w:id="4" w:name="dtitle3" w:colFirst="0" w:colLast="0"/>
            <w:bookmarkEnd w:id="3"/>
            <w:r w:rsidRPr="00AE658F">
              <w:t>Punto 7(J) del orden del día</w:t>
            </w:r>
          </w:p>
        </w:tc>
      </w:tr>
    </w:tbl>
    <w:bookmarkEnd w:id="4"/>
    <w:p w14:paraId="16A1FE25" w14:textId="5B03DB56" w:rsidR="001C0E40" w:rsidRPr="00E9771B" w:rsidRDefault="0050322F" w:rsidP="003A37B0">
      <w:r w:rsidRPr="00E8457B">
        <w:t>7</w:t>
      </w:r>
      <w:r w:rsidRPr="00E8457B">
        <w:tab/>
        <w:t xml:space="preserve">considerar posibles modificaciones y otras opciones para responder a lo dispuesto en la Resolución 86 (Rev. Marrakech, 2002) de la Conferencia de Plenipotenciarios: </w:t>
      </w:r>
      <w:r w:rsidR="001E3008">
        <w:t>«</w:t>
      </w:r>
      <w:r w:rsidRPr="00E8457B">
        <w:t>Procedimientos de publicación anticipada, de coordinación, de notificación y de inscripción de asignaciones de frecuencias de redes de satélite</w:t>
      </w:r>
      <w:r w:rsidR="001E3008">
        <w:t>»</w:t>
      </w:r>
      <w:r w:rsidRPr="00E8457B">
        <w:t xml:space="preserve"> de conformidad con la Resolución </w:t>
      </w:r>
      <w:r w:rsidRPr="00E8457B">
        <w:rPr>
          <w:b/>
          <w:bCs/>
        </w:rPr>
        <w:t>86 (Rev.CMR-07</w:t>
      </w:r>
      <w:r w:rsidRPr="00E8457B">
        <w:rPr>
          <w:b/>
        </w:rPr>
        <w:t xml:space="preserve">) </w:t>
      </w:r>
      <w:r w:rsidRPr="00E8457B">
        <w:rPr>
          <w:bCs/>
        </w:rPr>
        <w:t>para facilitar el uso racional, eficiente y económico de las radiofrecuencias y órbitas asociadas, incluida la órbita de los satélites geoestacionarios</w:t>
      </w:r>
      <w:r w:rsidRPr="00E8457B">
        <w:t>;</w:t>
      </w:r>
    </w:p>
    <w:p w14:paraId="5F9F9566" w14:textId="77777777" w:rsidR="001C0E40" w:rsidRPr="00E9771B" w:rsidRDefault="0050322F" w:rsidP="00750F9D">
      <w:r w:rsidRPr="00E8457B">
        <w:t>7</w:t>
      </w:r>
      <w:r>
        <w:t>(J)</w:t>
      </w:r>
      <w:r w:rsidRPr="00E8457B">
        <w:tab/>
      </w:r>
      <w:r w:rsidRPr="00CA0BE0">
        <w:t xml:space="preserve">Tema </w:t>
      </w:r>
      <w:r>
        <w:t>J</w:t>
      </w:r>
      <w:r w:rsidRPr="00CA0BE0">
        <w:t xml:space="preserve"> – </w:t>
      </w:r>
      <w:r w:rsidRPr="00750F9D">
        <w:t>Modificación de los límites de dfp en la Sección 1, Anexo 1 del AP30 del RR</w:t>
      </w:r>
    </w:p>
    <w:p w14:paraId="0237A9D6" w14:textId="77777777" w:rsidR="008439FD" w:rsidRDefault="008439FD" w:rsidP="008439FD">
      <w:pPr>
        <w:pStyle w:val="Headingb"/>
        <w:rPr>
          <w:lang w:val="es-ES"/>
        </w:rPr>
      </w:pPr>
      <w:r>
        <w:rPr>
          <w:lang w:val="es-ES"/>
        </w:rPr>
        <w:t>Introducción</w:t>
      </w:r>
    </w:p>
    <w:p w14:paraId="08336098" w14:textId="2C7B17F0" w:rsidR="00363A65" w:rsidRDefault="008439FD" w:rsidP="008439FD">
      <w:r>
        <w:rPr>
          <w:lang w:val="es-ES"/>
        </w:rPr>
        <w:t>Las Administraciones de la CRC no apoyan la modificación de un límite de dfp estricto (−103,6 dB(W/(m</w:t>
      </w:r>
      <w:r>
        <w:rPr>
          <w:vertAlign w:val="superscript"/>
          <w:lang w:val="es-ES"/>
        </w:rPr>
        <w:t>2</w:t>
      </w:r>
      <w:r>
        <w:rPr>
          <w:lang w:val="es-ES"/>
        </w:rPr>
        <w:t xml:space="preserve">· 27 MHz))) que figura en el Anexo 1 al Apéndice </w:t>
      </w:r>
      <w:r>
        <w:rPr>
          <w:b/>
          <w:bCs/>
          <w:lang w:val="es-ES"/>
        </w:rPr>
        <w:t>30</w:t>
      </w:r>
      <w:r>
        <w:rPr>
          <w:lang w:val="es-ES"/>
        </w:rPr>
        <w:t xml:space="preserve"> del RR y considera que, para garantizar la protección de las asignaciones a sistemas del servicio de radiodifusión por satélite ante las interferencias producidas por redes del servicio de radiodifusión por satélite situadas fuera del arco de coordinación, se tiene que cumplir el límite de dfp estricto de la Sección 1 del Anexo 1 al Apéndice </w:t>
      </w:r>
      <w:r>
        <w:rPr>
          <w:b/>
          <w:bCs/>
          <w:lang w:val="es-ES"/>
        </w:rPr>
        <w:t>30</w:t>
      </w:r>
      <w:r>
        <w:rPr>
          <w:lang w:val="es-ES"/>
        </w:rPr>
        <w:t xml:space="preserve"> del RR, incluso cuando un punto de prueba está situado en el territorio de la administración notificante (Método J2 del Informe de la RPC).</w:t>
      </w:r>
    </w:p>
    <w:p w14:paraId="360D6855" w14:textId="77777777" w:rsidR="008750A8" w:rsidRDefault="008750A8" w:rsidP="008750A8">
      <w:pPr>
        <w:tabs>
          <w:tab w:val="clear" w:pos="1134"/>
          <w:tab w:val="clear" w:pos="1871"/>
          <w:tab w:val="clear" w:pos="2268"/>
        </w:tabs>
        <w:overflowPunct/>
        <w:autoSpaceDE/>
        <w:autoSpaceDN/>
        <w:adjustRightInd/>
        <w:spacing w:before="0"/>
        <w:textAlignment w:val="auto"/>
      </w:pPr>
      <w:r>
        <w:br w:type="page"/>
      </w:r>
    </w:p>
    <w:p w14:paraId="3B6858CD" w14:textId="77777777" w:rsidR="00B063AE" w:rsidRPr="004513DF" w:rsidRDefault="0050322F" w:rsidP="00B063AE">
      <w:pPr>
        <w:pStyle w:val="AppendixNo"/>
        <w:spacing w:before="240"/>
        <w:rPr>
          <w:vertAlign w:val="superscript"/>
        </w:rPr>
      </w:pPr>
      <w:r w:rsidRPr="004513DF">
        <w:lastRenderedPageBreak/>
        <w:t xml:space="preserve">APÉNDICE </w:t>
      </w:r>
      <w:r w:rsidRPr="004513DF">
        <w:rPr>
          <w:rStyle w:val="href"/>
          <w:color w:val="000000"/>
        </w:rPr>
        <w:t xml:space="preserve">30 </w:t>
      </w:r>
      <w:r w:rsidRPr="004513DF">
        <w:t>(</w:t>
      </w:r>
      <w:r w:rsidRPr="004513DF">
        <w:rPr>
          <w:caps w:val="0"/>
        </w:rPr>
        <w:t>REV</w:t>
      </w:r>
      <w:r w:rsidRPr="004513DF">
        <w:t>.CMR-15)</w:t>
      </w:r>
      <w:r w:rsidRPr="004513DF">
        <w:rPr>
          <w:rStyle w:val="FootnoteReference"/>
          <w:color w:val="000000"/>
        </w:rPr>
        <w:footnoteReference w:customMarkFollows="1" w:id="1"/>
        <w:t>*</w:t>
      </w:r>
    </w:p>
    <w:p w14:paraId="2D2374BC" w14:textId="77777777" w:rsidR="00B063AE" w:rsidRPr="004513DF" w:rsidRDefault="0050322F" w:rsidP="00AA6AEF">
      <w:pPr>
        <w:pStyle w:val="Appendixtitle"/>
        <w:rPr>
          <w:b w:val="0"/>
          <w:bCs/>
          <w:sz w:val="16"/>
        </w:rPr>
      </w:pPr>
      <w:r w:rsidRPr="004513DF">
        <w:t>Disposiciones aplicables a todos los servicios y Planes y Lista</w:t>
      </w:r>
      <w:r w:rsidRPr="004513DF">
        <w:rPr>
          <w:rStyle w:val="FootnoteReference"/>
          <w:b w:val="0"/>
          <w:bCs/>
          <w:color w:val="000000"/>
        </w:rPr>
        <w:footnoteReference w:customMarkFollows="1" w:id="2"/>
        <w:t>1</w:t>
      </w:r>
      <w:r w:rsidRPr="004513DF">
        <w:t xml:space="preserve"> asociados</w:t>
      </w:r>
      <w:r w:rsidRPr="004513DF">
        <w:br/>
        <w:t>para el servicio de radiodifusión por satélite en las bandas de</w:t>
      </w:r>
      <w:r w:rsidRPr="004513DF">
        <w:br/>
        <w:t>frecuencias 11,7</w:t>
      </w:r>
      <w:r w:rsidRPr="004513DF">
        <w:noBreakHyphen/>
        <w:t>12,2 GHz (en la Región 3), 11,7-12,5 GHz</w:t>
      </w:r>
      <w:r w:rsidRPr="004513DF">
        <w:br/>
        <w:t>         </w:t>
      </w:r>
      <w:proofErr w:type="gramStart"/>
      <w:r w:rsidRPr="004513DF">
        <w:t>   (</w:t>
      </w:r>
      <w:proofErr w:type="gramEnd"/>
      <w:r w:rsidRPr="004513DF">
        <w:t>en la Región 1) y 12,2</w:t>
      </w:r>
      <w:r w:rsidRPr="004513DF">
        <w:noBreakHyphen/>
        <w:t>12,7 GHz (en la Región 2)</w:t>
      </w:r>
      <w:r w:rsidRPr="004513DF">
        <w:rPr>
          <w:b w:val="0"/>
          <w:bCs/>
          <w:sz w:val="16"/>
        </w:rPr>
        <w:t>     </w:t>
      </w:r>
      <w:r w:rsidRPr="004513DF">
        <w:rPr>
          <w:rFonts w:ascii="Times New Roman"/>
          <w:b w:val="0"/>
          <w:bCs/>
          <w:sz w:val="16"/>
        </w:rPr>
        <w:t>(CMR</w:t>
      </w:r>
      <w:r w:rsidRPr="004513DF">
        <w:rPr>
          <w:rFonts w:ascii="Times New Roman"/>
          <w:b w:val="0"/>
          <w:bCs/>
          <w:sz w:val="16"/>
        </w:rPr>
        <w:noBreakHyphen/>
        <w:t>03)</w:t>
      </w:r>
    </w:p>
    <w:p w14:paraId="444215FB" w14:textId="77777777" w:rsidR="00B063AE" w:rsidRPr="00275850" w:rsidRDefault="0050322F" w:rsidP="00B063AE">
      <w:pPr>
        <w:pStyle w:val="AnnexNo"/>
        <w:keepNext w:val="0"/>
        <w:keepLines w:val="0"/>
        <w:tabs>
          <w:tab w:val="left" w:pos="3969"/>
        </w:tabs>
        <w:rPr>
          <w:color w:val="000000"/>
          <w:sz w:val="16"/>
        </w:rPr>
      </w:pPr>
      <w:r w:rsidRPr="00275850">
        <w:rPr>
          <w:color w:val="000000"/>
        </w:rPr>
        <w:t>                   ANEXO 1</w:t>
      </w:r>
      <w:r w:rsidRPr="00275850">
        <w:rPr>
          <w:color w:val="000000"/>
          <w:sz w:val="20"/>
        </w:rPr>
        <w:t>  </w:t>
      </w:r>
      <w:proofErr w:type="gramStart"/>
      <w:r w:rsidRPr="00275850">
        <w:rPr>
          <w:color w:val="000000"/>
          <w:sz w:val="20"/>
        </w:rPr>
        <w:t>   </w:t>
      </w:r>
      <w:r w:rsidRPr="00275850">
        <w:rPr>
          <w:color w:val="000000"/>
          <w:sz w:val="16"/>
        </w:rPr>
        <w:t>(</w:t>
      </w:r>
      <w:proofErr w:type="gramEnd"/>
      <w:r w:rsidRPr="00275850">
        <w:rPr>
          <w:color w:val="000000"/>
          <w:sz w:val="16"/>
        </w:rPr>
        <w:t>Rev.CMR</w:t>
      </w:r>
      <w:r w:rsidRPr="00275850">
        <w:rPr>
          <w:color w:val="000000"/>
          <w:sz w:val="16"/>
        </w:rPr>
        <w:noBreakHyphen/>
        <w:t>15)</w:t>
      </w:r>
    </w:p>
    <w:p w14:paraId="3652152D" w14:textId="77777777" w:rsidR="00B063AE" w:rsidRPr="00275850" w:rsidRDefault="0050322F" w:rsidP="00B063AE">
      <w:pPr>
        <w:pStyle w:val="Annextitle"/>
        <w:keepNext w:val="0"/>
        <w:keepLines w:val="0"/>
        <w:rPr>
          <w:b w:val="0"/>
          <w:bCs/>
          <w:color w:val="000000"/>
        </w:rPr>
      </w:pPr>
      <w:r w:rsidRPr="00275850">
        <w:rPr>
          <w:color w:val="000000"/>
        </w:rPr>
        <w:t>Límites que han de tomarse en consideración para determinar si un servicio</w:t>
      </w:r>
      <w:r w:rsidRPr="00275850">
        <w:rPr>
          <w:color w:val="000000"/>
        </w:rPr>
        <w:br/>
        <w:t>de una administración resulta afectado por una propuesta de modificación</w:t>
      </w:r>
      <w:r w:rsidRPr="00275850">
        <w:rPr>
          <w:color w:val="000000"/>
        </w:rPr>
        <w:br/>
        <w:t>del Plan de la Región 2 o por una propuesta de asignación nueva o</w:t>
      </w:r>
      <w:r w:rsidRPr="00275850">
        <w:rPr>
          <w:color w:val="000000"/>
        </w:rPr>
        <w:br/>
        <w:t>modificada en la Lista de las Regiones 1 y 3 o cuando haya</w:t>
      </w:r>
      <w:r w:rsidRPr="00275850">
        <w:rPr>
          <w:color w:val="000000"/>
        </w:rPr>
        <w:br/>
        <w:t>que obtener el acuerdo de cualquier otra administración</w:t>
      </w:r>
      <w:r w:rsidRPr="00275850">
        <w:rPr>
          <w:color w:val="000000"/>
        </w:rPr>
        <w:br/>
        <w:t>de conformidad con el presente Apéndice</w:t>
      </w:r>
      <w:r w:rsidRPr="00275850">
        <w:rPr>
          <w:rStyle w:val="FootnoteReference"/>
          <w:rFonts w:asciiTheme="majorBidi" w:hAnsiTheme="majorBidi" w:cstheme="majorBidi"/>
          <w:b w:val="0"/>
          <w:bCs/>
        </w:rPr>
        <w:footnoteReference w:customMarkFollows="1" w:id="3"/>
        <w:t>25</w:t>
      </w:r>
    </w:p>
    <w:p w14:paraId="060334C5" w14:textId="77777777" w:rsidR="00DC0843" w:rsidRDefault="0050322F">
      <w:pPr>
        <w:pStyle w:val="Proposal"/>
      </w:pPr>
      <w:r>
        <w:rPr>
          <w:u w:val="single"/>
        </w:rPr>
        <w:t>NOC</w:t>
      </w:r>
      <w:r>
        <w:tab/>
        <w:t>RCC/12A19A10/1</w:t>
      </w:r>
      <w:r>
        <w:rPr>
          <w:vanish/>
          <w:color w:val="7F7F7F" w:themeColor="text1" w:themeTint="80"/>
          <w:vertAlign w:val="superscript"/>
        </w:rPr>
        <w:t>#50132</w:t>
      </w:r>
    </w:p>
    <w:p w14:paraId="440C1FBD" w14:textId="77777777" w:rsidR="00B571EC" w:rsidRPr="00497F23" w:rsidRDefault="0050322F" w:rsidP="009F5F4C">
      <w:pPr>
        <w:pStyle w:val="Heading1"/>
      </w:pPr>
      <w:bookmarkStart w:id="6" w:name="_Toc526514465"/>
      <w:bookmarkStart w:id="7" w:name="_Toc526515144"/>
      <w:bookmarkStart w:id="8" w:name="_Toc528076524"/>
      <w:bookmarkStart w:id="9" w:name="_Toc3991829"/>
      <w:r w:rsidRPr="00497F23">
        <w:t>1</w:t>
      </w:r>
      <w:r w:rsidRPr="00497F23">
        <w:tab/>
        <w:t>Límites aplicables a la interferencia causada a las asignaciones de frecuencia conformes al Plan de las Regiones 1 y 3 o a la Lista de las Regiones 1 y 3 o a las asignaciones nuevas o modificadas en la Lista de las Regiones 1 y 3</w:t>
      </w:r>
      <w:bookmarkEnd w:id="6"/>
      <w:bookmarkEnd w:id="7"/>
      <w:bookmarkEnd w:id="8"/>
      <w:bookmarkEnd w:id="9"/>
    </w:p>
    <w:p w14:paraId="386ED584" w14:textId="77777777" w:rsidR="008439FD" w:rsidRDefault="008439FD" w:rsidP="00411C49">
      <w:pPr>
        <w:pStyle w:val="Reasons"/>
      </w:pPr>
    </w:p>
    <w:p w14:paraId="0F0204D2" w14:textId="77777777" w:rsidR="008439FD" w:rsidRDefault="008439FD">
      <w:pPr>
        <w:jc w:val="center"/>
      </w:pPr>
      <w:r>
        <w:t>______________</w:t>
      </w:r>
    </w:p>
    <w:sectPr w:rsidR="008439FD">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080EF" w14:textId="77777777" w:rsidR="003C0613" w:rsidRDefault="003C0613">
      <w:r>
        <w:separator/>
      </w:r>
    </w:p>
  </w:endnote>
  <w:endnote w:type="continuationSeparator" w:id="0">
    <w:p w14:paraId="673990C6"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A69A" w14:textId="60CD792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2A3F15" w14:textId="28A2134A" w:rsidR="0077084A" w:rsidRDefault="0077084A">
    <w:pPr>
      <w:ind w:right="360"/>
      <w:rPr>
        <w:lang w:val="en-US"/>
      </w:rPr>
    </w:pPr>
    <w:r>
      <w:fldChar w:fldCharType="begin"/>
    </w:r>
    <w:r>
      <w:rPr>
        <w:lang w:val="en-US"/>
      </w:rPr>
      <w:instrText xml:space="preserve"> FILENAME \p  \* MERGEFORMAT </w:instrText>
    </w:r>
    <w:r>
      <w:fldChar w:fldCharType="separate"/>
    </w:r>
    <w:r w:rsidR="0050322F">
      <w:rPr>
        <w:noProof/>
        <w:lang w:val="en-US"/>
      </w:rPr>
      <w:t>P:\ESP\ITU-R\CONF-R\CMR19\000\012ADD19ADD10S.docx</w:t>
    </w:r>
    <w:r>
      <w:fldChar w:fldCharType="end"/>
    </w:r>
    <w:r>
      <w:rPr>
        <w:lang w:val="en-US"/>
      </w:rPr>
      <w:tab/>
    </w:r>
    <w:r>
      <w:fldChar w:fldCharType="begin"/>
    </w:r>
    <w:r>
      <w:instrText xml:space="preserve"> SAVEDATE \@ DD.MM.YY </w:instrText>
    </w:r>
    <w:r>
      <w:fldChar w:fldCharType="separate"/>
    </w:r>
    <w:r w:rsidR="00AA6AEF">
      <w:rPr>
        <w:noProof/>
      </w:rPr>
      <w:t>24.10.19</w:t>
    </w:r>
    <w:r>
      <w:fldChar w:fldCharType="end"/>
    </w:r>
    <w:r>
      <w:rPr>
        <w:lang w:val="en-US"/>
      </w:rPr>
      <w:tab/>
    </w:r>
    <w:r>
      <w:fldChar w:fldCharType="begin"/>
    </w:r>
    <w:r>
      <w:instrText xml:space="preserve"> PRINTDATE \@ DD.MM.YY </w:instrText>
    </w:r>
    <w:r>
      <w:fldChar w:fldCharType="separate"/>
    </w:r>
    <w:r w:rsidR="0050322F">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215E1" w14:textId="344031E2" w:rsidR="0077084A" w:rsidRPr="0050322F" w:rsidRDefault="0077084A" w:rsidP="00B86034">
    <w:pPr>
      <w:pStyle w:val="Footer"/>
      <w:ind w:right="360"/>
      <w:rPr>
        <w:lang w:val="en-GB"/>
      </w:rPr>
    </w:pPr>
    <w:r>
      <w:fldChar w:fldCharType="begin"/>
    </w:r>
    <w:r>
      <w:rPr>
        <w:lang w:val="en-US"/>
      </w:rPr>
      <w:instrText xml:space="preserve"> FILENAME \p  \* MERGEFORMAT </w:instrText>
    </w:r>
    <w:r>
      <w:fldChar w:fldCharType="separate"/>
    </w:r>
    <w:r w:rsidR="0050322F">
      <w:rPr>
        <w:lang w:val="en-US"/>
      </w:rPr>
      <w:t>P:\ESP\ITU-R\CONF-R\CMR19\000\012ADD19ADD10S.docx</w:t>
    </w:r>
    <w:r>
      <w:fldChar w:fldCharType="end"/>
    </w:r>
    <w:r w:rsidR="0050322F" w:rsidRPr="0050322F">
      <w:rPr>
        <w:lang w:val="en-GB"/>
      </w:rPr>
      <w:t xml:space="preserve"> </w:t>
    </w:r>
    <w:r w:rsidR="0050322F">
      <w:rPr>
        <w:lang w:val="en-GB"/>
      </w:rPr>
      <w:t>(461808)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0109" w14:textId="7CF90DA3" w:rsidR="0077084A" w:rsidRPr="0050322F" w:rsidRDefault="0077084A" w:rsidP="00B47331">
    <w:pPr>
      <w:pStyle w:val="Footer"/>
      <w:rPr>
        <w:lang w:val="en-GB"/>
      </w:rPr>
    </w:pPr>
    <w:r>
      <w:fldChar w:fldCharType="begin"/>
    </w:r>
    <w:r>
      <w:rPr>
        <w:lang w:val="en-US"/>
      </w:rPr>
      <w:instrText xml:space="preserve"> FILENAME \p  \* MERGEFORMAT </w:instrText>
    </w:r>
    <w:r>
      <w:fldChar w:fldCharType="separate"/>
    </w:r>
    <w:r w:rsidR="0050322F">
      <w:rPr>
        <w:lang w:val="en-US"/>
      </w:rPr>
      <w:t>P:\ESP\ITU-R\CONF-R\CMR19\000\012ADD19ADD10S.docx</w:t>
    </w:r>
    <w:r>
      <w:fldChar w:fldCharType="end"/>
    </w:r>
    <w:r w:rsidR="0050322F" w:rsidRPr="0050322F">
      <w:rPr>
        <w:lang w:val="en-GB"/>
      </w:rPr>
      <w:t xml:space="preserve"> </w:t>
    </w:r>
    <w:r w:rsidR="0050322F">
      <w:rPr>
        <w:lang w:val="en-GB"/>
      </w:rPr>
      <w:t>(461808)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5BAF7" w14:textId="77777777" w:rsidR="003C0613" w:rsidRDefault="003C0613">
      <w:r>
        <w:rPr>
          <w:b/>
        </w:rPr>
        <w:t>_______________</w:t>
      </w:r>
    </w:p>
  </w:footnote>
  <w:footnote w:type="continuationSeparator" w:id="0">
    <w:p w14:paraId="523CD3E1" w14:textId="77777777" w:rsidR="003C0613" w:rsidRDefault="003C0613">
      <w:r>
        <w:continuationSeparator/>
      </w:r>
    </w:p>
  </w:footnote>
  <w:footnote w:id="1">
    <w:p w14:paraId="650BE003" w14:textId="77777777" w:rsidR="00453441" w:rsidRPr="001B0C91" w:rsidRDefault="0050322F" w:rsidP="00B063AE">
      <w:pPr>
        <w:pStyle w:val="FootnoteText"/>
      </w:pPr>
      <w:r w:rsidRPr="001B0C91">
        <w:rPr>
          <w:rStyle w:val="FootnoteReference"/>
        </w:rPr>
        <w:t>*</w:t>
      </w:r>
      <w:r w:rsidRPr="001B0C91">
        <w:tab/>
      </w:r>
      <w:r w:rsidRPr="001B0C91">
        <w:rPr>
          <w:szCs w:val="24"/>
        </w:rPr>
        <w:t>Cuando aparezca en este Apéndice la expresión «asignación de frecuencia a una estación espacial», se entenderá que se refiere a una asignación de frecuencia asociada a una posición orbital dada. Véanse además en el Anexo 7 las restricciones aplicables a las posiciones orbitales.</w:t>
      </w:r>
      <w:r w:rsidRPr="001B0C91">
        <w:rPr>
          <w:sz w:val="16"/>
        </w:rPr>
        <w:t>     </w:t>
      </w:r>
      <w:r>
        <w:rPr>
          <w:sz w:val="16"/>
          <w:lang w:val="es-ES"/>
        </w:rPr>
        <w:t>(CMR</w:t>
      </w:r>
      <w:r>
        <w:rPr>
          <w:sz w:val="16"/>
          <w:lang w:val="es-ES"/>
        </w:rPr>
        <w:noBreakHyphen/>
        <w:t>2000)</w:t>
      </w:r>
    </w:p>
  </w:footnote>
  <w:footnote w:id="2">
    <w:p w14:paraId="139DB10E" w14:textId="77777777" w:rsidR="00453441" w:rsidRDefault="0050322F" w:rsidP="00B063AE">
      <w:pPr>
        <w:pStyle w:val="FootnoteText"/>
        <w:rPr>
          <w:sz w:val="16"/>
          <w:lang w:val="es-ES"/>
        </w:rPr>
      </w:pPr>
      <w:r w:rsidRPr="001B0C91">
        <w:rPr>
          <w:rStyle w:val="FootnoteReference"/>
        </w:rPr>
        <w:t>1</w:t>
      </w:r>
      <w:r w:rsidRPr="001B0C91">
        <w:tab/>
      </w:r>
      <w:r w:rsidRPr="00605F62">
        <w:rPr>
          <w:szCs w:val="24"/>
          <w:lang w:val="es-ES" w:eastAsia="fr-FR"/>
        </w:rPr>
        <w:t xml:space="preserve">La Lista de usos adicionales en las </w:t>
      </w:r>
      <w:r>
        <w:rPr>
          <w:szCs w:val="24"/>
          <w:lang w:val="es-ES" w:eastAsia="fr-FR"/>
        </w:rPr>
        <w:t>Regiones 1</w:t>
      </w:r>
      <w:r w:rsidRPr="00605F62">
        <w:rPr>
          <w:szCs w:val="24"/>
          <w:lang w:val="es-ES"/>
        </w:rPr>
        <w:t xml:space="preserve"> y 3 se encuentra en el Anexo al Registro Internacional de Frecuencias (véase la Resolución </w:t>
      </w:r>
      <w:r w:rsidRPr="00605F62">
        <w:rPr>
          <w:b/>
          <w:bCs/>
          <w:szCs w:val="24"/>
          <w:lang w:val="es-ES"/>
        </w:rPr>
        <w:t>542</w:t>
      </w:r>
      <w:r w:rsidRPr="00605F62">
        <w:rPr>
          <w:b/>
          <w:szCs w:val="24"/>
          <w:lang w:val="es-ES"/>
        </w:rPr>
        <w:t xml:space="preserve"> (CMR-</w:t>
      </w:r>
      <w:proofErr w:type="gramStart"/>
      <w:r w:rsidRPr="00605F62">
        <w:rPr>
          <w:b/>
          <w:szCs w:val="24"/>
          <w:lang w:val="es-ES"/>
        </w:rPr>
        <w:t>2000)</w:t>
      </w:r>
      <w:r w:rsidRPr="001B0C91">
        <w:rPr>
          <w:szCs w:val="24"/>
        </w:rPr>
        <w:t>*</w:t>
      </w:r>
      <w:proofErr w:type="gramEnd"/>
      <w:r w:rsidRPr="001B0C91">
        <w:rPr>
          <w:szCs w:val="24"/>
        </w:rPr>
        <w:t>*</w:t>
      </w:r>
      <w:r w:rsidRPr="00605F62">
        <w:rPr>
          <w:bCs/>
          <w:szCs w:val="24"/>
          <w:lang w:val="es-ES"/>
        </w:rPr>
        <w:t>).</w:t>
      </w:r>
      <w:r>
        <w:rPr>
          <w:sz w:val="16"/>
          <w:lang w:val="es-ES"/>
        </w:rPr>
        <w:t>     (CMR</w:t>
      </w:r>
      <w:r>
        <w:rPr>
          <w:sz w:val="16"/>
          <w:lang w:val="es-ES"/>
        </w:rPr>
        <w:noBreakHyphen/>
        <w:t>03)</w:t>
      </w:r>
    </w:p>
    <w:p w14:paraId="239E1106" w14:textId="77777777" w:rsidR="00453441" w:rsidRPr="00605F62" w:rsidRDefault="0050322F" w:rsidP="00B063AE">
      <w:pPr>
        <w:pStyle w:val="FootnoteText"/>
        <w:rPr>
          <w:szCs w:val="24"/>
          <w:lang w:val="es-ES"/>
        </w:rPr>
      </w:pPr>
      <w:r w:rsidRPr="001B0C91">
        <w:rPr>
          <w:rStyle w:val="FootnoteReference"/>
        </w:rPr>
        <w:tab/>
        <w:t>**</w:t>
      </w:r>
      <w:r w:rsidRPr="001B0C91">
        <w:t>   </w:t>
      </w:r>
      <w:r w:rsidRPr="00605F62">
        <w:rPr>
          <w:i/>
          <w:iCs/>
          <w:szCs w:val="24"/>
          <w:lang w:val="es-ES"/>
        </w:rPr>
        <w:t>Nota de la Secretaría:</w:t>
      </w:r>
      <w:r w:rsidRPr="00605F62">
        <w:rPr>
          <w:szCs w:val="24"/>
          <w:lang w:val="es-ES"/>
        </w:rPr>
        <w:t xml:space="preserve"> Esta Resolución ha sido abrogada por la CMR</w:t>
      </w:r>
      <w:r w:rsidRPr="00605F62">
        <w:rPr>
          <w:szCs w:val="24"/>
          <w:lang w:val="es-ES"/>
        </w:rPr>
        <w:noBreakHyphen/>
        <w:t>03.</w:t>
      </w:r>
    </w:p>
    <w:p w14:paraId="01FFC9BB" w14:textId="77777777" w:rsidR="00453441" w:rsidRPr="001B0C91" w:rsidRDefault="0050322F" w:rsidP="00B063AE">
      <w:pPr>
        <w:pStyle w:val="FootnoteText"/>
        <w:rPr>
          <w:szCs w:val="24"/>
        </w:rPr>
      </w:pPr>
      <w:r w:rsidRPr="00605F62">
        <w:rPr>
          <w:i/>
          <w:iCs/>
          <w:szCs w:val="24"/>
          <w:lang w:val="es-ES"/>
        </w:rPr>
        <w:t>Nota de la Secretaría:</w:t>
      </w:r>
      <w:r w:rsidRPr="00605F62">
        <w:rPr>
          <w:szCs w:val="24"/>
          <w:lang w:val="es-ES"/>
        </w:rPr>
        <w:t xml:space="preserve"> </w:t>
      </w:r>
      <w:r w:rsidRPr="000A3497">
        <w:rPr>
          <w:iCs/>
          <w:szCs w:val="24"/>
          <w:lang w:val="es-ES"/>
        </w:rPr>
        <w:t xml:space="preserve">Las referencias a un </w:t>
      </w:r>
      <w:r w:rsidRPr="000A3497">
        <w:rPr>
          <w:iCs/>
          <w:caps/>
          <w:szCs w:val="24"/>
          <w:lang w:val="es-ES"/>
        </w:rPr>
        <w:t>A</w:t>
      </w:r>
      <w:r w:rsidRPr="000A3497">
        <w:rPr>
          <w:iCs/>
          <w:szCs w:val="24"/>
          <w:lang w:val="es-ES"/>
        </w:rPr>
        <w:t>rtículo con su número en romanillas se refiere a un Artículo del presente Apéndice.</w:t>
      </w:r>
    </w:p>
  </w:footnote>
  <w:footnote w:id="3">
    <w:p w14:paraId="4CEAC766" w14:textId="77777777" w:rsidR="00453441" w:rsidRPr="00B577D7" w:rsidRDefault="0050322F" w:rsidP="00B063AE">
      <w:pPr>
        <w:pStyle w:val="FootnoteText"/>
        <w:rPr>
          <w:szCs w:val="24"/>
          <w:lang w:val="es-ES"/>
        </w:rPr>
      </w:pPr>
      <w:r w:rsidRPr="001B0C91">
        <w:rPr>
          <w:rStyle w:val="FootnoteReference"/>
        </w:rPr>
        <w:t>25</w:t>
      </w:r>
      <w:r w:rsidRPr="001B0C91">
        <w:t xml:space="preserve"> </w:t>
      </w:r>
      <w:r w:rsidRPr="001B0C91">
        <w:tab/>
      </w:r>
      <w:r w:rsidRPr="00B577D7">
        <w:rPr>
          <w:szCs w:val="24"/>
          <w:lang w:val="es-ES"/>
        </w:rPr>
        <w:t xml:space="preserve">Los límites de la densidad de flujo de potencia que se indican en el presente Anexo, salvo en el </w:t>
      </w:r>
      <w:r>
        <w:rPr>
          <w:szCs w:val="24"/>
          <w:lang w:val="es-ES"/>
        </w:rPr>
        <w:t>§ </w:t>
      </w:r>
      <w:r w:rsidRPr="00B577D7">
        <w:rPr>
          <w:szCs w:val="24"/>
          <w:lang w:val="es-ES"/>
        </w:rPr>
        <w:t>2, corresponden a los que se obtendrían suponiendo una propagación en el espacio libre.</w:t>
      </w:r>
    </w:p>
    <w:p w14:paraId="57104C32" w14:textId="5BF19CF3" w:rsidR="00453441" w:rsidRPr="002F6246" w:rsidRDefault="0050322F" w:rsidP="002F6246">
      <w:pPr>
        <w:pStyle w:val="FootnoteText"/>
        <w:spacing w:before="60"/>
        <w:rPr>
          <w:szCs w:val="24"/>
          <w:lang w:val="es-ES"/>
        </w:rPr>
      </w:pPr>
      <w:r>
        <w:rPr>
          <w:lang w:val="es-ES"/>
        </w:rPr>
        <w:tab/>
      </w:r>
      <w:r w:rsidRPr="00B577D7">
        <w:rPr>
          <w:szCs w:val="24"/>
          <w:lang w:val="es-ES"/>
        </w:rPr>
        <w:t xml:space="preserve">Con respecto al </w:t>
      </w:r>
      <w:r>
        <w:rPr>
          <w:szCs w:val="24"/>
          <w:lang w:val="es-ES"/>
        </w:rPr>
        <w:t>§ </w:t>
      </w:r>
      <w:r w:rsidRPr="00B577D7">
        <w:rPr>
          <w:szCs w:val="24"/>
          <w:lang w:val="es-ES"/>
        </w:rPr>
        <w:t xml:space="preserve">2 del presente Anexo, el límite especificado se refiere al margen de protección global equivalente calculado de conformidad con el </w:t>
      </w:r>
      <w:r>
        <w:rPr>
          <w:szCs w:val="24"/>
          <w:lang w:val="es-ES"/>
        </w:rPr>
        <w:t>§ </w:t>
      </w:r>
      <w:r w:rsidRPr="00B577D7">
        <w:rPr>
          <w:szCs w:val="24"/>
          <w:lang w:val="es-ES"/>
        </w:rPr>
        <w:t>2.2.4 del Anexo 5.</w:t>
      </w:r>
      <w:bookmarkStart w:id="5" w:name="_GoBack"/>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C7C2D"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5C4497D2" w14:textId="77777777" w:rsidR="0077084A" w:rsidRDefault="008750A8" w:rsidP="00C44E9E">
    <w:pPr>
      <w:pStyle w:val="Header"/>
      <w:rPr>
        <w:lang w:val="en-US"/>
      </w:rPr>
    </w:pPr>
    <w:r>
      <w:rPr>
        <w:lang w:val="en-US"/>
      </w:rPr>
      <w:t>CMR1</w:t>
    </w:r>
    <w:r w:rsidR="00C44E9E">
      <w:rPr>
        <w:lang w:val="en-US"/>
      </w:rPr>
      <w:t>9</w:t>
    </w:r>
    <w:r>
      <w:rPr>
        <w:lang w:val="en-US"/>
      </w:rPr>
      <w:t>/</w:t>
    </w:r>
    <w:r w:rsidR="00702F3D">
      <w:t>12(Add.19)(Add.10)-</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4776"/>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008"/>
    <w:rsid w:val="001E3F27"/>
    <w:rsid w:val="001E7D42"/>
    <w:rsid w:val="0023659C"/>
    <w:rsid w:val="00236D2A"/>
    <w:rsid w:val="0024569E"/>
    <w:rsid w:val="00255F12"/>
    <w:rsid w:val="00262C09"/>
    <w:rsid w:val="002A791F"/>
    <w:rsid w:val="002C1A52"/>
    <w:rsid w:val="002C1B26"/>
    <w:rsid w:val="002C5D6C"/>
    <w:rsid w:val="002E701F"/>
    <w:rsid w:val="002F6246"/>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D2C7C"/>
    <w:rsid w:val="0050322F"/>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439FD"/>
    <w:rsid w:val="00866AE6"/>
    <w:rsid w:val="008750A8"/>
    <w:rsid w:val="008D3316"/>
    <w:rsid w:val="008E5AF2"/>
    <w:rsid w:val="0090121B"/>
    <w:rsid w:val="009144C9"/>
    <w:rsid w:val="0094091F"/>
    <w:rsid w:val="00962171"/>
    <w:rsid w:val="00973754"/>
    <w:rsid w:val="009C0BED"/>
    <w:rsid w:val="009E11EC"/>
    <w:rsid w:val="00A021CC"/>
    <w:rsid w:val="00A118DB"/>
    <w:rsid w:val="00A4450C"/>
    <w:rsid w:val="00AA5E6C"/>
    <w:rsid w:val="00AA6AEF"/>
    <w:rsid w:val="00AE5677"/>
    <w:rsid w:val="00AE658F"/>
    <w:rsid w:val="00AF2F78"/>
    <w:rsid w:val="00B239FA"/>
    <w:rsid w:val="00B372AB"/>
    <w:rsid w:val="00B47331"/>
    <w:rsid w:val="00B52D55"/>
    <w:rsid w:val="00B8288C"/>
    <w:rsid w:val="00B86034"/>
    <w:rsid w:val="00BE2E80"/>
    <w:rsid w:val="00BE5EDD"/>
    <w:rsid w:val="00BE6A1F"/>
    <w:rsid w:val="00C126C4"/>
    <w:rsid w:val="00C229EE"/>
    <w:rsid w:val="00C44E9E"/>
    <w:rsid w:val="00C63EB5"/>
    <w:rsid w:val="00C87DA7"/>
    <w:rsid w:val="00CC01E0"/>
    <w:rsid w:val="00CD5FEE"/>
    <w:rsid w:val="00CE60D2"/>
    <w:rsid w:val="00CE7431"/>
    <w:rsid w:val="00D00CA8"/>
    <w:rsid w:val="00D0288A"/>
    <w:rsid w:val="00D72A5D"/>
    <w:rsid w:val="00DA71A3"/>
    <w:rsid w:val="00DC0843"/>
    <w:rsid w:val="00DC629B"/>
    <w:rsid w:val="00DE1C31"/>
    <w:rsid w:val="00E05BFF"/>
    <w:rsid w:val="00E262F1"/>
    <w:rsid w:val="00E3176A"/>
    <w:rsid w:val="00E36CE4"/>
    <w:rsid w:val="00E54754"/>
    <w:rsid w:val="00E56BD3"/>
    <w:rsid w:val="00E71D14"/>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54E33B"/>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2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R16-WRC19-C-0012!A19-A10!MSW-S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1F0DB338-F6B5-4328-BC7E-FD308BF079F3}">
  <ds:schemaRefs>
    <ds:schemaRef ds:uri="http://purl.org/dc/elements/1.1/"/>
    <ds:schemaRef ds:uri="32a1a8c5-2265-4ebc-b7a0-2071e2c5c9bb"/>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996b2e75-67fd-4955-a3b0-5ab9934cb50b"/>
    <ds:schemaRef ds:uri="http://www.w3.org/XML/1998/namespace"/>
  </ds:schemaRefs>
</ds:datastoreItem>
</file>

<file path=customXml/itemProps5.xml><?xml version="1.0" encoding="utf-8"?>
<ds:datastoreItem xmlns:ds="http://schemas.openxmlformats.org/officeDocument/2006/customXml" ds:itemID="{8F9A3052-8F9C-49A0-AFEA-10E18E01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413</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R16-WRC19-C-0012!A19-A10!MSW-S</vt:lpstr>
    </vt:vector>
  </TitlesOfParts>
  <Manager>Secretaría General - Pool</Manager>
  <Company>Unión Internacional de Telecomunicaciones (UIT)</Company>
  <LinksUpToDate>false</LinksUpToDate>
  <CharactersWithSpaces>2609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R16-WRC19-C-0012!A19-A10!MSW-S</dc:title>
  <dc:subject>Conferencia Mundial de Radiocomunicaciones - 2019</dc:subject>
  <dc:creator>Documents Proposals Manager (DPM)</dc:creator>
  <cp:keywords>DPM_v2019.10.15.2_prod</cp:keywords>
  <dc:description/>
  <cp:lastModifiedBy>Spanish</cp:lastModifiedBy>
  <cp:revision>6</cp:revision>
  <cp:lastPrinted>2003-02-19T20:20:00Z</cp:lastPrinted>
  <dcterms:created xsi:type="dcterms:W3CDTF">2019-10-24T00:49:00Z</dcterms:created>
  <dcterms:modified xsi:type="dcterms:W3CDTF">2019-10-24T05:06:00Z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