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3720356F" w14:textId="77777777">
        <w:trPr>
          <w:cantSplit/>
        </w:trPr>
        <w:tc>
          <w:tcPr>
            <w:tcW w:w="6911" w:type="dxa"/>
          </w:tcPr>
          <w:p w14:paraId="0B0F91E0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6F5BFDB0" w14:textId="77777777"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1DA88BCF" wp14:editId="66084203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383863FA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69AEBDC3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FB2C4E4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75106E07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6603F1E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15623ED0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39785CDF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1259F2CA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1FC3E6C2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10 to</w:t>
            </w:r>
            <w:r>
              <w:rPr>
                <w:rFonts w:ascii="Verdana" w:hAnsi="Verdana"/>
                <w:b/>
                <w:sz w:val="20"/>
              </w:rPr>
              <w:br/>
              <w:t>Document 12(Add.19)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21B2C77F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598F99EC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7510D470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3 October 2019</w:t>
            </w:r>
          </w:p>
        </w:tc>
      </w:tr>
      <w:tr w:rsidR="00A066F1" w:rsidRPr="00C324A8" w14:paraId="3F793758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629C21E2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1ACCD7A3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Russian</w:t>
            </w:r>
          </w:p>
        </w:tc>
      </w:tr>
      <w:tr w:rsidR="00A066F1" w:rsidRPr="00C324A8" w14:paraId="2F311A30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84D0E7A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1F8175CD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09C6824D" w14:textId="77777777" w:rsidR="00E55816" w:rsidRDefault="00884D60" w:rsidP="00E55816">
            <w:pPr>
              <w:pStyle w:val="Source"/>
            </w:pPr>
            <w:r>
              <w:t>Regional Commonwealth in the field of Communications Common Proposals</w:t>
            </w:r>
          </w:p>
        </w:tc>
      </w:tr>
      <w:tr w:rsidR="00E55816" w:rsidRPr="00C324A8" w14:paraId="0B6B2393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44910B4B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4E239677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8408463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0F7B9F15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46503E87" w14:textId="77777777" w:rsidR="00A538A6" w:rsidRDefault="004B13CB" w:rsidP="004B13CB">
            <w:pPr>
              <w:pStyle w:val="Agendaitem"/>
            </w:pPr>
            <w:r>
              <w:t>Agenda item 7(J)</w:t>
            </w:r>
          </w:p>
        </w:tc>
      </w:tr>
    </w:tbl>
    <w:bookmarkEnd w:id="5"/>
    <w:bookmarkEnd w:id="6"/>
    <w:p w14:paraId="14929A89" w14:textId="77777777" w:rsidR="005118F7" w:rsidRPr="00EC5386" w:rsidRDefault="00171790" w:rsidP="0051512E">
      <w:pPr>
        <w:pStyle w:val="Normalaftertitle"/>
        <w:rPr>
          <w:lang w:val="en-US"/>
        </w:rPr>
      </w:pPr>
      <w:r w:rsidRPr="00656311">
        <w:rPr>
          <w:lang w:val="en-US"/>
        </w:rPr>
        <w:t>7</w:t>
      </w:r>
      <w:r w:rsidRPr="00656311">
        <w:rPr>
          <w:lang w:val="en-US"/>
        </w:rPr>
        <w:tab/>
        <w:t>to consider possible changes, and other opt</w:t>
      </w:r>
      <w:r>
        <w:rPr>
          <w:lang w:val="en-US"/>
        </w:rPr>
        <w:t>ions, in response to Resolution 86 (Rev. </w:t>
      </w:r>
      <w:r w:rsidRPr="00656311">
        <w:rPr>
          <w:lang w:val="en-US"/>
        </w:rPr>
        <w:t xml:space="preserve">Marrakesh, 2002) of the Plenipotentiary Conference, an advance publication, coordination, notification and recording procedures for frequency assignments pertaining to satellite networks, in accordance with Resolution </w:t>
      </w:r>
      <w:r w:rsidRPr="00656311">
        <w:rPr>
          <w:b/>
          <w:bCs/>
          <w:lang w:val="en-US"/>
        </w:rPr>
        <w:t>86 (Rev.WRC-07)</w:t>
      </w:r>
      <w:r w:rsidRPr="00656311">
        <w:rPr>
          <w:lang w:val="en-US"/>
        </w:rPr>
        <w:t>, in order to facilitate rational, efficient and economical use of radio frequencies and any associated orbits, including the geostationary-satellite orbit;</w:t>
      </w:r>
    </w:p>
    <w:p w14:paraId="573F2C32" w14:textId="77777777" w:rsidR="003E696A" w:rsidRPr="00EC5386" w:rsidRDefault="00171790" w:rsidP="005179D1">
      <w:pPr>
        <w:overflowPunct/>
        <w:autoSpaceDE/>
        <w:autoSpaceDN/>
        <w:adjustRightInd/>
        <w:textAlignment w:val="auto"/>
        <w:rPr>
          <w:lang w:val="en-US"/>
        </w:rPr>
      </w:pPr>
      <w:r>
        <w:rPr>
          <w:lang w:val="en-US"/>
        </w:rPr>
        <w:t>7(J)</w:t>
      </w:r>
      <w:r w:rsidRPr="00656311">
        <w:rPr>
          <w:lang w:val="en-US"/>
        </w:rPr>
        <w:tab/>
      </w:r>
      <w:r w:rsidRPr="00CE594A">
        <w:rPr>
          <w:lang w:val="en-US"/>
        </w:rPr>
        <w:t xml:space="preserve">Issue </w:t>
      </w:r>
      <w:r>
        <w:rPr>
          <w:lang w:val="en-US"/>
        </w:rPr>
        <w:t>J</w:t>
      </w:r>
      <w:r w:rsidRPr="00CE594A">
        <w:rPr>
          <w:lang w:val="en-US"/>
        </w:rPr>
        <w:t xml:space="preserve"> - </w:t>
      </w:r>
      <w:r>
        <w:t>Pfd</w:t>
      </w:r>
      <w:r w:rsidRPr="006562AE">
        <w:rPr>
          <w:lang w:val="en-US"/>
        </w:rPr>
        <w:t xml:space="preserve"> limit in </w:t>
      </w:r>
      <w:r>
        <w:rPr>
          <w:lang w:val="en-US"/>
        </w:rPr>
        <w:t xml:space="preserve">Section 1, Annex 1 of </w:t>
      </w:r>
      <w:r w:rsidRPr="006562AE">
        <w:rPr>
          <w:lang w:val="en-US"/>
        </w:rPr>
        <w:t>RR Appendix</w:t>
      </w:r>
      <w:r>
        <w:rPr>
          <w:lang w:val="en-US"/>
        </w:rPr>
        <w:t xml:space="preserve"> </w:t>
      </w:r>
      <w:r w:rsidRPr="008F5E94">
        <w:rPr>
          <w:b/>
          <w:bCs/>
          <w:lang w:val="en-US"/>
        </w:rPr>
        <w:t>30</w:t>
      </w:r>
    </w:p>
    <w:p w14:paraId="2D8F5D5F" w14:textId="71ABC0E6" w:rsidR="00241FA2" w:rsidRPr="0051512E" w:rsidRDefault="00171790" w:rsidP="00171790">
      <w:pPr>
        <w:pStyle w:val="Headingb"/>
        <w:rPr>
          <w:lang w:val="en-GB"/>
        </w:rPr>
      </w:pPr>
      <w:r w:rsidRPr="0051512E">
        <w:rPr>
          <w:lang w:val="en-GB"/>
        </w:rPr>
        <w:t>Introduction</w:t>
      </w:r>
    </w:p>
    <w:p w14:paraId="0E3F3FED" w14:textId="2E2EF1A9" w:rsidR="00171790" w:rsidRPr="00F65BF9" w:rsidRDefault="00171790" w:rsidP="0067522A">
      <w:pPr>
        <w:rPr>
          <w:lang w:val="en-US"/>
        </w:rPr>
      </w:pPr>
      <w:r w:rsidRPr="00B82D66">
        <w:rPr>
          <w:lang w:val="en-US"/>
        </w:rPr>
        <w:t>The RCC Administrations do not support modification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of</w:t>
      </w:r>
      <w:r w:rsidRPr="00F65BF9">
        <w:rPr>
          <w:lang w:val="en-US"/>
        </w:rPr>
        <w:t xml:space="preserve"> </w:t>
      </w:r>
      <w:r>
        <w:rPr>
          <w:lang w:val="en-US"/>
        </w:rPr>
        <w:t>a hard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pfd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limit</w:t>
      </w:r>
      <w:r w:rsidRPr="00F65BF9">
        <w:rPr>
          <w:lang w:val="en-US"/>
        </w:rPr>
        <w:t xml:space="preserve"> </w:t>
      </w:r>
      <w:r>
        <w:rPr>
          <w:lang w:val="en-US"/>
        </w:rPr>
        <w:t>(</w:t>
      </w:r>
      <w:r w:rsidRPr="00F65BF9">
        <w:rPr>
          <w:lang w:val="en-US"/>
        </w:rPr>
        <w:t>−103.6</w:t>
      </w:r>
      <w:r w:rsidRPr="00B82D66">
        <w:rPr>
          <w:lang w:val="en-US"/>
        </w:rPr>
        <w:t> dB</w:t>
      </w:r>
      <w:r w:rsidRPr="00F65BF9">
        <w:rPr>
          <w:lang w:val="en-US"/>
        </w:rPr>
        <w:t>(</w:t>
      </w:r>
      <w:r w:rsidRPr="00B82D66">
        <w:rPr>
          <w:lang w:val="en-US"/>
        </w:rPr>
        <w:t>W</w:t>
      </w:r>
      <w:r w:rsidRPr="00F65BF9">
        <w:rPr>
          <w:lang w:val="en-US"/>
        </w:rPr>
        <w:t>/(</w:t>
      </w:r>
      <w:r w:rsidRPr="00B82D66">
        <w:rPr>
          <w:lang w:val="en-US"/>
        </w:rPr>
        <w:t>m</w:t>
      </w:r>
      <w:r w:rsidRPr="005A3B0F">
        <w:rPr>
          <w:vertAlign w:val="superscript"/>
          <w:lang w:val="en-US"/>
        </w:rPr>
        <w:t>2</w:t>
      </w:r>
      <w:r w:rsidRPr="00F65BF9">
        <w:rPr>
          <w:lang w:val="en-US"/>
        </w:rPr>
        <w:t>·</w:t>
      </w:r>
      <w:r w:rsidRPr="00B82D66">
        <w:rPr>
          <w:lang w:val="en-US"/>
        </w:rPr>
        <w:t> </w:t>
      </w:r>
      <w:r w:rsidRPr="00F65BF9">
        <w:rPr>
          <w:lang w:val="en-US"/>
        </w:rPr>
        <w:t>27</w:t>
      </w:r>
      <w:r w:rsidRPr="00B82D66">
        <w:rPr>
          <w:lang w:val="en-US"/>
        </w:rPr>
        <w:t> MHz</w:t>
      </w:r>
      <w:r w:rsidRPr="00F65BF9">
        <w:rPr>
          <w:lang w:val="en-US"/>
        </w:rPr>
        <w:t xml:space="preserve">), </w:t>
      </w:r>
      <w:r w:rsidRPr="00B82D66">
        <w:rPr>
          <w:lang w:val="en-US"/>
        </w:rPr>
        <w:t>identified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in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Annex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1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to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RR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Appendix</w:t>
      </w:r>
      <w:r w:rsidRPr="00F65BF9">
        <w:rPr>
          <w:lang w:val="en-US"/>
        </w:rPr>
        <w:t xml:space="preserve"> </w:t>
      </w:r>
      <w:r w:rsidRPr="006E7F61">
        <w:rPr>
          <w:b/>
          <w:bCs/>
          <w:lang w:val="en-US"/>
          <w:rPrChange w:id="7" w:author="Arnould, Carine" w:date="2019-10-10T14:23:00Z">
            <w:rPr>
              <w:b/>
              <w:bCs/>
              <w:highlight w:val="cyan"/>
              <w:lang w:val="en-US"/>
            </w:rPr>
          </w:rPrChange>
        </w:rPr>
        <w:t>30</w:t>
      </w:r>
      <w:r w:rsidRPr="00F65BF9">
        <w:rPr>
          <w:lang w:val="en-US"/>
        </w:rPr>
        <w:t xml:space="preserve">, </w:t>
      </w:r>
      <w:r w:rsidRPr="00B82D66">
        <w:rPr>
          <w:lang w:val="en-US"/>
        </w:rPr>
        <w:t>and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consider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that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to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ensure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protection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of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assignments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to</w:t>
      </w:r>
      <w:r w:rsidRPr="00F65BF9">
        <w:rPr>
          <w:lang w:val="en-US"/>
        </w:rPr>
        <w:t xml:space="preserve"> systems in the </w:t>
      </w:r>
      <w:r w:rsidRPr="00B82D66">
        <w:rPr>
          <w:lang w:val="en-US"/>
        </w:rPr>
        <w:t>broadcasting</w:t>
      </w:r>
      <w:r w:rsidRPr="00F65BF9">
        <w:rPr>
          <w:lang w:val="en-US"/>
        </w:rPr>
        <w:t>-</w:t>
      </w:r>
      <w:r w:rsidRPr="00B82D66">
        <w:rPr>
          <w:lang w:val="en-US"/>
        </w:rPr>
        <w:t>satellite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service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 xml:space="preserve">from interference caused by </w:t>
      </w:r>
      <w:r w:rsidRPr="00F65BF9">
        <w:rPr>
          <w:lang w:val="en-US"/>
        </w:rPr>
        <w:t xml:space="preserve">networks in </w:t>
      </w:r>
      <w:r w:rsidRPr="00B82D66">
        <w:rPr>
          <w:lang w:val="en-US"/>
        </w:rPr>
        <w:t>the</w:t>
      </w:r>
      <w:r w:rsidRPr="00F65BF9">
        <w:rPr>
          <w:lang w:val="en-US"/>
        </w:rPr>
        <w:t xml:space="preserve"> broadcasting-satellite service </w:t>
      </w:r>
      <w:r w:rsidRPr="00B82D66">
        <w:rPr>
          <w:lang w:val="en-US"/>
        </w:rPr>
        <w:t>located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outside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of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the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coordination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arc</w:t>
      </w:r>
      <w:r w:rsidRPr="00F65BF9">
        <w:rPr>
          <w:lang w:val="en-US"/>
        </w:rPr>
        <w:t xml:space="preserve">, </w:t>
      </w:r>
      <w:r w:rsidRPr="00B82D66">
        <w:rPr>
          <w:lang w:val="en-US"/>
        </w:rPr>
        <w:t>hard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pfd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limit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identified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in</w:t>
      </w:r>
      <w:r w:rsidRPr="00F65BF9">
        <w:rPr>
          <w:lang w:val="en-US"/>
        </w:rPr>
        <w:t xml:space="preserve"> </w:t>
      </w:r>
      <w:r>
        <w:rPr>
          <w:lang w:val="en-US"/>
        </w:rPr>
        <w:t>S</w:t>
      </w:r>
      <w:r w:rsidRPr="00F65BF9">
        <w:rPr>
          <w:lang w:val="en-US"/>
        </w:rPr>
        <w:t xml:space="preserve">ection 1, </w:t>
      </w:r>
      <w:r w:rsidRPr="00B82D66">
        <w:rPr>
          <w:lang w:val="en-US"/>
        </w:rPr>
        <w:t>Annex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1</w:t>
      </w:r>
      <w:r w:rsidRPr="00F65BF9">
        <w:rPr>
          <w:lang w:val="en-US"/>
        </w:rPr>
        <w:t xml:space="preserve"> to </w:t>
      </w:r>
      <w:r w:rsidRPr="00B82D66">
        <w:rPr>
          <w:lang w:val="en-US"/>
        </w:rPr>
        <w:t>RR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Appendix</w:t>
      </w:r>
      <w:r w:rsidRPr="00F65BF9">
        <w:rPr>
          <w:lang w:val="en-US"/>
        </w:rPr>
        <w:t xml:space="preserve"> </w:t>
      </w:r>
      <w:r w:rsidRPr="000F5C9E">
        <w:rPr>
          <w:b/>
          <w:bCs/>
          <w:lang w:val="en-US"/>
        </w:rPr>
        <w:t>30</w:t>
      </w:r>
      <w:r w:rsidRPr="00B82D66">
        <w:rPr>
          <w:lang w:val="en-US"/>
        </w:rPr>
        <w:t xml:space="preserve"> shall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be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observed</w:t>
      </w:r>
      <w:r w:rsidRPr="00F65BF9">
        <w:rPr>
          <w:lang w:val="en-US"/>
        </w:rPr>
        <w:t xml:space="preserve">, </w:t>
      </w:r>
      <w:r w:rsidRPr="00B82D66">
        <w:rPr>
          <w:lang w:val="en-US"/>
        </w:rPr>
        <w:t>even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if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a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test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point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is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located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in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the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territory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of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a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notifying</w:t>
      </w:r>
      <w:r w:rsidRPr="00F65BF9">
        <w:rPr>
          <w:lang w:val="en-US"/>
        </w:rPr>
        <w:t xml:space="preserve"> </w:t>
      </w:r>
      <w:r w:rsidRPr="00B82D66">
        <w:rPr>
          <w:lang w:val="en-US"/>
        </w:rPr>
        <w:t>administration</w:t>
      </w:r>
      <w:r w:rsidRPr="00F65BF9">
        <w:rPr>
          <w:lang w:val="en-US"/>
        </w:rPr>
        <w:t xml:space="preserve"> (</w:t>
      </w:r>
      <w:r w:rsidRPr="00B82D66">
        <w:rPr>
          <w:lang w:val="en-US"/>
        </w:rPr>
        <w:t>Method</w:t>
      </w:r>
      <w:r w:rsidRPr="00F65BF9">
        <w:rPr>
          <w:lang w:val="en-US"/>
        </w:rPr>
        <w:t xml:space="preserve"> J2</w:t>
      </w:r>
      <w:r w:rsidR="0067522A">
        <w:rPr>
          <w:lang w:val="en-US"/>
        </w:rPr>
        <w:t xml:space="preserve"> </w:t>
      </w:r>
      <w:r w:rsidR="0067522A" w:rsidRPr="006E7F61">
        <w:rPr>
          <w:lang w:val="en-US"/>
        </w:rPr>
        <w:t>of the CPM Report</w:t>
      </w:r>
      <w:r w:rsidRPr="00F65BF9">
        <w:rPr>
          <w:lang w:val="en-US"/>
        </w:rPr>
        <w:t>).</w:t>
      </w:r>
    </w:p>
    <w:p w14:paraId="6FFDCBDE" w14:textId="77777777" w:rsidR="00187BD9" w:rsidRPr="0051512E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51512E">
        <w:br w:type="page"/>
      </w:r>
    </w:p>
    <w:p w14:paraId="7682F2FD" w14:textId="77777777" w:rsidR="006C04ED" w:rsidRPr="00B06821" w:rsidRDefault="00171790" w:rsidP="00AE79D0">
      <w:pPr>
        <w:pStyle w:val="AppendixNo"/>
        <w:spacing w:before="0"/>
        <w:rPr>
          <w:vertAlign w:val="superscript"/>
          <w:lang w:val="en-US"/>
        </w:rPr>
      </w:pPr>
      <w:bookmarkStart w:id="8" w:name="_Toc454787466"/>
      <w:r w:rsidRPr="00B06821">
        <w:rPr>
          <w:lang w:val="en-US"/>
        </w:rPr>
        <w:lastRenderedPageBreak/>
        <w:t xml:space="preserve">APPENDIX </w:t>
      </w:r>
      <w:r w:rsidRPr="00B06821">
        <w:rPr>
          <w:rStyle w:val="href"/>
          <w:lang w:val="en-US"/>
        </w:rPr>
        <w:t>30</w:t>
      </w:r>
      <w:r w:rsidRPr="00B06821">
        <w:rPr>
          <w:lang w:val="en-US"/>
        </w:rPr>
        <w:t xml:space="preserve"> (</w:t>
      </w:r>
      <w:r w:rsidRPr="00354DCE">
        <w:t>REV</w:t>
      </w:r>
      <w:r w:rsidRPr="00B06821">
        <w:rPr>
          <w:lang w:val="en-US"/>
        </w:rPr>
        <w:t>.</w:t>
      </w:r>
      <w:r>
        <w:rPr>
          <w:lang w:val="en-US"/>
        </w:rPr>
        <w:t>WRC</w:t>
      </w:r>
      <w:r>
        <w:rPr>
          <w:lang w:val="en-US"/>
        </w:rPr>
        <w:noBreakHyphen/>
        <w:t>15</w:t>
      </w:r>
      <w:r w:rsidRPr="00B06821">
        <w:rPr>
          <w:lang w:val="en-US"/>
        </w:rPr>
        <w:t>)</w:t>
      </w:r>
      <w:r w:rsidRPr="008B2790">
        <w:rPr>
          <w:rStyle w:val="FootnoteReference"/>
        </w:rPr>
        <w:footnoteReference w:customMarkFollows="1" w:id="1"/>
        <w:t>*</w:t>
      </w:r>
      <w:bookmarkEnd w:id="8"/>
    </w:p>
    <w:p w14:paraId="18B0D11E" w14:textId="77777777" w:rsidR="006C04ED" w:rsidRDefault="00171790" w:rsidP="001F0862">
      <w:pPr>
        <w:pStyle w:val="Appendixtitle"/>
        <w:rPr>
          <w:rFonts w:ascii="Times New Roman"/>
          <w:b w:val="0"/>
          <w:bCs/>
          <w:color w:val="000000"/>
          <w:sz w:val="16"/>
        </w:rPr>
      </w:pPr>
      <w:bookmarkStart w:id="10" w:name="_Toc330560547"/>
      <w:bookmarkStart w:id="11" w:name="_Toc454787467"/>
      <w:r w:rsidRPr="00821BE4">
        <w:t>Provisions for all services and associated Plans and List</w:t>
      </w:r>
      <w:r w:rsidRPr="00144E9E">
        <w:rPr>
          <w:rStyle w:val="FootnoteReference"/>
        </w:rPr>
        <w:footnoteReference w:customMarkFollows="1" w:id="2"/>
        <w:t>1</w:t>
      </w:r>
      <w:r w:rsidRPr="00821BE4">
        <w:t xml:space="preserve"> for</w:t>
      </w:r>
      <w:r w:rsidRPr="00821BE4">
        <w:br/>
        <w:t>the broadcasting-satellite service in the frequency bands</w:t>
      </w:r>
      <w:r w:rsidRPr="00821BE4">
        <w:br/>
        <w:t>11.7-12.2 GHz (in Region 3), 11.7-12.5 GHz (in Region 1)</w:t>
      </w:r>
      <w:r w:rsidRPr="00821BE4">
        <w:br/>
        <w:t>         and 12.2-12.7 GHz (in Region 2)</w:t>
      </w:r>
      <w:r>
        <w:rPr>
          <w:b w:val="0"/>
          <w:bCs/>
          <w:color w:val="000000"/>
          <w:sz w:val="16"/>
        </w:rPr>
        <w:t>  </w:t>
      </w:r>
      <w:r w:rsidRPr="00D41CE2">
        <w:rPr>
          <w:b w:val="0"/>
          <w:bCs/>
          <w:color w:val="000000"/>
          <w:sz w:val="16"/>
        </w:rPr>
        <w:t>  </w:t>
      </w:r>
      <w:r w:rsidRPr="00D41CE2">
        <w:rPr>
          <w:rFonts w:ascii="Times New Roman"/>
          <w:b w:val="0"/>
          <w:bCs/>
          <w:color w:val="000000"/>
          <w:sz w:val="16"/>
        </w:rPr>
        <w:t>(</w:t>
      </w:r>
      <w:r>
        <w:rPr>
          <w:rFonts w:ascii="Times New Roman"/>
          <w:b w:val="0"/>
          <w:bCs/>
          <w:color w:val="000000"/>
          <w:sz w:val="16"/>
        </w:rPr>
        <w:t>WRC</w:t>
      </w:r>
      <w:r>
        <w:rPr>
          <w:rFonts w:ascii="Times New Roman"/>
          <w:b w:val="0"/>
          <w:bCs/>
          <w:color w:val="000000"/>
          <w:sz w:val="16"/>
        </w:rPr>
        <w:noBreakHyphen/>
      </w:r>
      <w:r w:rsidRPr="00D41CE2">
        <w:rPr>
          <w:rFonts w:ascii="Times New Roman"/>
          <w:b w:val="0"/>
          <w:bCs/>
          <w:color w:val="000000"/>
          <w:sz w:val="16"/>
        </w:rPr>
        <w:t>03)</w:t>
      </w:r>
      <w:bookmarkEnd w:id="10"/>
      <w:bookmarkEnd w:id="11"/>
    </w:p>
    <w:p w14:paraId="52533374" w14:textId="77777777" w:rsidR="006C04ED" w:rsidRPr="00A5034F" w:rsidRDefault="00171790" w:rsidP="004A0B33">
      <w:pPr>
        <w:pStyle w:val="AnnexNo"/>
        <w:rPr>
          <w:lang w:val="en-US"/>
        </w:rPr>
      </w:pPr>
      <w:bookmarkStart w:id="12" w:name="_Toc330560548"/>
      <w:bookmarkStart w:id="13" w:name="_Toc454787468"/>
      <w:r w:rsidRPr="00A5034F">
        <w:rPr>
          <w:lang w:val="en-US"/>
        </w:rPr>
        <w:t>ANNEX  1</w:t>
      </w:r>
      <w:r w:rsidRPr="007D43DA">
        <w:rPr>
          <w:sz w:val="16"/>
          <w:szCs w:val="16"/>
          <w:lang w:val="en-US"/>
        </w:rPr>
        <w:t>     (</w:t>
      </w:r>
      <w:r w:rsidRPr="007D43DA">
        <w:rPr>
          <w:caps w:val="0"/>
          <w:sz w:val="16"/>
          <w:szCs w:val="16"/>
          <w:lang w:val="en-US"/>
        </w:rPr>
        <w:t>REV</w:t>
      </w:r>
      <w:r w:rsidRPr="007D43DA">
        <w:rPr>
          <w:sz w:val="16"/>
          <w:szCs w:val="16"/>
          <w:lang w:val="en-US"/>
        </w:rPr>
        <w:t>.WRC</w:t>
      </w:r>
      <w:r w:rsidRPr="007D43DA">
        <w:rPr>
          <w:sz w:val="16"/>
          <w:szCs w:val="16"/>
          <w:lang w:val="en-US"/>
        </w:rPr>
        <w:noBreakHyphen/>
        <w:t>15)</w:t>
      </w:r>
      <w:bookmarkEnd w:id="12"/>
      <w:bookmarkEnd w:id="13"/>
    </w:p>
    <w:p w14:paraId="5CE9D4E3" w14:textId="77777777" w:rsidR="006C04ED" w:rsidRDefault="00171790" w:rsidP="001F0862">
      <w:pPr>
        <w:pStyle w:val="Annextitle"/>
      </w:pPr>
      <w:bookmarkStart w:id="14" w:name="_Toc330560549"/>
      <w:bookmarkStart w:id="15" w:name="_Toc454787469"/>
      <w:r>
        <w:t>Limits for determining whether a service of an administration is affected</w:t>
      </w:r>
      <w:r>
        <w:br/>
        <w:t>by a proposed modification to the Region 2 Plan or by a proposed</w:t>
      </w:r>
      <w:r>
        <w:br/>
        <w:t>new or modified assignment in the Regions 1 and 3 List</w:t>
      </w:r>
      <w:r>
        <w:br/>
        <w:t>or when it is necessary under this Appendix to seek</w:t>
      </w:r>
      <w:r>
        <w:br/>
        <w:t>the agreement of any other administration</w:t>
      </w:r>
      <w:r w:rsidRPr="00205E38">
        <w:rPr>
          <w:rStyle w:val="FootnoteReference"/>
          <w:rFonts w:asciiTheme="majorBidi" w:hAnsiTheme="majorBidi" w:cstheme="majorBidi"/>
          <w:b w:val="0"/>
          <w:bCs/>
        </w:rPr>
        <w:footnoteReference w:customMarkFollows="1" w:id="3"/>
        <w:t>25</w:t>
      </w:r>
      <w:bookmarkEnd w:id="14"/>
      <w:bookmarkEnd w:id="15"/>
    </w:p>
    <w:p w14:paraId="1198E9F3" w14:textId="77777777" w:rsidR="003A7AA9" w:rsidRDefault="00171790">
      <w:pPr>
        <w:pStyle w:val="Proposal"/>
      </w:pPr>
      <w:r>
        <w:rPr>
          <w:u w:val="single"/>
        </w:rPr>
        <w:t>NOC</w:t>
      </w:r>
      <w:r>
        <w:tab/>
        <w:t>RCC/12A19A10/1</w:t>
      </w:r>
      <w:r>
        <w:rPr>
          <w:vanish/>
          <w:color w:val="7F7F7F" w:themeColor="text1" w:themeTint="80"/>
          <w:vertAlign w:val="superscript"/>
        </w:rPr>
        <w:t>#50132</w:t>
      </w:r>
    </w:p>
    <w:p w14:paraId="3253CED1" w14:textId="77777777" w:rsidR="001962A2" w:rsidRPr="0042498F" w:rsidRDefault="00171790" w:rsidP="00130FDA">
      <w:pPr>
        <w:pStyle w:val="Heading1"/>
        <w:jc w:val="both"/>
        <w:rPr>
          <w:b w:val="0"/>
        </w:rPr>
      </w:pPr>
      <w:bookmarkStart w:id="16" w:name="_Toc524522656"/>
      <w:bookmarkStart w:id="17" w:name="_Toc524535989"/>
      <w:bookmarkStart w:id="18" w:name="_Toc524536174"/>
      <w:bookmarkStart w:id="19" w:name="_Toc2877388"/>
      <w:bookmarkStart w:id="20" w:name="_Toc2953755"/>
      <w:r w:rsidRPr="0042498F">
        <w:t>1</w:t>
      </w:r>
      <w:r w:rsidRPr="0042498F">
        <w:tab/>
        <w:t>Limits for the interference into frequency assignments in conformity with the Regions 1 and 3 Plan or with the Regions 1 and 3 List or into new or modified assignments in the Regions 1 and 3 List</w:t>
      </w:r>
      <w:bookmarkEnd w:id="16"/>
      <w:bookmarkEnd w:id="17"/>
      <w:bookmarkEnd w:id="18"/>
      <w:bookmarkEnd w:id="19"/>
      <w:bookmarkEnd w:id="20"/>
    </w:p>
    <w:p w14:paraId="543202F6" w14:textId="2D0C406B" w:rsidR="003A7AA9" w:rsidRDefault="003A7AA9">
      <w:pPr>
        <w:pStyle w:val="Reasons"/>
      </w:pPr>
    </w:p>
    <w:p w14:paraId="66C5E0A9" w14:textId="77777777" w:rsidR="00171790" w:rsidRDefault="00171790" w:rsidP="00171790"/>
    <w:p w14:paraId="50489A58" w14:textId="77777777" w:rsidR="00171790" w:rsidRDefault="00171790">
      <w:pPr>
        <w:jc w:val="center"/>
      </w:pPr>
      <w:r>
        <w:t>______________</w:t>
      </w:r>
    </w:p>
    <w:sectPr w:rsidR="00171790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8B7A0" w14:textId="77777777" w:rsidR="00A928DB" w:rsidRDefault="00A928DB">
      <w:r>
        <w:separator/>
      </w:r>
    </w:p>
  </w:endnote>
  <w:endnote w:type="continuationSeparator" w:id="0">
    <w:p w14:paraId="62C8390A" w14:textId="77777777" w:rsidR="00A928DB" w:rsidRDefault="00A9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44438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D19D483" w14:textId="1B69946C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1413F4">
      <w:rPr>
        <w:noProof/>
        <w:lang w:val="en-US"/>
      </w:rPr>
      <w:t>P:\ENG\ITU-R\CONF-R\CMR19\000\012ADD19ADD10V2E.docx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413F4">
      <w:rPr>
        <w:noProof/>
      </w:rPr>
      <w:t>12.10.19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413F4">
      <w:rPr>
        <w:noProof/>
      </w:rPr>
      <w:t>12.10.19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59A12" w14:textId="25B11F62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1413F4">
      <w:rPr>
        <w:lang w:val="en-US"/>
      </w:rPr>
      <w:t>P:\ENG\ITU-R\CONF-R\CMR19\000\012ADD19ADD10V2E.docx</w:t>
    </w:r>
    <w:r>
      <w:fldChar w:fldCharType="end"/>
    </w:r>
    <w:r w:rsidR="00171790">
      <w:t xml:space="preserve"> (461808)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6E0F3" w14:textId="0224B961" w:rsidR="00E45D05" w:rsidRPr="00171790" w:rsidRDefault="00D631E7" w:rsidP="00171790">
    <w:pPr>
      <w:pStyle w:val="Footer"/>
    </w:pPr>
    <w:fldSimple w:instr=" FILENAME  \p  \* MERGEFORMAT ">
      <w:r w:rsidR="001413F4">
        <w:t>P:\ENG\ITU-R\CONF-R\CMR19\000\012ADD19ADD10V2E.docx</w:t>
      </w:r>
    </w:fldSimple>
    <w:r w:rsidR="00171790">
      <w:t xml:space="preserve"> (461808)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4CA63" w14:textId="77777777" w:rsidR="00A928DB" w:rsidRDefault="00A928DB">
      <w:r>
        <w:rPr>
          <w:b/>
        </w:rPr>
        <w:t>_______________</w:t>
      </w:r>
    </w:p>
  </w:footnote>
  <w:footnote w:type="continuationSeparator" w:id="0">
    <w:p w14:paraId="10ADD001" w14:textId="77777777" w:rsidR="00A928DB" w:rsidRDefault="00A928DB">
      <w:r>
        <w:continuationSeparator/>
      </w:r>
    </w:p>
  </w:footnote>
  <w:footnote w:id="1">
    <w:p w14:paraId="35923CF6" w14:textId="77777777" w:rsidR="00915A96" w:rsidRPr="001B614A" w:rsidRDefault="00171790" w:rsidP="001F0862">
      <w:pPr>
        <w:pStyle w:val="FootnoteText"/>
        <w:rPr>
          <w:rFonts w:eastAsiaTheme="minorHAnsi"/>
        </w:rPr>
      </w:pPr>
      <w:r w:rsidRPr="0050254A">
        <w:rPr>
          <w:rStyle w:val="FootnoteReference"/>
          <w:rFonts w:eastAsiaTheme="minorHAnsi"/>
        </w:rPr>
        <w:t>*</w:t>
      </w:r>
      <w:r w:rsidRPr="001B614A">
        <w:rPr>
          <w:rStyle w:val="FootnoteTextChar"/>
          <w:rFonts w:eastAsiaTheme="minorHAnsi"/>
        </w:rPr>
        <w:tab/>
        <w:t>The expression “frequency assignment to a space station”, wherever it appears in this Appendix, shall be unde</w:t>
      </w:r>
      <w:bookmarkStart w:id="9" w:name="_GoBack"/>
      <w:bookmarkEnd w:id="9"/>
      <w:r w:rsidRPr="001B614A">
        <w:rPr>
          <w:rStyle w:val="FootnoteTextChar"/>
          <w:rFonts w:eastAsiaTheme="minorHAnsi"/>
        </w:rPr>
        <w:t>rstood to refer to a frequency assignment associated with a given orbital position. See also Annex 7 for the orbital limitations</w:t>
      </w:r>
      <w:r>
        <w:rPr>
          <w:rStyle w:val="FootnoteTextChar"/>
          <w:rFonts w:eastAsiaTheme="minorHAnsi"/>
        </w:rPr>
        <w:t>.</w:t>
      </w:r>
      <w:r w:rsidRPr="00672737">
        <w:rPr>
          <w:rStyle w:val="FootnoteTextChar"/>
          <w:rFonts w:eastAsiaTheme="minorHAnsi"/>
          <w:sz w:val="16"/>
        </w:rPr>
        <w:t>    </w:t>
      </w:r>
      <w:r w:rsidRPr="00C53CE6">
        <w:rPr>
          <w:rStyle w:val="FootnoteTextChar"/>
          <w:rFonts w:eastAsiaTheme="minorHAnsi"/>
          <w:sz w:val="16"/>
          <w:szCs w:val="16"/>
        </w:rPr>
        <w:t> (</w:t>
      </w:r>
      <w:r w:rsidRPr="00C53CE6">
        <w:rPr>
          <w:rFonts w:eastAsiaTheme="minorHAnsi"/>
          <w:sz w:val="16"/>
          <w:szCs w:val="16"/>
        </w:rPr>
        <w:t>WRC</w:t>
      </w:r>
      <w:r w:rsidRPr="00C53CE6">
        <w:rPr>
          <w:rFonts w:eastAsiaTheme="minorHAnsi"/>
          <w:sz w:val="16"/>
          <w:szCs w:val="16"/>
        </w:rPr>
        <w:noBreakHyphen/>
        <w:t>2000)</w:t>
      </w:r>
    </w:p>
  </w:footnote>
  <w:footnote w:id="2">
    <w:p w14:paraId="46398A53" w14:textId="77777777" w:rsidR="00915A96" w:rsidRPr="001B614A" w:rsidRDefault="00171790" w:rsidP="001F0862">
      <w:pPr>
        <w:pStyle w:val="FootnoteText"/>
        <w:rPr>
          <w:rStyle w:val="FootnoteTextChar"/>
          <w:rFonts w:eastAsiaTheme="minorHAnsi"/>
        </w:rPr>
      </w:pPr>
      <w:r w:rsidRPr="0050254A">
        <w:rPr>
          <w:rStyle w:val="FootnoteReference"/>
          <w:rFonts w:eastAsiaTheme="minorHAnsi"/>
        </w:rPr>
        <w:t>1</w:t>
      </w:r>
      <w:r w:rsidRPr="001B614A">
        <w:rPr>
          <w:rStyle w:val="FootnoteTextChar"/>
          <w:rFonts w:eastAsiaTheme="minorHAnsi"/>
        </w:rPr>
        <w:tab/>
        <w:t>The Regions 1 and 3 List of additional uses is annexed to the Master Intern</w:t>
      </w:r>
      <w:r>
        <w:rPr>
          <w:rStyle w:val="FootnoteTextChar"/>
          <w:rFonts w:eastAsiaTheme="minorHAnsi"/>
        </w:rPr>
        <w:t>ational Frequency Register (see </w:t>
      </w:r>
      <w:r w:rsidRPr="001B614A">
        <w:rPr>
          <w:rStyle w:val="FootnoteTextChar"/>
          <w:rFonts w:eastAsiaTheme="minorHAnsi"/>
        </w:rPr>
        <w:t>Resolution </w:t>
      </w:r>
      <w:r w:rsidRPr="00BD661A">
        <w:rPr>
          <w:rStyle w:val="FootnoteTextChar"/>
          <w:rFonts w:eastAsiaTheme="minorHAnsi"/>
          <w:b/>
          <w:bCs/>
        </w:rPr>
        <w:t>542 (</w:t>
      </w:r>
      <w:r>
        <w:rPr>
          <w:rStyle w:val="FootnoteTextChar"/>
          <w:rFonts w:eastAsiaTheme="minorHAnsi"/>
          <w:b/>
          <w:bCs/>
        </w:rPr>
        <w:t>WRC</w:t>
      </w:r>
      <w:r>
        <w:rPr>
          <w:rStyle w:val="FootnoteTextChar"/>
          <w:rFonts w:eastAsiaTheme="minorHAnsi"/>
          <w:b/>
          <w:bCs/>
        </w:rPr>
        <w:noBreakHyphen/>
      </w:r>
      <w:r w:rsidRPr="00BD661A">
        <w:rPr>
          <w:rStyle w:val="FootnoteTextChar"/>
          <w:rFonts w:eastAsiaTheme="minorHAnsi"/>
          <w:b/>
          <w:bCs/>
        </w:rPr>
        <w:t>2000)</w:t>
      </w:r>
      <w:r w:rsidRPr="00787F7E">
        <w:rPr>
          <w:rStyle w:val="FootnoteReference"/>
          <w:rFonts w:eastAsiaTheme="minorHAnsi"/>
        </w:rPr>
        <w:t>**</w:t>
      </w:r>
      <w:r w:rsidRPr="001B614A">
        <w:rPr>
          <w:rStyle w:val="FootnoteTextChar"/>
          <w:rFonts w:eastAsiaTheme="minorHAnsi"/>
        </w:rPr>
        <w:t>).</w:t>
      </w:r>
      <w:r w:rsidRPr="00672737">
        <w:rPr>
          <w:rFonts w:eastAsiaTheme="minorHAnsi"/>
          <w:sz w:val="16"/>
        </w:rPr>
        <w:t>     (</w:t>
      </w:r>
      <w:r w:rsidRPr="00C53CE6">
        <w:rPr>
          <w:rFonts w:eastAsiaTheme="minorHAnsi"/>
          <w:sz w:val="16"/>
          <w:szCs w:val="16"/>
        </w:rPr>
        <w:t>WRC</w:t>
      </w:r>
      <w:r w:rsidRPr="00C53CE6">
        <w:rPr>
          <w:rFonts w:eastAsiaTheme="minorHAnsi"/>
          <w:sz w:val="16"/>
          <w:szCs w:val="16"/>
        </w:rPr>
        <w:noBreakHyphen/>
        <w:t>03)</w:t>
      </w:r>
    </w:p>
    <w:p w14:paraId="287C6DA4" w14:textId="77777777" w:rsidR="00915A96" w:rsidRPr="005B42BE" w:rsidRDefault="00171790" w:rsidP="00656F1C">
      <w:pPr>
        <w:pStyle w:val="FootnoteText"/>
        <w:tabs>
          <w:tab w:val="left" w:pos="567"/>
        </w:tabs>
      </w:pPr>
      <w:r>
        <w:tab/>
      </w:r>
      <w:r w:rsidRPr="0050254A">
        <w:rPr>
          <w:rStyle w:val="FootnoteReference"/>
        </w:rPr>
        <w:t>**</w:t>
      </w:r>
      <w:r w:rsidRPr="00023556">
        <w:rPr>
          <w:rStyle w:val="FootnoteTextChar"/>
        </w:rPr>
        <w:tab/>
      </w:r>
      <w:r w:rsidRPr="00023556">
        <w:rPr>
          <w:rStyle w:val="FootnoteTextChar"/>
          <w:i/>
          <w:iCs/>
        </w:rPr>
        <w:t>Note by the Secretariat</w:t>
      </w:r>
      <w:r w:rsidRPr="00EE4DDE">
        <w:rPr>
          <w:rStyle w:val="FootnoteTextChar"/>
          <w:iCs/>
        </w:rPr>
        <w:t>:</w:t>
      </w:r>
      <w:r w:rsidRPr="00023556">
        <w:rPr>
          <w:rStyle w:val="FootnoteTextChar"/>
        </w:rPr>
        <w:t xml:space="preserve"> This Resolution was abrogated by </w:t>
      </w:r>
      <w:r>
        <w:rPr>
          <w:rStyle w:val="FootnoteTextChar"/>
        </w:rPr>
        <w:t>WRC</w:t>
      </w:r>
      <w:r>
        <w:rPr>
          <w:rStyle w:val="FootnoteTextChar"/>
        </w:rPr>
        <w:noBreakHyphen/>
      </w:r>
      <w:r w:rsidRPr="00023556">
        <w:rPr>
          <w:rStyle w:val="FootnoteTextChar"/>
        </w:rPr>
        <w:t>03.</w:t>
      </w:r>
    </w:p>
    <w:p w14:paraId="4886FE1A" w14:textId="77777777" w:rsidR="00915A96" w:rsidRPr="00023556" w:rsidRDefault="00171790" w:rsidP="001F0862">
      <w:pPr>
        <w:pStyle w:val="FootnoteText"/>
        <w:rPr>
          <w:i/>
          <w:iCs/>
        </w:rPr>
      </w:pPr>
      <w:r w:rsidRPr="00023556">
        <w:rPr>
          <w:i/>
          <w:iCs/>
        </w:rPr>
        <w:t>Note by the Secretariat</w:t>
      </w:r>
      <w:r w:rsidRPr="00444190">
        <w:rPr>
          <w:iCs/>
        </w:rPr>
        <w:t>: Reference to an Article with the number in roman is referring to an Article in this Appendix.</w:t>
      </w:r>
    </w:p>
  </w:footnote>
  <w:footnote w:id="3">
    <w:p w14:paraId="7DCEF6E5" w14:textId="77777777" w:rsidR="00915A96" w:rsidRDefault="00171790" w:rsidP="001F0862">
      <w:pPr>
        <w:pStyle w:val="FootnoteText"/>
        <w:rPr>
          <w:color w:val="000000"/>
        </w:rPr>
      </w:pPr>
      <w:r w:rsidRPr="00F63E23">
        <w:rPr>
          <w:rStyle w:val="FootnoteReference"/>
        </w:rPr>
        <w:t>25</w:t>
      </w:r>
      <w:r>
        <w:t xml:space="preserve"> </w:t>
      </w:r>
      <w:r>
        <w:tab/>
      </w:r>
      <w:r w:rsidRPr="00F63E23">
        <w:rPr>
          <w:rStyle w:val="FootnoteTextChar"/>
        </w:rPr>
        <w:t>With respect to this Annex, except for Section 2, the limits relate to the power flux</w:t>
      </w:r>
      <w:r w:rsidRPr="00F63E23">
        <w:rPr>
          <w:rStyle w:val="FootnoteTextChar"/>
        </w:rPr>
        <w:noBreakHyphen/>
        <w:t>density which would be obtained assuming free-space propagation conditions.</w:t>
      </w:r>
    </w:p>
    <w:p w14:paraId="07E2AC07" w14:textId="77777777" w:rsidR="00915A96" w:rsidRDefault="00171790" w:rsidP="001F0862">
      <w:pPr>
        <w:pStyle w:val="FootnoteText"/>
      </w:pPr>
      <w:r>
        <w:tab/>
        <w:t>With respect to Section 2 of this Annex, the limit specified relates to the overall equivalent protection margin calculated in accordance with § 2.2.4 of Annex 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E2693" w14:textId="6CB053CD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3159A1">
      <w:rPr>
        <w:noProof/>
      </w:rPr>
      <w:t>2</w:t>
    </w:r>
    <w:r>
      <w:fldChar w:fldCharType="end"/>
    </w:r>
  </w:p>
  <w:p w14:paraId="11AA9C4A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21" w:name="OLE_LINK1"/>
    <w:bookmarkStart w:id="22" w:name="OLE_LINK2"/>
    <w:bookmarkStart w:id="23" w:name="OLE_LINK3"/>
    <w:r w:rsidR="00EB55C6">
      <w:t>12(Add.19)(Add.10)</w:t>
    </w:r>
    <w:bookmarkEnd w:id="21"/>
    <w:bookmarkEnd w:id="22"/>
    <w:bookmarkEnd w:id="23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rnould, Carine">
    <w15:presenceInfo w15:providerId="AD" w15:userId="S-1-5-21-8740799-900759487-1415713722-39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5C9E"/>
    <w:rsid w:val="000F73FF"/>
    <w:rsid w:val="00114CF7"/>
    <w:rsid w:val="00116C7A"/>
    <w:rsid w:val="00123B68"/>
    <w:rsid w:val="00126F2E"/>
    <w:rsid w:val="001413F4"/>
    <w:rsid w:val="00146F6F"/>
    <w:rsid w:val="00171790"/>
    <w:rsid w:val="00187BD9"/>
    <w:rsid w:val="00190B55"/>
    <w:rsid w:val="001C3B5F"/>
    <w:rsid w:val="001D058F"/>
    <w:rsid w:val="001F0CBB"/>
    <w:rsid w:val="002009EA"/>
    <w:rsid w:val="00202756"/>
    <w:rsid w:val="00202CA0"/>
    <w:rsid w:val="00216B6D"/>
    <w:rsid w:val="00241FA2"/>
    <w:rsid w:val="00271316"/>
    <w:rsid w:val="002B349C"/>
    <w:rsid w:val="002D58BE"/>
    <w:rsid w:val="002F4747"/>
    <w:rsid w:val="00302605"/>
    <w:rsid w:val="003159A1"/>
    <w:rsid w:val="00361B37"/>
    <w:rsid w:val="00377BD3"/>
    <w:rsid w:val="00384088"/>
    <w:rsid w:val="003852CE"/>
    <w:rsid w:val="0039169B"/>
    <w:rsid w:val="003A7AA9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0EB0"/>
    <w:rsid w:val="004A26C4"/>
    <w:rsid w:val="004B13CB"/>
    <w:rsid w:val="004D26EA"/>
    <w:rsid w:val="004D2BFB"/>
    <w:rsid w:val="004D5D5C"/>
    <w:rsid w:val="004F3DC0"/>
    <w:rsid w:val="0050139F"/>
    <w:rsid w:val="0051512E"/>
    <w:rsid w:val="0055140B"/>
    <w:rsid w:val="005964AB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7522A"/>
    <w:rsid w:val="00685313"/>
    <w:rsid w:val="00692833"/>
    <w:rsid w:val="006A6E9B"/>
    <w:rsid w:val="006B7C2A"/>
    <w:rsid w:val="006C23DA"/>
    <w:rsid w:val="006E3D45"/>
    <w:rsid w:val="006E7F61"/>
    <w:rsid w:val="0070607A"/>
    <w:rsid w:val="007149F9"/>
    <w:rsid w:val="00733A30"/>
    <w:rsid w:val="00745AEE"/>
    <w:rsid w:val="00750F10"/>
    <w:rsid w:val="007742CA"/>
    <w:rsid w:val="00775872"/>
    <w:rsid w:val="00790D70"/>
    <w:rsid w:val="007A6F1F"/>
    <w:rsid w:val="007C507D"/>
    <w:rsid w:val="007D5320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A07BE"/>
    <w:rsid w:val="009B1EA1"/>
    <w:rsid w:val="009B3763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28DB"/>
    <w:rsid w:val="00A93B85"/>
    <w:rsid w:val="00AA0B18"/>
    <w:rsid w:val="00AA3C65"/>
    <w:rsid w:val="00AA666F"/>
    <w:rsid w:val="00AA6BD8"/>
    <w:rsid w:val="00AD7914"/>
    <w:rsid w:val="00AE514B"/>
    <w:rsid w:val="00AF07FF"/>
    <w:rsid w:val="00B40888"/>
    <w:rsid w:val="00B639E9"/>
    <w:rsid w:val="00B817CD"/>
    <w:rsid w:val="00B81A7D"/>
    <w:rsid w:val="00B94AD0"/>
    <w:rsid w:val="00BB3A95"/>
    <w:rsid w:val="00BC662E"/>
    <w:rsid w:val="00BD6CCE"/>
    <w:rsid w:val="00C0018F"/>
    <w:rsid w:val="00C16A5A"/>
    <w:rsid w:val="00C20466"/>
    <w:rsid w:val="00C214ED"/>
    <w:rsid w:val="00C234E6"/>
    <w:rsid w:val="00C324A8"/>
    <w:rsid w:val="00C410AD"/>
    <w:rsid w:val="00C53691"/>
    <w:rsid w:val="00C54517"/>
    <w:rsid w:val="00C56F70"/>
    <w:rsid w:val="00C57B91"/>
    <w:rsid w:val="00C64CD8"/>
    <w:rsid w:val="00C82695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631E7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EF71B6"/>
    <w:rsid w:val="00F02766"/>
    <w:rsid w:val="00F05BD4"/>
    <w:rsid w:val="00F06473"/>
    <w:rsid w:val="00F464A1"/>
    <w:rsid w:val="00F6155B"/>
    <w:rsid w:val="00F65C19"/>
    <w:rsid w:val="00FC5AE4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B034B3B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F96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R16-WRC19-C-0012!A19-A10!MSW-E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4AF4123-18FD-43BF-BCB7-6DDCD04685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D04C3E-FB85-47FF-ADDC-DF64E6C2038E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32a1a8c5-2265-4ebc-b7a0-2071e2c5c9bb"/>
    <ds:schemaRef ds:uri="http://schemas.microsoft.com/office/infopath/2007/PartnerControls"/>
    <ds:schemaRef ds:uri="996b2e75-67fd-4955-a3b0-5ab9934cb50b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8D5CC8F-2BC2-4CF4-B8F8-B4889512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1867</Characters>
  <Application>Microsoft Office Word</Application>
  <DocSecurity>0</DocSecurity>
  <Lines>52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R16-WRC19-C-0012!A19-A10!MSW-E</vt:lpstr>
    </vt:vector>
  </TitlesOfParts>
  <Manager>General Secretariat - Pool</Manager>
  <Company>International Telecommunication Union (ITU)</Company>
  <LinksUpToDate>false</LinksUpToDate>
  <CharactersWithSpaces>2207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R16-WRC19-C-0012!A19-A10!MSW-E</dc:title>
  <dc:subject>World Radiocommunication Conference - 2019</dc:subject>
  <dc:creator>Documents Proposals Manager (DPM)</dc:creator>
  <cp:keywords>DPM_v2019.10.3.1_prod</cp:keywords>
  <dc:description>Uploaded on 2015.07.06</dc:description>
  <cp:lastModifiedBy>Scott, Sarah</cp:lastModifiedBy>
  <cp:revision>4</cp:revision>
  <cp:lastPrinted>2019-10-12T16:22:00Z</cp:lastPrinted>
  <dcterms:created xsi:type="dcterms:W3CDTF">2019-10-12T16:03:00Z</dcterms:created>
  <dcterms:modified xsi:type="dcterms:W3CDTF">2019-10-12T16:23:00Z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