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BC4E98" w:rsidTr="0050008E">
        <w:trPr>
          <w:cantSplit/>
        </w:trPr>
        <w:tc>
          <w:tcPr>
            <w:tcW w:w="6911" w:type="dxa"/>
          </w:tcPr>
          <w:p w:rsidR="00BB1D82" w:rsidRPr="00BC4E98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BC4E98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BC4E98">
              <w:rPr>
                <w:rFonts w:ascii="Verdana" w:hAnsi="Verdana"/>
                <w:b/>
                <w:bCs/>
                <w:sz w:val="20"/>
              </w:rPr>
              <w:t>9</w:t>
            </w:r>
            <w:proofErr w:type="gramStart"/>
            <w:r w:rsidRPr="00BC4E98">
              <w:rPr>
                <w:rFonts w:ascii="Verdana" w:hAnsi="Verdana"/>
                <w:b/>
                <w:bCs/>
                <w:sz w:val="20"/>
              </w:rPr>
              <w:t>)</w:t>
            </w:r>
            <w:proofErr w:type="gramEnd"/>
            <w:r w:rsidRPr="00BC4E98">
              <w:rPr>
                <w:rFonts w:ascii="Verdana" w:hAnsi="Verdana"/>
                <w:b/>
                <w:bCs/>
                <w:sz w:val="20"/>
              </w:rPr>
              <w:br/>
            </w:r>
            <w:proofErr w:type="spellStart"/>
            <w:r w:rsidR="00063A1F" w:rsidRPr="00BC4E98">
              <w:rPr>
                <w:rFonts w:ascii="Verdana" w:hAnsi="Verdana"/>
                <w:b/>
                <w:bCs/>
                <w:sz w:val="18"/>
                <w:szCs w:val="18"/>
              </w:rPr>
              <w:t>Charm</w:t>
            </w:r>
            <w:proofErr w:type="spellEnd"/>
            <w:r w:rsidR="00063A1F" w:rsidRPr="00BC4E98">
              <w:rPr>
                <w:rFonts w:ascii="Verdana" w:hAnsi="Verdana"/>
                <w:b/>
                <w:bCs/>
                <w:sz w:val="18"/>
                <w:szCs w:val="18"/>
              </w:rPr>
              <w:t xml:space="preserve"> el-Cheikh, </w:t>
            </w:r>
            <w:r w:rsidR="00081366" w:rsidRPr="00BC4E98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BC4E98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BC4E98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BC4E9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BC4E98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BC4E98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BC4E98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BC4E9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BC4E98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BC4E98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BC4E98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BC4E98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BB1D82" w:rsidRPr="00BC4E98" w:rsidRDefault="000A55AE" w:rsidP="002C28A4">
            <w:pPr>
              <w:spacing w:before="0" w:line="240" w:lineRule="atLeast"/>
              <w:jc w:val="right"/>
            </w:pPr>
            <w:r w:rsidRPr="00BC4E98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BC4E98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BC4E98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BC4E98" w:rsidRDefault="00BB1D82" w:rsidP="00BB1D8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BB1D82" w:rsidRPr="00BC4E98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BC4E98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BC4E98" w:rsidRDefault="00BB1D82" w:rsidP="00BB1D82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BB1D82" w:rsidRPr="00BC4E98" w:rsidTr="00BB1D82">
        <w:trPr>
          <w:cantSplit/>
        </w:trPr>
        <w:tc>
          <w:tcPr>
            <w:tcW w:w="6911" w:type="dxa"/>
          </w:tcPr>
          <w:p w:rsidR="00BB1D82" w:rsidRPr="00BC4E98" w:rsidRDefault="006D4724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C4E98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:rsidR="00BB1D82" w:rsidRPr="00BC4E98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BC4E98">
              <w:rPr>
                <w:rFonts w:ascii="Verdana" w:hAnsi="Verdana"/>
                <w:b/>
                <w:sz w:val="20"/>
              </w:rPr>
              <w:t>Addendum 15 au</w:t>
            </w:r>
            <w:r w:rsidRPr="00BC4E98">
              <w:rPr>
                <w:rFonts w:ascii="Verdana" w:hAnsi="Verdana"/>
                <w:b/>
                <w:sz w:val="20"/>
              </w:rPr>
              <w:br/>
              <w:t>Document 12</w:t>
            </w:r>
            <w:r w:rsidR="00BB1D82" w:rsidRPr="00BC4E98">
              <w:rPr>
                <w:rFonts w:ascii="Verdana" w:hAnsi="Verdana"/>
                <w:b/>
                <w:sz w:val="20"/>
              </w:rPr>
              <w:t>-</w:t>
            </w:r>
            <w:r w:rsidRPr="00BC4E98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BC4E98" w:rsidTr="00BB1D82">
        <w:trPr>
          <w:cantSplit/>
        </w:trPr>
        <w:tc>
          <w:tcPr>
            <w:tcW w:w="6911" w:type="dxa"/>
          </w:tcPr>
          <w:p w:rsidR="00690C7B" w:rsidRPr="00BC4E98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690C7B" w:rsidRPr="00BC4E98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C4E98">
              <w:rPr>
                <w:rFonts w:ascii="Verdana" w:hAnsi="Verdana"/>
                <w:b/>
                <w:sz w:val="20"/>
              </w:rPr>
              <w:t>21 juin 2019</w:t>
            </w:r>
          </w:p>
        </w:tc>
      </w:tr>
      <w:tr w:rsidR="00690C7B" w:rsidRPr="00BC4E98" w:rsidTr="00BB1D82">
        <w:trPr>
          <w:cantSplit/>
        </w:trPr>
        <w:tc>
          <w:tcPr>
            <w:tcW w:w="6911" w:type="dxa"/>
          </w:tcPr>
          <w:p w:rsidR="00690C7B" w:rsidRPr="00BC4E98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BC4E98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C4E98">
              <w:rPr>
                <w:rFonts w:ascii="Verdana" w:hAnsi="Verdana"/>
                <w:b/>
                <w:sz w:val="20"/>
              </w:rPr>
              <w:t>Original: russe</w:t>
            </w:r>
          </w:p>
        </w:tc>
      </w:tr>
      <w:tr w:rsidR="00690C7B" w:rsidRPr="00BC4E98" w:rsidTr="00C11970">
        <w:trPr>
          <w:cantSplit/>
        </w:trPr>
        <w:tc>
          <w:tcPr>
            <w:tcW w:w="10031" w:type="dxa"/>
            <w:gridSpan w:val="2"/>
          </w:tcPr>
          <w:p w:rsidR="00690C7B" w:rsidRPr="00BC4E98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BC4E98" w:rsidTr="0050008E">
        <w:trPr>
          <w:cantSplit/>
        </w:trPr>
        <w:tc>
          <w:tcPr>
            <w:tcW w:w="10031" w:type="dxa"/>
            <w:gridSpan w:val="2"/>
          </w:tcPr>
          <w:p w:rsidR="00690C7B" w:rsidRPr="00BC4E98" w:rsidRDefault="00690C7B" w:rsidP="00690C7B">
            <w:pPr>
              <w:pStyle w:val="Source"/>
            </w:pPr>
            <w:bookmarkStart w:id="1" w:name="dsource" w:colFirst="0" w:colLast="0"/>
            <w:r w:rsidRPr="00BC4E98">
              <w:t>Propositions communes de la Communauté régionale des communications</w:t>
            </w:r>
          </w:p>
        </w:tc>
      </w:tr>
      <w:tr w:rsidR="00690C7B" w:rsidRPr="00BC4E98" w:rsidTr="0050008E">
        <w:trPr>
          <w:cantSplit/>
        </w:trPr>
        <w:tc>
          <w:tcPr>
            <w:tcW w:w="10031" w:type="dxa"/>
            <w:gridSpan w:val="2"/>
          </w:tcPr>
          <w:p w:rsidR="00690C7B" w:rsidRPr="00BC4E98" w:rsidRDefault="00C9795C" w:rsidP="00690C7B">
            <w:pPr>
              <w:pStyle w:val="Title1"/>
            </w:pPr>
            <w:bookmarkStart w:id="2" w:name="dtitle1" w:colFirst="0" w:colLast="0"/>
            <w:bookmarkEnd w:id="1"/>
            <w:r w:rsidRPr="00BC4E98">
              <w:t>propositions pour les travaux de la conférence</w:t>
            </w:r>
          </w:p>
        </w:tc>
      </w:tr>
      <w:tr w:rsidR="00690C7B" w:rsidRPr="00BC4E98" w:rsidTr="0050008E">
        <w:trPr>
          <w:cantSplit/>
        </w:trPr>
        <w:tc>
          <w:tcPr>
            <w:tcW w:w="10031" w:type="dxa"/>
            <w:gridSpan w:val="2"/>
          </w:tcPr>
          <w:p w:rsidR="00690C7B" w:rsidRPr="00BC4E98" w:rsidRDefault="00690C7B" w:rsidP="00690C7B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BC4E98" w:rsidTr="0050008E">
        <w:trPr>
          <w:cantSplit/>
        </w:trPr>
        <w:tc>
          <w:tcPr>
            <w:tcW w:w="10031" w:type="dxa"/>
            <w:gridSpan w:val="2"/>
          </w:tcPr>
          <w:p w:rsidR="00690C7B" w:rsidRPr="00BC4E98" w:rsidRDefault="00690C7B" w:rsidP="00690C7B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BC4E98">
              <w:rPr>
                <w:lang w:val="fr-FR"/>
              </w:rPr>
              <w:t>Point 1.15 de l'ordre du jour</w:t>
            </w:r>
          </w:p>
        </w:tc>
      </w:tr>
    </w:tbl>
    <w:bookmarkEnd w:id="4"/>
    <w:p w:rsidR="001C0E40" w:rsidRPr="00BC4E98" w:rsidRDefault="003A6CF8" w:rsidP="00626A05">
      <w:pPr>
        <w:pStyle w:val="Normalaftertitle"/>
        <w:pPrChange w:id="5" w:author="Royer, Veronique" w:date="2019-07-17T07:40:00Z">
          <w:pPr/>
        </w:pPrChange>
      </w:pPr>
      <w:r w:rsidRPr="00BC4E98">
        <w:t>1.15</w:t>
      </w:r>
      <w:r w:rsidRPr="00BC4E98">
        <w:tab/>
        <w:t xml:space="preserve">envisager d'identifier des bandes de fréquences destinées à être utilisées par les administrations pour les applications des services mobile terrestre et fixe fonctionnant dans la gamme de fréquences 275-450 GHz, conformément à la Résolution </w:t>
      </w:r>
      <w:r w:rsidRPr="00BC4E98">
        <w:rPr>
          <w:b/>
          <w:bCs/>
        </w:rPr>
        <w:t>767 (CMR-15)</w:t>
      </w:r>
      <w:r w:rsidRPr="00BC4E98">
        <w:t>;</w:t>
      </w:r>
    </w:p>
    <w:p w:rsidR="00C9795C" w:rsidRPr="00BC4E98" w:rsidRDefault="00C9795C" w:rsidP="00C9795C">
      <w:pPr>
        <w:pStyle w:val="Headingb"/>
      </w:pPr>
      <w:r w:rsidRPr="00BC4E98">
        <w:t>Introduction</w:t>
      </w:r>
    </w:p>
    <w:p w:rsidR="00AF2ED6" w:rsidRPr="00BC4E98" w:rsidRDefault="00AF2ED6" w:rsidP="00AF2ED6">
      <w:r w:rsidRPr="00BC4E98">
        <w:t xml:space="preserve">Les études de compatibilité menées conformément à la Résolution </w:t>
      </w:r>
      <w:r w:rsidRPr="00BC4E98">
        <w:rPr>
          <w:b/>
          <w:bCs/>
        </w:rPr>
        <w:t xml:space="preserve">767 (CMR-15) </w:t>
      </w:r>
      <w:r w:rsidRPr="00BC4E98">
        <w:t xml:space="preserve">ont montré que, dans les bandes de fréquences 296-306 GHz, 313-318 GHz et 333-356 GHz, la compatibilité ne peut être assurée entre les services fixe et mobile terrestre et le SETS (passive), de sorte que ces bandes de fréquences ne peuvent </w:t>
      </w:r>
      <w:r w:rsidR="003A6CF8">
        <w:t xml:space="preserve">pas </w:t>
      </w:r>
      <w:r w:rsidRPr="00BC4E98">
        <w:t>être identifiées pour les services actifs, alors qu'il est possible d'envisager d'identifier les autres bandes de la gamme de fréquences 275-450 GHz.</w:t>
      </w:r>
    </w:p>
    <w:p w:rsidR="00C9795C" w:rsidRPr="00BC4E98" w:rsidRDefault="00AF2ED6" w:rsidP="00AF2ED6">
      <w:r w:rsidRPr="00BC4E98">
        <w:t xml:space="preserve">Les </w:t>
      </w:r>
      <w:r w:rsidR="00ED26AF" w:rsidRPr="00BC4E98">
        <w:t>A</w:t>
      </w:r>
      <w:r w:rsidRPr="00BC4E98">
        <w:t xml:space="preserve">dministrations </w:t>
      </w:r>
      <w:r w:rsidR="00BC4E98" w:rsidRPr="00BC4E98">
        <w:t>des</w:t>
      </w:r>
      <w:r w:rsidRPr="00BC4E98">
        <w:t xml:space="preserve"> pays membres de la </w:t>
      </w:r>
      <w:r w:rsidR="00C9795C" w:rsidRPr="00BC4E98">
        <w:t xml:space="preserve">RCC </w:t>
      </w:r>
      <w:r w:rsidRPr="00BC4E98">
        <w:t>sont donc favorables à l'ajout d'un nouveau renvoi dans l'</w:t>
      </w:r>
      <w:r w:rsidR="00C9795C" w:rsidRPr="00BC4E98">
        <w:t xml:space="preserve">Article 5 </w:t>
      </w:r>
      <w:r w:rsidRPr="00BC4E98">
        <w:t>du Règlement des radiocommunications</w:t>
      </w:r>
      <w:r w:rsidR="00C9795C" w:rsidRPr="00BC4E98">
        <w:t>, identif</w:t>
      </w:r>
      <w:r w:rsidRPr="00BC4E98">
        <w:t>iant les bandes de fréquences ci-après pour les services fixe</w:t>
      </w:r>
      <w:r w:rsidR="00C9795C" w:rsidRPr="00BC4E98">
        <w:t xml:space="preserve"> </w:t>
      </w:r>
      <w:r w:rsidRPr="00BC4E98">
        <w:t xml:space="preserve">et </w:t>
      </w:r>
      <w:r w:rsidR="00C9795C" w:rsidRPr="00BC4E98">
        <w:t xml:space="preserve">mobile </w:t>
      </w:r>
      <w:r w:rsidRPr="00BC4E98">
        <w:t xml:space="preserve">terrestre tout en assurant la </w:t>
      </w:r>
      <w:r w:rsidR="00C9795C" w:rsidRPr="00BC4E98">
        <w:t xml:space="preserve">protection </w:t>
      </w:r>
      <w:r w:rsidRPr="00BC4E98">
        <w:t xml:space="preserve">des </w:t>
      </w:r>
      <w:r w:rsidR="00C9795C" w:rsidRPr="00BC4E98">
        <w:t xml:space="preserve">services </w:t>
      </w:r>
      <w:r w:rsidRPr="00BC4E98">
        <w:t xml:space="preserve">passifs identifiés au titre du numéro </w:t>
      </w:r>
      <w:r w:rsidR="00C9795C" w:rsidRPr="00BC4E98">
        <w:rPr>
          <w:b/>
          <w:bCs/>
        </w:rPr>
        <w:t>5.565</w:t>
      </w:r>
      <w:r w:rsidRPr="00BC4E98">
        <w:t xml:space="preserve"> du RR</w:t>
      </w:r>
      <w:r w:rsidR="00C9795C" w:rsidRPr="00BC4E98">
        <w:t>:</w:t>
      </w:r>
    </w:p>
    <w:p w:rsidR="00C9795C" w:rsidRPr="00BC4E98" w:rsidRDefault="00C9795C" w:rsidP="00C9795C">
      <w:pPr>
        <w:pStyle w:val="enumlev1"/>
      </w:pPr>
      <w:r w:rsidRPr="00BC4E98">
        <w:t>–</w:t>
      </w:r>
      <w:r w:rsidRPr="00BC4E98">
        <w:tab/>
        <w:t>275-296 GHz;</w:t>
      </w:r>
    </w:p>
    <w:p w:rsidR="00C9795C" w:rsidRPr="00BC4E98" w:rsidRDefault="00C9795C" w:rsidP="00C9795C">
      <w:pPr>
        <w:pStyle w:val="enumlev1"/>
      </w:pPr>
      <w:r w:rsidRPr="00BC4E98">
        <w:t>–</w:t>
      </w:r>
      <w:r w:rsidRPr="00BC4E98">
        <w:tab/>
        <w:t>306-313 GHz;</w:t>
      </w:r>
    </w:p>
    <w:p w:rsidR="00C9795C" w:rsidRPr="00BC4E98" w:rsidRDefault="00C9795C" w:rsidP="00C9795C">
      <w:pPr>
        <w:pStyle w:val="enumlev1"/>
      </w:pPr>
      <w:r w:rsidRPr="00BC4E98">
        <w:t>–</w:t>
      </w:r>
      <w:r w:rsidRPr="00BC4E98">
        <w:tab/>
        <w:t>318-333 GHz;</w:t>
      </w:r>
    </w:p>
    <w:p w:rsidR="00C9795C" w:rsidRPr="00BC4E98" w:rsidRDefault="00C9795C" w:rsidP="00C9795C">
      <w:pPr>
        <w:pStyle w:val="enumlev1"/>
      </w:pPr>
      <w:r w:rsidRPr="00BC4E98">
        <w:t>–</w:t>
      </w:r>
      <w:r w:rsidRPr="00BC4E98">
        <w:tab/>
        <w:t>356-450 GHz.</w:t>
      </w:r>
    </w:p>
    <w:p w:rsidR="00AF2ED6" w:rsidRPr="00BC4E98" w:rsidRDefault="00AF2ED6" w:rsidP="00185FC7">
      <w:r w:rsidRPr="00BC4E98">
        <w:t xml:space="preserve">Ces bandes de fréquences fournissent 137 GHz de </w:t>
      </w:r>
      <w:r w:rsidR="00185FC7" w:rsidRPr="00BC4E98">
        <w:t xml:space="preserve">spectre </w:t>
      </w:r>
      <w:r w:rsidRPr="00BC4E98">
        <w:t>pour les services fixe et mobile terrestre, ce qui dépasse les besoins de spectre estimés à 50 GHz pour chaque service, avec possibilité de chevauchement.</w:t>
      </w:r>
    </w:p>
    <w:p w:rsidR="00C9795C" w:rsidRPr="00BC4E98" w:rsidRDefault="00C9795C" w:rsidP="00AF2ED6">
      <w:pPr>
        <w:pStyle w:val="Headingb"/>
      </w:pPr>
      <w:r w:rsidRPr="00BC4E98">
        <w:t>Propos</w:t>
      </w:r>
      <w:r w:rsidR="00AF2ED6" w:rsidRPr="00BC4E98">
        <w:t>ition</w:t>
      </w:r>
    </w:p>
    <w:p w:rsidR="00C9795C" w:rsidRPr="00BC4E98" w:rsidRDefault="00185FC7" w:rsidP="002C7B82">
      <w:r w:rsidRPr="00BC4E98">
        <w:rPr>
          <w:lang w:bidi="ar-EG"/>
        </w:rPr>
        <w:t>Pour traiter ce point de l'ordre du jour</w:t>
      </w:r>
      <w:r w:rsidR="00C9795C" w:rsidRPr="00BC4E98">
        <w:rPr>
          <w:lang w:bidi="ar-EG"/>
        </w:rPr>
        <w:t xml:space="preserve">, </w:t>
      </w:r>
      <w:r w:rsidRPr="00BC4E98">
        <w:t xml:space="preserve">les </w:t>
      </w:r>
      <w:r w:rsidR="00ED26AF" w:rsidRPr="00BC4E98">
        <w:t>A</w:t>
      </w:r>
      <w:r w:rsidRPr="00BC4E98">
        <w:t xml:space="preserve">dministrations des pays membres de la </w:t>
      </w:r>
      <w:r w:rsidR="00C9795C" w:rsidRPr="00BC4E98">
        <w:t xml:space="preserve">RCC </w:t>
      </w:r>
      <w:r w:rsidRPr="00BC4E98">
        <w:t xml:space="preserve">appuient la </w:t>
      </w:r>
      <w:r w:rsidR="00C9795C" w:rsidRPr="00BC4E98">
        <w:t>M</w:t>
      </w:r>
      <w:r w:rsidRPr="00BC4E98">
        <w:t>é</w:t>
      </w:r>
      <w:r w:rsidR="00C9795C" w:rsidRPr="00BC4E98">
        <w:t>thod</w:t>
      </w:r>
      <w:r w:rsidRPr="00BC4E98">
        <w:t>e </w:t>
      </w:r>
      <w:r w:rsidR="00C9795C" w:rsidRPr="00BC4E98">
        <w:t xml:space="preserve">E, </w:t>
      </w:r>
      <w:r w:rsidRPr="00BC4E98">
        <w:t xml:space="preserve">décrite dans la </w:t>
      </w:r>
      <w:r w:rsidR="00C9795C" w:rsidRPr="00BC4E98">
        <w:t xml:space="preserve">section 1/1.15/4.5, </w:t>
      </w:r>
      <w:r w:rsidRPr="00BC4E98">
        <w:t xml:space="preserve">et </w:t>
      </w:r>
      <w:r w:rsidR="002C7B82" w:rsidRPr="00BC4E98">
        <w:t xml:space="preserve">le libellé </w:t>
      </w:r>
      <w:r w:rsidRPr="00BC4E98">
        <w:t xml:space="preserve">du texte réglementaire figurant dans la </w:t>
      </w:r>
      <w:r w:rsidR="00C9795C" w:rsidRPr="00BC4E98">
        <w:t xml:space="preserve">section 1/1.15/5.5 </w:t>
      </w:r>
      <w:r w:rsidRPr="00BC4E98">
        <w:t>du Rapport de la RPC</w:t>
      </w:r>
      <w:r w:rsidR="00C9795C" w:rsidRPr="00BC4E98">
        <w:t>.</w:t>
      </w:r>
    </w:p>
    <w:p w:rsidR="0015203F" w:rsidRPr="00BC4E98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C4E98">
        <w:br w:type="page"/>
      </w:r>
    </w:p>
    <w:p w:rsidR="007F3F42" w:rsidRPr="00BC4E98" w:rsidRDefault="003A6CF8" w:rsidP="005E6024">
      <w:pPr>
        <w:pStyle w:val="ArtNo"/>
        <w:spacing w:before="0"/>
      </w:pPr>
      <w:bookmarkStart w:id="6" w:name="_Toc455752914"/>
      <w:bookmarkStart w:id="7" w:name="_Toc455756153"/>
      <w:r w:rsidRPr="00BC4E98">
        <w:lastRenderedPageBreak/>
        <w:t xml:space="preserve">ARTICLE </w:t>
      </w:r>
      <w:r w:rsidRPr="00BC4E98">
        <w:rPr>
          <w:rStyle w:val="href"/>
          <w:color w:val="000000"/>
        </w:rPr>
        <w:t>5</w:t>
      </w:r>
      <w:bookmarkEnd w:id="6"/>
      <w:bookmarkEnd w:id="7"/>
    </w:p>
    <w:p w:rsidR="007F3F42" w:rsidRPr="00BC4E98" w:rsidRDefault="003A6CF8" w:rsidP="007F3F42">
      <w:pPr>
        <w:pStyle w:val="Arttitle"/>
      </w:pPr>
      <w:bookmarkStart w:id="8" w:name="_Toc455752915"/>
      <w:bookmarkStart w:id="9" w:name="_Toc455756154"/>
      <w:r w:rsidRPr="00BC4E98">
        <w:t>Attribution des bandes de fréquences</w:t>
      </w:r>
      <w:bookmarkEnd w:id="8"/>
      <w:bookmarkEnd w:id="9"/>
    </w:p>
    <w:p w:rsidR="00D73104" w:rsidRPr="00BC4E98" w:rsidRDefault="003A6CF8" w:rsidP="00ED26AF">
      <w:pPr>
        <w:pStyle w:val="Section1"/>
        <w:keepNext/>
        <w:rPr>
          <w:b w:val="0"/>
          <w:color w:val="000000"/>
        </w:rPr>
      </w:pPr>
      <w:r w:rsidRPr="00BC4E98">
        <w:t xml:space="preserve">Section IV – Tableau d'attribution des bandes de </w:t>
      </w:r>
      <w:proofErr w:type="gramStart"/>
      <w:r w:rsidRPr="00BC4E98">
        <w:t>fréquences</w:t>
      </w:r>
      <w:proofErr w:type="gramEnd"/>
      <w:r w:rsidRPr="00BC4E98">
        <w:br/>
      </w:r>
      <w:r w:rsidRPr="00BC4E98">
        <w:rPr>
          <w:b w:val="0"/>
          <w:bCs/>
        </w:rPr>
        <w:t xml:space="preserve">(Voir le numéro </w:t>
      </w:r>
      <w:r w:rsidRPr="00BC4E98">
        <w:t>2.1</w:t>
      </w:r>
      <w:r w:rsidRPr="00BC4E98">
        <w:rPr>
          <w:b w:val="0"/>
          <w:bCs/>
        </w:rPr>
        <w:t>)</w:t>
      </w:r>
    </w:p>
    <w:p w:rsidR="009731D0" w:rsidRPr="00BC4E98" w:rsidRDefault="003A6CF8">
      <w:pPr>
        <w:pStyle w:val="Proposal"/>
      </w:pPr>
      <w:r w:rsidRPr="00BC4E98">
        <w:t>MOD</w:t>
      </w:r>
      <w:r w:rsidRPr="00BC4E98">
        <w:tab/>
        <w:t>RCC/12A15/1</w:t>
      </w:r>
    </w:p>
    <w:p w:rsidR="00EB19FF" w:rsidRPr="00BC4E98" w:rsidRDefault="003A6CF8" w:rsidP="00AB1FF5">
      <w:pPr>
        <w:pStyle w:val="Tabletitle"/>
        <w:spacing w:before="120"/>
        <w:rPr>
          <w:color w:val="000000"/>
        </w:rPr>
      </w:pPr>
      <w:r w:rsidRPr="00BC4E98">
        <w:rPr>
          <w:color w:val="000000"/>
        </w:rPr>
        <w:t>248-3 000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F3F42" w:rsidRPr="00BC4E98" w:rsidTr="00AB1FF5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BC4E98" w:rsidRDefault="003A6CF8" w:rsidP="007F3F42">
            <w:pPr>
              <w:pStyle w:val="Tablehead"/>
              <w:rPr>
                <w:color w:val="000000"/>
              </w:rPr>
            </w:pPr>
            <w:r w:rsidRPr="00BC4E98">
              <w:rPr>
                <w:color w:val="000000"/>
              </w:rPr>
              <w:t>Attribution aux services</w:t>
            </w:r>
          </w:p>
        </w:tc>
      </w:tr>
      <w:tr w:rsidR="007F3F42" w:rsidRPr="00BC4E98" w:rsidTr="00AB1FF5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BC4E98" w:rsidRDefault="003A6CF8" w:rsidP="007F3F42">
            <w:pPr>
              <w:pStyle w:val="Tablehead"/>
              <w:rPr>
                <w:color w:val="000000"/>
              </w:rPr>
            </w:pPr>
            <w:r w:rsidRPr="00BC4E98"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BC4E98" w:rsidRDefault="003A6CF8" w:rsidP="007F3F42">
            <w:pPr>
              <w:pStyle w:val="Tablehead"/>
              <w:rPr>
                <w:color w:val="000000"/>
              </w:rPr>
            </w:pPr>
            <w:r w:rsidRPr="00BC4E98"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BC4E98" w:rsidRDefault="003A6CF8" w:rsidP="007F3F42">
            <w:pPr>
              <w:pStyle w:val="Tablehead"/>
              <w:rPr>
                <w:color w:val="000000"/>
              </w:rPr>
            </w:pPr>
            <w:r w:rsidRPr="00BC4E98">
              <w:rPr>
                <w:color w:val="000000"/>
              </w:rPr>
              <w:t>Région 3</w:t>
            </w:r>
          </w:p>
        </w:tc>
      </w:tr>
      <w:tr w:rsidR="007F3F42" w:rsidRPr="00BC4E98" w:rsidTr="00AB1FF5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42" w:rsidRPr="00BC4E98" w:rsidRDefault="003A6CF8" w:rsidP="007F3F42">
            <w:pPr>
              <w:pStyle w:val="TableTextS5"/>
              <w:rPr>
                <w:color w:val="000000"/>
              </w:rPr>
            </w:pPr>
            <w:r w:rsidRPr="00BC4E98">
              <w:rPr>
                <w:rStyle w:val="Tablefreq"/>
              </w:rPr>
              <w:t>275-3 000</w:t>
            </w:r>
            <w:r w:rsidRPr="00BC4E98">
              <w:rPr>
                <w:bCs/>
                <w:color w:val="000000"/>
              </w:rPr>
              <w:tab/>
              <w:t xml:space="preserve">(Non attribuée)  </w:t>
            </w:r>
            <w:ins w:id="10" w:author="Scott, Sarah" w:date="2019-07-16T09:28:00Z">
              <w:r w:rsidR="00C9795C" w:rsidRPr="00BC4E98">
                <w:rPr>
                  <w:color w:val="000000"/>
                </w:rPr>
                <w:t xml:space="preserve">MOD </w:t>
              </w:r>
            </w:ins>
            <w:r w:rsidRPr="00BC4E98">
              <w:t>5.565</w:t>
            </w:r>
            <w:ins w:id="11" w:author="Scott, Sarah" w:date="2019-07-16T09:28:00Z">
              <w:r w:rsidR="00C9795C" w:rsidRPr="00BC4E98">
                <w:rPr>
                  <w:rStyle w:val="Artref"/>
                  <w:color w:val="000000"/>
                </w:rPr>
                <w:t xml:space="preserve">  ADD 5.E115</w:t>
              </w:r>
            </w:ins>
          </w:p>
        </w:tc>
      </w:tr>
    </w:tbl>
    <w:p w:rsidR="00F74F93" w:rsidRPr="00BC4E98" w:rsidRDefault="003A6CF8" w:rsidP="003A6CF8">
      <w:pPr>
        <w:pStyle w:val="Reasons"/>
      </w:pPr>
      <w:r w:rsidRPr="00BC4E98">
        <w:rPr>
          <w:b/>
        </w:rPr>
        <w:t>Motifs:</w:t>
      </w:r>
      <w:r w:rsidRPr="00BC4E98">
        <w:tab/>
      </w:r>
      <w:r w:rsidR="00F74F93" w:rsidRPr="00BC4E98">
        <w:t>A</w:t>
      </w:r>
      <w:r>
        <w:t xml:space="preserve">djonction </w:t>
      </w:r>
      <w:r w:rsidR="00F74F93" w:rsidRPr="00BC4E98">
        <w:t>d'un nouveau numéro 5.E115, identifiant des bandes de fréquences pour les services fixe et mobile terrestre, et modification correspondante du numéro 5.565.</w:t>
      </w:r>
    </w:p>
    <w:p w:rsidR="009731D0" w:rsidRPr="00BC4E98" w:rsidRDefault="003A6CF8">
      <w:pPr>
        <w:pStyle w:val="Proposal"/>
      </w:pPr>
      <w:r w:rsidRPr="00BC4E98">
        <w:t>ADD</w:t>
      </w:r>
      <w:r w:rsidRPr="00BC4E98">
        <w:tab/>
        <w:t>RCC/12A15/2</w:t>
      </w:r>
    </w:p>
    <w:p w:rsidR="00C9795C" w:rsidRPr="00BC4E98" w:rsidRDefault="00C9795C" w:rsidP="003A6CF8">
      <w:pPr>
        <w:pStyle w:val="Note"/>
      </w:pPr>
      <w:r w:rsidRPr="00BC4E98">
        <w:rPr>
          <w:rStyle w:val="Artdef"/>
        </w:rPr>
        <w:t>5.E115</w:t>
      </w:r>
      <w:r w:rsidRPr="00BC4E98">
        <w:tab/>
        <w:t>Les bandes de fréquences 275-296 GHz, 306-313 GHz, 318-333 GHz et 356</w:t>
      </w:r>
      <w:r w:rsidRPr="00BC4E98">
        <w:noBreakHyphen/>
        <w:t xml:space="preserve">450 GHz sont identifiées pour être utilisées par les administrations aux fins de la mise en </w:t>
      </w:r>
      <w:r w:rsidR="00BC4E98" w:rsidRPr="00BC4E98">
        <w:t>œuvre</w:t>
      </w:r>
      <w:r w:rsidRPr="00BC4E98">
        <w:t xml:space="preserve"> des </w:t>
      </w:r>
      <w:r w:rsidRPr="00BC4E98">
        <w:rPr>
          <w:szCs w:val="24"/>
        </w:rPr>
        <w:t>service</w:t>
      </w:r>
      <w:r w:rsidRPr="00BC4E98">
        <w:t>s mobile terrestre et fixe</w:t>
      </w:r>
      <w:r w:rsidR="003A6CF8">
        <w:t>.</w:t>
      </w:r>
    </w:p>
    <w:p w:rsidR="00C9795C" w:rsidRPr="00BC4E98" w:rsidRDefault="00C9795C" w:rsidP="00C9795C">
      <w:pPr>
        <w:pStyle w:val="Note"/>
        <w:rPr>
          <w:iCs/>
        </w:rPr>
      </w:pPr>
      <w:r w:rsidRPr="00BC4E98">
        <w:tab/>
      </w:r>
      <w:r w:rsidRPr="00BC4E98">
        <w:tab/>
      </w:r>
      <w:r w:rsidRPr="00BC4E98">
        <w:rPr>
          <w:color w:val="000000"/>
        </w:rPr>
        <w:t>Les administrations souhaitant mettre à disposition les bandes de fréquences susmentionnées pour les applications du service mobile terrestre et/ou du service fixe sont instamment priées de prendre toutes les mesures pratiquement réalisables pour protéger les services passifs fonctionnant conformément au</w:t>
      </w:r>
      <w:r w:rsidRPr="00BC4E98">
        <w:rPr>
          <w:bCs/>
        </w:rPr>
        <w:t xml:space="preserve"> numéro </w:t>
      </w:r>
      <w:r w:rsidRPr="00BC4E98">
        <w:rPr>
          <w:rStyle w:val="Artref"/>
          <w:rFonts w:asciiTheme="majorBidi" w:hAnsiTheme="majorBidi" w:cstheme="majorBidi"/>
          <w:b/>
        </w:rPr>
        <w:t>5.565</w:t>
      </w:r>
      <w:r w:rsidRPr="00BC4E98">
        <w:t xml:space="preserve"> </w:t>
      </w:r>
      <w:r w:rsidRPr="00BC4E98">
        <w:rPr>
          <w:color w:val="000000"/>
        </w:rPr>
        <w:t>jusqu'à la date d'établissement du Tableau d'attribution des bandes de fréquences pour la gamme de fréquences 275-1 000 GHz.</w:t>
      </w:r>
      <w:r w:rsidRPr="00BC4E98">
        <w:rPr>
          <w:iCs/>
        </w:rPr>
        <w:t xml:space="preserve"> Compte tenu de la protection du service d'exploration de la Terre par satellite (passive), les bandes 296-306 GHz, 313-318 GHz et 333-356 GHz ne conviennent pas pour les services mobile terrestre et fixe.</w:t>
      </w:r>
    </w:p>
    <w:p w:rsidR="009731D0" w:rsidRPr="00BC4E98" w:rsidRDefault="00C9795C" w:rsidP="00C9795C">
      <w:pPr>
        <w:pStyle w:val="Note"/>
      </w:pPr>
      <w:r w:rsidRPr="00BC4E98">
        <w:tab/>
      </w:r>
      <w:r w:rsidRPr="00BC4E98">
        <w:tab/>
      </w:r>
      <w:r w:rsidRPr="00BC4E98">
        <w:rPr>
          <w:iCs/>
        </w:rPr>
        <w:t>Dans les bandes de fréquences 275-296 GHz, 306-313 GHz, 318-323 GHz, 327</w:t>
      </w:r>
      <w:r w:rsidRPr="00BC4E98">
        <w:rPr>
          <w:iCs/>
        </w:rPr>
        <w:noBreakHyphen/>
        <w:t>333 GHz, 356-371 GHz, 388-424 GHz et 426-442 GHz, certaines conditions particulières (par exemple des distances de séparation minimales et/ou des angles d'évitement) peuvent être nécessaires pour assurer la protection des sites de radioastronomie vis-à-vis des applications du service mobile terrestre et/ou du service fixe, au cas par cas.</w:t>
      </w:r>
      <w:r w:rsidRPr="00BC4E98">
        <w:rPr>
          <w:sz w:val="16"/>
          <w:szCs w:val="16"/>
        </w:rPr>
        <w:t>     </w:t>
      </w:r>
      <w:r w:rsidRPr="00BC4E98">
        <w:rPr>
          <w:sz w:val="16"/>
        </w:rPr>
        <w:t>(CMR</w:t>
      </w:r>
      <w:r w:rsidRPr="00BC4E98">
        <w:rPr>
          <w:sz w:val="16"/>
        </w:rPr>
        <w:noBreakHyphen/>
        <w:t>19)</w:t>
      </w:r>
    </w:p>
    <w:p w:rsidR="009731D0" w:rsidRPr="00BC4E98" w:rsidRDefault="003A6CF8" w:rsidP="00ED26AF">
      <w:pPr>
        <w:pStyle w:val="Reasons"/>
      </w:pPr>
      <w:r w:rsidRPr="00BC4E98">
        <w:rPr>
          <w:b/>
        </w:rPr>
        <w:t>Motifs:</w:t>
      </w:r>
      <w:r w:rsidRPr="00BC4E98">
        <w:tab/>
      </w:r>
      <w:r w:rsidR="00C9795C" w:rsidRPr="00BC4E98">
        <w:rPr>
          <w:rFonts w:eastAsia="BatangChe"/>
        </w:rPr>
        <w:t xml:space="preserve">Il </w:t>
      </w:r>
      <w:r w:rsidR="00C9795C" w:rsidRPr="00BC4E98">
        <w:t>ressort des études relatives à l'évaluation de la totalité de la gamme de fréquences 275</w:t>
      </w:r>
      <w:r w:rsidR="00C9795C" w:rsidRPr="00BC4E98">
        <w:noBreakHyphen/>
        <w:t xml:space="preserve">450 GHz que le partage est possible entre les applications du service fixe/service mobile terrestre et le SETS (passive)/SRA dans les bandes considérées qu'il est proposé d'identifier dans le </w:t>
      </w:r>
      <w:r w:rsidR="00C9795C" w:rsidRPr="00ED26AF">
        <w:t>numéro</w:t>
      </w:r>
      <w:r w:rsidR="00ED26AF">
        <w:t xml:space="preserve"> </w:t>
      </w:r>
      <w:r w:rsidR="00ED26AF" w:rsidRPr="00ED26AF">
        <w:rPr>
          <w:b/>
          <w:bCs/>
        </w:rPr>
        <w:t>5.E115</w:t>
      </w:r>
      <w:r w:rsidR="00ED26AF">
        <w:t xml:space="preserve"> du RR</w:t>
      </w:r>
      <w:r w:rsidR="00C9795C" w:rsidRPr="00ED26AF">
        <w:t>. Pour ce qui est des autres bandes de fréquences, il ressort des études</w:t>
      </w:r>
      <w:r w:rsidR="00C9795C" w:rsidRPr="00BC4E98">
        <w:t xml:space="preserve"> actuelles que le partage entre les applications du SF/SMT et les applications du SETS (passive)/SRA est impossible. La quantité de spectre (137 GHz en t</w:t>
      </w:r>
      <w:r w:rsidR="00ED26AF">
        <w:t>out) identifiée dans la Méthode </w:t>
      </w:r>
      <w:r w:rsidR="00C9795C" w:rsidRPr="00BC4E98">
        <w:t>E en vue de son utilisation par les applications des services mobile terrestre et fixe est largement suffisante pour répondre aux besoins de spectre actuels (50 GHz) de chaque service (</w:t>
      </w:r>
      <w:r>
        <w:t xml:space="preserve">avec </w:t>
      </w:r>
      <w:r w:rsidR="00C9795C" w:rsidRPr="00BC4E98">
        <w:t xml:space="preserve">possibilité de chevauchement). La Méthode E fournit aux administrations des indications sur les bandes dans lesquelles devraient fonctionner </w:t>
      </w:r>
      <w:proofErr w:type="gramStart"/>
      <w:r w:rsidR="00C9795C" w:rsidRPr="00BC4E98">
        <w:t>les services mobile terrestre et fixe</w:t>
      </w:r>
      <w:proofErr w:type="gramEnd"/>
      <w:r w:rsidR="00C9795C" w:rsidRPr="00BC4E98">
        <w:t>.</w:t>
      </w:r>
    </w:p>
    <w:p w:rsidR="009731D0" w:rsidRPr="00BC4E98" w:rsidRDefault="003A6CF8">
      <w:pPr>
        <w:pStyle w:val="Proposal"/>
      </w:pPr>
      <w:r w:rsidRPr="00BC4E98">
        <w:t>MOD</w:t>
      </w:r>
      <w:r w:rsidRPr="00BC4E98">
        <w:tab/>
        <w:t>RCC/12A15/3</w:t>
      </w:r>
    </w:p>
    <w:p w:rsidR="007F3F42" w:rsidRPr="00BC4E98" w:rsidRDefault="003A6CF8" w:rsidP="007F3F42">
      <w:pPr>
        <w:pStyle w:val="Note"/>
      </w:pPr>
      <w:r w:rsidRPr="00BC4E98">
        <w:rPr>
          <w:rStyle w:val="Artdef"/>
        </w:rPr>
        <w:t>5.565</w:t>
      </w:r>
      <w:r w:rsidRPr="00BC4E98">
        <w:tab/>
        <w:t xml:space="preserve">Les bandes de fréquences suivantes dans la gamme 275-1 000 GHz sont identifiées pour être utilisées par les administrations pour les applications des </w:t>
      </w:r>
      <w:r w:rsidRPr="00BC4E98">
        <w:rPr>
          <w:szCs w:val="24"/>
        </w:rPr>
        <w:t>service</w:t>
      </w:r>
      <w:r w:rsidRPr="00BC4E98">
        <w:t>s passifs:</w:t>
      </w:r>
    </w:p>
    <w:p w:rsidR="007F3F42" w:rsidRPr="00BC4E98" w:rsidRDefault="003A6CF8" w:rsidP="00182267">
      <w:pPr>
        <w:pStyle w:val="Note"/>
        <w:tabs>
          <w:tab w:val="clear" w:pos="284"/>
          <w:tab w:val="clear" w:pos="1871"/>
          <w:tab w:val="clear" w:pos="2268"/>
        </w:tabs>
        <w:ind w:left="1843" w:hanging="1843"/>
      </w:pPr>
      <w:r w:rsidRPr="00BC4E98">
        <w:lastRenderedPageBreak/>
        <w:tab/>
        <w:t>–</w:t>
      </w:r>
      <w:r w:rsidRPr="00BC4E98">
        <w:tab/>
        <w:t>service de radioastronomie: 275-323 GHz, 327-371 GHz, 388-424 GHz, 426</w:t>
      </w:r>
      <w:r w:rsidRPr="00BC4E98">
        <w:noBreakHyphen/>
        <w:t>442 GHz, 453</w:t>
      </w:r>
      <w:r w:rsidRPr="00BC4E98">
        <w:noBreakHyphen/>
        <w:t>510 GHz, 623</w:t>
      </w:r>
      <w:r w:rsidRPr="00BC4E98">
        <w:noBreakHyphen/>
        <w:t>711 GHz, 795-909 GHz et 926-945 GHz;</w:t>
      </w:r>
    </w:p>
    <w:p w:rsidR="007F3F42" w:rsidRPr="00BC4E98" w:rsidRDefault="003A6CF8" w:rsidP="00182267">
      <w:pPr>
        <w:pStyle w:val="Note"/>
        <w:tabs>
          <w:tab w:val="clear" w:pos="284"/>
          <w:tab w:val="clear" w:pos="1871"/>
          <w:tab w:val="clear" w:pos="2268"/>
        </w:tabs>
        <w:ind w:left="1843" w:hanging="1843"/>
      </w:pPr>
      <w:r w:rsidRPr="00BC4E98">
        <w:tab/>
        <w:t>–</w:t>
      </w:r>
      <w:r w:rsidRPr="00BC4E98">
        <w:tab/>
        <w:t>service d'exploration de la Terre par satellite (passive) et service de recherche spatiale (passive): 275-286 GHz, 296-306 GHz, 313-356 GHz, 361-365 GHz, 369-392 GHz, 397-399 GHz, 409</w:t>
      </w:r>
      <w:r w:rsidRPr="00BC4E98">
        <w:noBreakHyphen/>
        <w:t>411 GHz, 416-434 GHz, 439-467 GHz, 477</w:t>
      </w:r>
      <w:r w:rsidRPr="00BC4E98">
        <w:noBreakHyphen/>
        <w:t>502 GHz, 523-527 GHz, 538-581 GHz, 611</w:t>
      </w:r>
      <w:r w:rsidRPr="00BC4E98">
        <w:noBreakHyphen/>
        <w:t>630 GHz, 634-654 GHz, 657</w:t>
      </w:r>
      <w:r w:rsidRPr="00BC4E98">
        <w:noBreakHyphen/>
        <w:t>692 GHz, 713-718 GHz, 729-733 GHz, 750-754 GHz, 771</w:t>
      </w:r>
      <w:r w:rsidRPr="00BC4E98">
        <w:noBreakHyphen/>
        <w:t>776 GHz, 823</w:t>
      </w:r>
      <w:r w:rsidRPr="00BC4E98">
        <w:noBreakHyphen/>
        <w:t>846 GHz, 850-854 GHz, 857-862 GHz, 866-882 GHz, 905-928 GHz, 951</w:t>
      </w:r>
      <w:r w:rsidRPr="00BC4E98">
        <w:noBreakHyphen/>
        <w:t>956 GHz, 968-973 GHz et 985-990 GHz.</w:t>
      </w:r>
    </w:p>
    <w:p w:rsidR="007F3F42" w:rsidRPr="00BC4E98" w:rsidRDefault="003A6CF8">
      <w:pPr>
        <w:pStyle w:val="Note"/>
      </w:pPr>
      <w:r w:rsidRPr="00BC4E98">
        <w:tab/>
      </w:r>
      <w:r w:rsidRPr="00BC4E98">
        <w:tab/>
        <w:t xml:space="preserve">L'utilisation de la gamme de fréquences 275-1 000 GHz par les services passifs n'exclut pas l'utilisation de cette gamme de fréquences par les services actifs. Les administrations souhaitant mettre à disposition des fréquences dans la gamme 275-1 000 GHz pour les applications des </w:t>
      </w:r>
      <w:r w:rsidRPr="00BC4E98">
        <w:rPr>
          <w:szCs w:val="24"/>
        </w:rPr>
        <w:t>service</w:t>
      </w:r>
      <w:r w:rsidRPr="00BC4E98">
        <w:t xml:space="preserve">s actifs sont instamment priées de prendre toutes les mesures pratiquement réalisables pour protéger </w:t>
      </w:r>
      <w:del w:id="12" w:author="Bouchard, Isabelle" w:date="2019-07-16T10:24:00Z">
        <w:r w:rsidRPr="00BC4E98" w:rsidDel="00C9795C">
          <w:delText xml:space="preserve">ces </w:delText>
        </w:r>
      </w:del>
      <w:ins w:id="13" w:author="Bouchard, Isabelle" w:date="2019-07-16T10:24:00Z">
        <w:r w:rsidR="00C9795C" w:rsidRPr="00BC4E98">
          <w:t xml:space="preserve">les </w:t>
        </w:r>
      </w:ins>
      <w:r w:rsidRPr="00BC4E98">
        <w:t xml:space="preserve">services passifs contre les brouillages préjudiciables jusqu'à la date d'établissement du Tableau d'attribution des bandes de fréquences pour la gamme de fréquences 275-1 000 GHz susmentionnée. </w:t>
      </w:r>
    </w:p>
    <w:p w:rsidR="00C9795C" w:rsidRPr="00BC4E98" w:rsidRDefault="00C9795C" w:rsidP="003A6CF8">
      <w:pPr>
        <w:pStyle w:val="Note"/>
        <w:rPr>
          <w:ins w:id="14" w:author="Bouchard, Isabelle" w:date="2019-07-16T10:24:00Z"/>
        </w:rPr>
      </w:pPr>
      <w:ins w:id="15" w:author="Bouchard, Isabelle" w:date="2019-07-16T10:24:00Z">
        <w:r w:rsidRPr="00BC4E98">
          <w:rPr>
            <w:rFonts w:eastAsia="BatangChe"/>
          </w:rPr>
          <w:tab/>
        </w:r>
        <w:r w:rsidRPr="00BC4E98">
          <w:rPr>
            <w:rFonts w:eastAsia="BatangChe"/>
          </w:rPr>
          <w:tab/>
          <w:t xml:space="preserve">L'utilisation de la gamme </w:t>
        </w:r>
        <w:r w:rsidRPr="00BC4E98">
          <w:rPr>
            <w:rPrChange w:id="16" w:author="Unknown" w:date="2019-02-22T04:03:00Z">
              <w:rPr>
                <w:highlight w:val="magenta"/>
                <w:lang w:val="fr-CH"/>
              </w:rPr>
            </w:rPrChange>
          </w:rPr>
          <w:t xml:space="preserve">275-450 GHz par </w:t>
        </w:r>
        <w:r w:rsidRPr="00BC4E98">
          <w:rPr>
            <w:rPrChange w:id="17" w:author="Unknown" w:date="2019-02-22T04:03:00Z">
              <w:rPr>
                <w:color w:val="000000"/>
                <w:lang w:val="fr-CH"/>
              </w:rPr>
            </w:rPrChange>
          </w:rPr>
          <w:t xml:space="preserve">les services mobile terrestre et fixe est assujettie aux dispositions du numéro </w:t>
        </w:r>
        <w:r w:rsidRPr="00BC4E98">
          <w:rPr>
            <w:rStyle w:val="Artref"/>
            <w:b/>
            <w:bCs/>
            <w:rPrChange w:id="18" w:author="Unknown" w:date="2019-02-22T04:03:00Z">
              <w:rPr>
                <w:rStyle w:val="Artref"/>
                <w:b/>
                <w:bCs/>
                <w:highlight w:val="magenta"/>
                <w:lang w:val="fr-CH"/>
              </w:rPr>
            </w:rPrChange>
          </w:rPr>
          <w:t>5.</w:t>
        </w:r>
      </w:ins>
      <w:ins w:id="19" w:author="Bouchard, Isabelle" w:date="2019-07-16T11:00:00Z">
        <w:r w:rsidR="003A6CF8">
          <w:rPr>
            <w:rStyle w:val="Artref"/>
            <w:b/>
            <w:bCs/>
          </w:rPr>
          <w:t>E</w:t>
        </w:r>
      </w:ins>
      <w:ins w:id="20" w:author="Bouchard, Isabelle" w:date="2019-07-16T10:24:00Z">
        <w:r w:rsidRPr="00BC4E98">
          <w:rPr>
            <w:rStyle w:val="Artref"/>
            <w:b/>
            <w:bCs/>
            <w:rPrChange w:id="21" w:author="Unknown" w:date="2019-02-22T04:03:00Z">
              <w:rPr>
                <w:rStyle w:val="Artref"/>
                <w:b/>
                <w:bCs/>
                <w:highlight w:val="magenta"/>
                <w:lang w:val="fr-CH"/>
              </w:rPr>
            </w:rPrChange>
          </w:rPr>
          <w:t>115</w:t>
        </w:r>
        <w:r w:rsidRPr="00BC4E98">
          <w:rPr>
            <w:rPrChange w:id="22" w:author="Unknown" w:date="2019-02-22T04:03:00Z">
              <w:rPr>
                <w:highlight w:val="magenta"/>
                <w:lang w:val="fr-CH"/>
              </w:rPr>
            </w:rPrChange>
          </w:rPr>
          <w:t>.</w:t>
        </w:r>
      </w:ins>
    </w:p>
    <w:p w:rsidR="007F3F42" w:rsidRPr="00BC4E98" w:rsidRDefault="003A6CF8">
      <w:pPr>
        <w:pStyle w:val="Note"/>
      </w:pPr>
      <w:r w:rsidRPr="00BC4E98">
        <w:tab/>
      </w:r>
      <w:r w:rsidRPr="00BC4E98">
        <w:tab/>
        <w:t>Toutes les fréquences de la gamme 1 000-3 00</w:t>
      </w:r>
      <w:bookmarkStart w:id="23" w:name="_GoBack"/>
      <w:bookmarkEnd w:id="23"/>
      <w:r w:rsidRPr="00BC4E98">
        <w:t>0 GHz peuvent être utilisées à la fois par les services actifs et les services passifs.    (</w:t>
      </w:r>
      <w:r w:rsidRPr="00BC4E98">
        <w:rPr>
          <w:sz w:val="16"/>
          <w:szCs w:val="16"/>
        </w:rPr>
        <w:t>CMR-</w:t>
      </w:r>
      <w:del w:id="24" w:author="Bouchard, Isabelle" w:date="2019-07-16T11:00:00Z">
        <w:r w:rsidRPr="00BC4E98" w:rsidDel="003A6CF8">
          <w:rPr>
            <w:sz w:val="16"/>
            <w:szCs w:val="16"/>
          </w:rPr>
          <w:delText>12</w:delText>
        </w:r>
      </w:del>
      <w:ins w:id="25" w:author="Bouchard, Isabelle" w:date="2019-07-16T11:00:00Z">
        <w:r>
          <w:rPr>
            <w:sz w:val="16"/>
            <w:szCs w:val="16"/>
          </w:rPr>
          <w:t>19</w:t>
        </w:r>
      </w:ins>
      <w:r w:rsidRPr="00BC4E98">
        <w:t>)</w:t>
      </w:r>
    </w:p>
    <w:p w:rsidR="009731D0" w:rsidRPr="00BC4E98" w:rsidRDefault="003A6CF8" w:rsidP="00C9795C">
      <w:pPr>
        <w:pStyle w:val="Reasons"/>
      </w:pPr>
      <w:r w:rsidRPr="00BC4E98">
        <w:rPr>
          <w:b/>
        </w:rPr>
        <w:t>Motifs:</w:t>
      </w:r>
      <w:r w:rsidRPr="00BC4E98">
        <w:tab/>
      </w:r>
      <w:r w:rsidR="00C9795C" w:rsidRPr="00BC4E98">
        <w:rPr>
          <w:bCs/>
        </w:rPr>
        <w:t xml:space="preserve">Découle de l'adjonction du numéro </w:t>
      </w:r>
      <w:r w:rsidR="00C9795C" w:rsidRPr="00BC4E98">
        <w:rPr>
          <w:rStyle w:val="Artref"/>
          <w:b/>
        </w:rPr>
        <w:t>5.E115</w:t>
      </w:r>
      <w:r w:rsidR="00C9795C" w:rsidRPr="00BC4E98">
        <w:rPr>
          <w:bCs/>
        </w:rPr>
        <w:t xml:space="preserve"> du RR.</w:t>
      </w:r>
    </w:p>
    <w:p w:rsidR="009731D0" w:rsidRPr="00BC4E98" w:rsidRDefault="003A6CF8">
      <w:pPr>
        <w:pStyle w:val="Proposal"/>
      </w:pPr>
      <w:r w:rsidRPr="00BC4E98">
        <w:t>SUP</w:t>
      </w:r>
      <w:r w:rsidRPr="00BC4E98">
        <w:tab/>
        <w:t>RCC/12A15/4</w:t>
      </w:r>
    </w:p>
    <w:p w:rsidR="004A4B52" w:rsidRPr="00BC4E98" w:rsidRDefault="003A6CF8" w:rsidP="004A4B52">
      <w:pPr>
        <w:pStyle w:val="ResNo"/>
      </w:pPr>
      <w:r w:rsidRPr="00BC4E98">
        <w:t xml:space="preserve">RÉSOLUTION </w:t>
      </w:r>
      <w:r w:rsidRPr="00BC4E98">
        <w:rPr>
          <w:rStyle w:val="href"/>
        </w:rPr>
        <w:t>767</w:t>
      </w:r>
      <w:r w:rsidRPr="00BC4E98">
        <w:t xml:space="preserve"> (CMR-15)</w:t>
      </w:r>
    </w:p>
    <w:p w:rsidR="004A4B52" w:rsidRPr="00BC4E98" w:rsidRDefault="003A6CF8" w:rsidP="004A4B52">
      <w:pPr>
        <w:pStyle w:val="Restitle"/>
      </w:pPr>
      <w:bookmarkStart w:id="26" w:name="_Toc450208823"/>
      <w:proofErr w:type="spellStart"/>
      <w:r w:rsidRPr="00BC4E98">
        <w:t>Etudes</w:t>
      </w:r>
      <w:proofErr w:type="spellEnd"/>
      <w:r w:rsidRPr="00BC4E98">
        <w:t xml:space="preserve"> en vue de l'identification de bandes de fréquences destinées à être utilisées par les administrations pour les applications des services mobile terrestre et fixe fonctionnant dans la gamme de fréquences 275-450 GHz</w:t>
      </w:r>
      <w:bookmarkEnd w:id="26"/>
    </w:p>
    <w:p w:rsidR="009731D0" w:rsidRDefault="003A6CF8">
      <w:pPr>
        <w:pStyle w:val="Reasons"/>
      </w:pPr>
      <w:r w:rsidRPr="00BC4E98">
        <w:rPr>
          <w:b/>
        </w:rPr>
        <w:t>Motifs:</w:t>
      </w:r>
      <w:r w:rsidRPr="00BC4E98">
        <w:tab/>
      </w:r>
      <w:r w:rsidR="00C9795C" w:rsidRPr="00BC4E98">
        <w:t xml:space="preserve">La Résolution a été mise en </w:t>
      </w:r>
      <w:r w:rsidR="00BC4E98" w:rsidRPr="00BC4E98">
        <w:t>œuvre</w:t>
      </w:r>
      <w:r w:rsidR="00C9795C" w:rsidRPr="00BC4E98">
        <w:t>.</w:t>
      </w:r>
    </w:p>
    <w:p w:rsidR="00626A05" w:rsidRDefault="00626A05" w:rsidP="00626A05"/>
    <w:p w:rsidR="00626A05" w:rsidRPr="00BC4E98" w:rsidRDefault="00626A05" w:rsidP="00626A05">
      <w:pPr>
        <w:jc w:val="center"/>
      </w:pPr>
      <w:r>
        <w:t>______________</w:t>
      </w:r>
    </w:p>
    <w:sectPr w:rsidR="00626A05" w:rsidRPr="00BC4E98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96" w:rsidRDefault="00483196">
      <w:r>
        <w:separator/>
      </w:r>
    </w:p>
  </w:endnote>
  <w:endnote w:type="continuationSeparator" w:id="0">
    <w:p w:rsidR="00483196" w:rsidRDefault="004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E65EB">
      <w:rPr>
        <w:noProof/>
        <w:lang w:val="en-US"/>
      </w:rPr>
      <w:t>P:\FRA\ITU-R\CONF-R\CMR19\000\012ADD15F.docx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E65EB">
      <w:rPr>
        <w:noProof/>
      </w:rPr>
      <w:t>17.07.19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65EB">
      <w:rPr>
        <w:noProof/>
      </w:rPr>
      <w:t>17.07.19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626A05" w:rsidRDefault="00626A05" w:rsidP="00626A05">
    <w:pPr>
      <w:pStyle w:val="Footer"/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E65EB">
      <w:rPr>
        <w:lang w:val="en-US"/>
      </w:rPr>
      <w:t>P:\FRA\ITU-R\CONF-R\CMR19\000\012ADD15F.docx</w:t>
    </w:r>
    <w:r>
      <w:fldChar w:fldCharType="end"/>
    </w:r>
    <w:r>
      <w:t xml:space="preserve"> (458141)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E65EB">
      <w:rPr>
        <w:lang w:val="en-US"/>
      </w:rPr>
      <w:t>P:\FRA\ITU-R\CONF-R\CMR19\000\012ADD15F.docx</w:t>
    </w:r>
    <w:r>
      <w:fldChar w:fldCharType="end"/>
    </w:r>
    <w:r w:rsidR="00626A05">
      <w:t xml:space="preserve"> (458141)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96" w:rsidRDefault="00483196">
      <w:r>
        <w:rPr>
          <w:b/>
        </w:rPr>
        <w:t>_______________</w:t>
      </w:r>
    </w:p>
  </w:footnote>
  <w:footnote w:type="continuationSeparator" w:id="0">
    <w:p w:rsidR="00483196" w:rsidRDefault="0048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E65EB">
      <w:rPr>
        <w:noProof/>
      </w:rPr>
      <w:t>2</w:t>
    </w:r>
    <w:r>
      <w:fldChar w:fldCharType="end"/>
    </w:r>
  </w:p>
  <w:p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12(Add.15)-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yer, Veronique">
    <w15:presenceInfo w15:providerId="AD" w15:userId="S-1-5-21-8740799-900759487-1415713722-5942"/>
  </w15:person>
  <w15:person w15:author="Bouchard, Isabelle">
    <w15:presenceInfo w15:providerId="AD" w15:userId="S-1-5-21-8740799-900759487-1415713722-38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85FC7"/>
    <w:rsid w:val="0019352B"/>
    <w:rsid w:val="001960D0"/>
    <w:rsid w:val="001A11F6"/>
    <w:rsid w:val="001F17E8"/>
    <w:rsid w:val="00204306"/>
    <w:rsid w:val="00230D77"/>
    <w:rsid w:val="00232FD2"/>
    <w:rsid w:val="0026554E"/>
    <w:rsid w:val="002A4622"/>
    <w:rsid w:val="002A6F8F"/>
    <w:rsid w:val="002B17E5"/>
    <w:rsid w:val="002C0EBF"/>
    <w:rsid w:val="002C28A4"/>
    <w:rsid w:val="002C7B82"/>
    <w:rsid w:val="002D7E0A"/>
    <w:rsid w:val="00315AFE"/>
    <w:rsid w:val="003606A6"/>
    <w:rsid w:val="0036650C"/>
    <w:rsid w:val="00393ACD"/>
    <w:rsid w:val="003A583E"/>
    <w:rsid w:val="003A6CF8"/>
    <w:rsid w:val="003E112B"/>
    <w:rsid w:val="003E1D1C"/>
    <w:rsid w:val="003E65EB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5F3E8E"/>
    <w:rsid w:val="00613635"/>
    <w:rsid w:val="0062093D"/>
    <w:rsid w:val="00626A05"/>
    <w:rsid w:val="00637ECF"/>
    <w:rsid w:val="00647B59"/>
    <w:rsid w:val="00690C7B"/>
    <w:rsid w:val="006A4B45"/>
    <w:rsid w:val="006D4724"/>
    <w:rsid w:val="006F5FA2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731D0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AF2ED6"/>
    <w:rsid w:val="00B00294"/>
    <w:rsid w:val="00B3749C"/>
    <w:rsid w:val="00B64FD0"/>
    <w:rsid w:val="00BA5BD0"/>
    <w:rsid w:val="00BB1D82"/>
    <w:rsid w:val="00BC4E98"/>
    <w:rsid w:val="00BD51C5"/>
    <w:rsid w:val="00BF26E7"/>
    <w:rsid w:val="00C53FCA"/>
    <w:rsid w:val="00C76BAF"/>
    <w:rsid w:val="00C814B9"/>
    <w:rsid w:val="00C9795C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26AF"/>
    <w:rsid w:val="00ED6B8D"/>
    <w:rsid w:val="00EE3D7B"/>
    <w:rsid w:val="00EF662E"/>
    <w:rsid w:val="00F10064"/>
    <w:rsid w:val="00F148F1"/>
    <w:rsid w:val="00F711A7"/>
    <w:rsid w:val="00F74F93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,Footnote Text Char1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qFormat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qFormat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enumlev1Char">
    <w:name w:val="enumlev1 Char"/>
    <w:basedOn w:val="DefaultParagraphFont"/>
    <w:link w:val="enumlev1"/>
    <w:locked/>
    <w:rsid w:val="00C9795C"/>
    <w:rPr>
      <w:rFonts w:ascii="Times New Roman" w:hAnsi="Times New Roman"/>
      <w:sz w:val="24"/>
      <w:lang w:val="fr-FR" w:eastAsia="en-US"/>
    </w:rPr>
  </w:style>
  <w:style w:type="character" w:customStyle="1" w:styleId="NoteChar">
    <w:name w:val="Note Char"/>
    <w:basedOn w:val="DefaultParagraphFont"/>
    <w:link w:val="Note"/>
    <w:qFormat/>
    <w:locked/>
    <w:rsid w:val="00C9795C"/>
    <w:rPr>
      <w:rFonts w:ascii="Times New Roman" w:hAnsi="Times New Roman"/>
      <w:sz w:val="24"/>
      <w:lang w:val="fr-FR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qFormat/>
    <w:locked/>
    <w:rsid w:val="00C9795C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R16-WRC19-C-0012!A15!MSW-F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AD4A7-0775-4795-AB5C-B83EBC1A89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A27F26-AA8B-4D4C-BDF9-D44BFBAA43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1000</Words>
  <Characters>5617</Characters>
  <Application>Microsoft Office Word</Application>
  <DocSecurity>0</DocSecurity>
  <Lines>115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R16-WRC19-C-0012!A15!MSW-F</vt:lpstr>
    </vt:vector>
  </TitlesOfParts>
  <Manager>Secrétariat général - Pool</Manager>
  <Company>Union internationale des télécommunications (UIT)</Company>
  <LinksUpToDate>false</LinksUpToDate>
  <CharactersWithSpaces>6599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R16-WRC19-C-0012!A15!MSW-F</dc:title>
  <dc:subject>Conférence mondiale des radiocommunications - 2019</dc:subject>
  <dc:creator>Documents Proposals Manager (DPM)</dc:creator>
  <cp:keywords>DPM_v2019.6.28.1_prod</cp:keywords>
  <dc:description/>
  <cp:lastModifiedBy>Royer, Veronique</cp:lastModifiedBy>
  <cp:revision>5</cp:revision>
  <cp:lastPrinted>2019-07-17T05:58:00Z</cp:lastPrinted>
  <dcterms:created xsi:type="dcterms:W3CDTF">2019-07-17T05:40:00Z</dcterms:created>
  <dcterms:modified xsi:type="dcterms:W3CDTF">2019-07-17T05:58:00Z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