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DA0884" w:rsidTr="0050008E">
        <w:trPr>
          <w:cantSplit/>
        </w:trPr>
        <w:tc>
          <w:tcPr>
            <w:tcW w:w="6911" w:type="dxa"/>
          </w:tcPr>
          <w:p w:rsidR="00BB1D82" w:rsidRPr="00DA0884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DA0884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DA0884">
              <w:rPr>
                <w:rFonts w:ascii="Verdana" w:hAnsi="Verdana"/>
                <w:b/>
                <w:bCs/>
                <w:sz w:val="20"/>
              </w:rPr>
              <w:t>9</w:t>
            </w:r>
            <w:proofErr w:type="gramStart"/>
            <w:r w:rsidRPr="00DA0884">
              <w:rPr>
                <w:rFonts w:ascii="Verdana" w:hAnsi="Verdana"/>
                <w:b/>
                <w:bCs/>
                <w:sz w:val="20"/>
              </w:rPr>
              <w:t>)</w:t>
            </w:r>
            <w:proofErr w:type="gramEnd"/>
            <w:r w:rsidRPr="00DA0884">
              <w:rPr>
                <w:rFonts w:ascii="Verdana" w:hAnsi="Verdana"/>
                <w:b/>
                <w:bCs/>
                <w:sz w:val="20"/>
              </w:rPr>
              <w:br/>
            </w:r>
            <w:proofErr w:type="spellStart"/>
            <w:r w:rsidR="00063A1F" w:rsidRPr="00DA0884">
              <w:rPr>
                <w:rFonts w:ascii="Verdana" w:hAnsi="Verdana"/>
                <w:b/>
                <w:bCs/>
                <w:sz w:val="18"/>
                <w:szCs w:val="18"/>
              </w:rPr>
              <w:t>Charm</w:t>
            </w:r>
            <w:proofErr w:type="spellEnd"/>
            <w:r w:rsidR="00063A1F" w:rsidRPr="00DA0884">
              <w:rPr>
                <w:rFonts w:ascii="Verdana" w:hAnsi="Verdana"/>
                <w:b/>
                <w:bCs/>
                <w:sz w:val="18"/>
                <w:szCs w:val="18"/>
              </w:rPr>
              <w:t xml:space="preserve"> el-Cheikh, </w:t>
            </w:r>
            <w:r w:rsidR="00081366" w:rsidRPr="00DA0884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DA0884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DA0884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DA088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A0884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DA0884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DA0884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DA088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A0884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DA0884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DA0884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DA0884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:rsidR="00BB1D82" w:rsidRPr="00DA0884" w:rsidRDefault="000A55AE" w:rsidP="002C28A4">
            <w:pPr>
              <w:spacing w:before="0" w:line="240" w:lineRule="atLeast"/>
              <w:jc w:val="right"/>
            </w:pPr>
            <w:r w:rsidRPr="00DA0884">
              <w:rPr>
                <w:rFonts w:ascii="Verdana" w:hAnsi="Verdana"/>
                <w:b/>
                <w:bCs/>
                <w:noProof/>
                <w:lang w:val="fr-CH" w:eastAsia="zh-CN"/>
              </w:rPr>
              <w:drawing>
                <wp:inline distT="0" distB="0" distL="0" distR="0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DA0884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DA0884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DA0884" w:rsidRDefault="00BB1D82" w:rsidP="00BB1D8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BB1D82" w:rsidRPr="00DA0884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DA0884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DA0884" w:rsidRDefault="00BB1D82" w:rsidP="00BB1D82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BB1D82" w:rsidRPr="00DA0884" w:rsidTr="00BB1D82">
        <w:trPr>
          <w:cantSplit/>
        </w:trPr>
        <w:tc>
          <w:tcPr>
            <w:tcW w:w="6911" w:type="dxa"/>
          </w:tcPr>
          <w:p w:rsidR="00BB1D82" w:rsidRPr="00DA0884" w:rsidRDefault="006D4724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A0884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:rsidR="00BB1D82" w:rsidRPr="00DA0884" w:rsidRDefault="006D4724" w:rsidP="00BA5BD0">
            <w:pPr>
              <w:spacing w:before="0"/>
              <w:rPr>
                <w:rFonts w:ascii="Verdana" w:hAnsi="Verdana"/>
                <w:sz w:val="20"/>
              </w:rPr>
            </w:pPr>
            <w:r w:rsidRPr="00DA0884">
              <w:rPr>
                <w:rFonts w:ascii="Verdana" w:hAnsi="Verdana"/>
                <w:b/>
                <w:sz w:val="20"/>
              </w:rPr>
              <w:t>Addendum 11 au</w:t>
            </w:r>
            <w:r w:rsidRPr="00DA0884">
              <w:rPr>
                <w:rFonts w:ascii="Verdana" w:hAnsi="Verdana"/>
                <w:b/>
                <w:sz w:val="20"/>
              </w:rPr>
              <w:br/>
              <w:t>Document 12</w:t>
            </w:r>
            <w:r w:rsidR="00BB1D82" w:rsidRPr="00DA0884">
              <w:rPr>
                <w:rFonts w:ascii="Verdana" w:hAnsi="Verdana"/>
                <w:b/>
                <w:sz w:val="20"/>
              </w:rPr>
              <w:t>-</w:t>
            </w:r>
            <w:r w:rsidRPr="00DA0884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DA0884" w:rsidTr="00BB1D82">
        <w:trPr>
          <w:cantSplit/>
        </w:trPr>
        <w:tc>
          <w:tcPr>
            <w:tcW w:w="6911" w:type="dxa"/>
          </w:tcPr>
          <w:p w:rsidR="00690C7B" w:rsidRPr="00DA0884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:rsidR="00690C7B" w:rsidRPr="00DA0884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A0884">
              <w:rPr>
                <w:rFonts w:ascii="Verdana" w:hAnsi="Verdana"/>
                <w:b/>
                <w:sz w:val="20"/>
              </w:rPr>
              <w:t>21 juin 2019</w:t>
            </w:r>
          </w:p>
        </w:tc>
      </w:tr>
      <w:tr w:rsidR="00690C7B" w:rsidRPr="00DA0884" w:rsidTr="00BB1D82">
        <w:trPr>
          <w:cantSplit/>
        </w:trPr>
        <w:tc>
          <w:tcPr>
            <w:tcW w:w="6911" w:type="dxa"/>
          </w:tcPr>
          <w:p w:rsidR="00690C7B" w:rsidRPr="00DA0884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690C7B" w:rsidRPr="00DA0884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A0884">
              <w:rPr>
                <w:rFonts w:ascii="Verdana" w:hAnsi="Verdana"/>
                <w:b/>
                <w:sz w:val="20"/>
              </w:rPr>
              <w:t>Original: russe</w:t>
            </w:r>
          </w:p>
        </w:tc>
      </w:tr>
      <w:tr w:rsidR="00690C7B" w:rsidRPr="00DA0884" w:rsidTr="00C11970">
        <w:trPr>
          <w:cantSplit/>
        </w:trPr>
        <w:tc>
          <w:tcPr>
            <w:tcW w:w="10031" w:type="dxa"/>
            <w:gridSpan w:val="2"/>
          </w:tcPr>
          <w:p w:rsidR="00690C7B" w:rsidRPr="00DA0884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DA0884" w:rsidTr="0050008E">
        <w:trPr>
          <w:cantSplit/>
        </w:trPr>
        <w:tc>
          <w:tcPr>
            <w:tcW w:w="10031" w:type="dxa"/>
            <w:gridSpan w:val="2"/>
          </w:tcPr>
          <w:p w:rsidR="00690C7B" w:rsidRPr="00DA0884" w:rsidRDefault="00690C7B" w:rsidP="00690C7B">
            <w:pPr>
              <w:pStyle w:val="Source"/>
            </w:pPr>
            <w:bookmarkStart w:id="1" w:name="dsource" w:colFirst="0" w:colLast="0"/>
            <w:r w:rsidRPr="00DA0884">
              <w:t>Propositions communes de la Communauté régionale des communications</w:t>
            </w:r>
          </w:p>
        </w:tc>
      </w:tr>
      <w:tr w:rsidR="00690C7B" w:rsidRPr="00DA0884" w:rsidTr="0050008E">
        <w:trPr>
          <w:cantSplit/>
        </w:trPr>
        <w:tc>
          <w:tcPr>
            <w:tcW w:w="10031" w:type="dxa"/>
            <w:gridSpan w:val="2"/>
          </w:tcPr>
          <w:p w:rsidR="00690C7B" w:rsidRPr="00DA0884" w:rsidRDefault="00AF541B" w:rsidP="00690C7B">
            <w:pPr>
              <w:pStyle w:val="Title1"/>
            </w:pPr>
            <w:bookmarkStart w:id="2" w:name="dtitle1" w:colFirst="0" w:colLast="0"/>
            <w:bookmarkEnd w:id="1"/>
            <w:r w:rsidRPr="00DA0884">
              <w:t>propositions pour les travaux de la conférence</w:t>
            </w:r>
          </w:p>
        </w:tc>
      </w:tr>
      <w:tr w:rsidR="00690C7B" w:rsidRPr="00DA0884" w:rsidTr="0050008E">
        <w:trPr>
          <w:cantSplit/>
        </w:trPr>
        <w:tc>
          <w:tcPr>
            <w:tcW w:w="10031" w:type="dxa"/>
            <w:gridSpan w:val="2"/>
          </w:tcPr>
          <w:p w:rsidR="00690C7B" w:rsidRPr="00DA0884" w:rsidRDefault="00690C7B" w:rsidP="00690C7B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:rsidRPr="00DA0884" w:rsidTr="0050008E">
        <w:trPr>
          <w:cantSplit/>
        </w:trPr>
        <w:tc>
          <w:tcPr>
            <w:tcW w:w="10031" w:type="dxa"/>
            <w:gridSpan w:val="2"/>
          </w:tcPr>
          <w:p w:rsidR="00690C7B" w:rsidRPr="00DA0884" w:rsidRDefault="00690C7B" w:rsidP="00690C7B">
            <w:pPr>
              <w:pStyle w:val="Agendaitem"/>
              <w:rPr>
                <w:lang w:val="fr-FR"/>
              </w:rPr>
            </w:pPr>
            <w:bookmarkStart w:id="4" w:name="dtitle3" w:colFirst="0" w:colLast="0"/>
            <w:bookmarkEnd w:id="3"/>
            <w:r w:rsidRPr="00DA0884">
              <w:rPr>
                <w:lang w:val="fr-FR"/>
              </w:rPr>
              <w:t>Point 1.11 de l'ordre du jour</w:t>
            </w:r>
          </w:p>
        </w:tc>
      </w:tr>
    </w:tbl>
    <w:bookmarkEnd w:id="4"/>
    <w:p w:rsidR="001C0E40" w:rsidRPr="00DA0884" w:rsidRDefault="000D585C" w:rsidP="002529E2">
      <w:pPr>
        <w:pStyle w:val="Normalaftertitle"/>
      </w:pPr>
      <w:r w:rsidRPr="00DA0884">
        <w:t>1.11</w:t>
      </w:r>
      <w:r w:rsidRPr="00DA0884">
        <w:tab/>
        <w:t xml:space="preserve">prendre les mesures nécessaires, selon qu'il convient, pour faciliter l'identification de bandes de fréquences harmonisées à l'échelle mondiale ou régionale pour les systèmes de radiocommunication ferroviaires train/voie dans les bandes de fréquences actuellement attribuées au service mobile, conformément à la Résolution </w:t>
      </w:r>
      <w:r w:rsidRPr="00DA0884">
        <w:rPr>
          <w:b/>
          <w:bCs/>
        </w:rPr>
        <w:t>236 (CMR-15)</w:t>
      </w:r>
      <w:r w:rsidRPr="00DA0884">
        <w:t>;</w:t>
      </w:r>
    </w:p>
    <w:p w:rsidR="00AF541B" w:rsidRPr="00DA0884" w:rsidRDefault="00AF541B" w:rsidP="00AF541B">
      <w:pPr>
        <w:pStyle w:val="Headingb"/>
      </w:pPr>
      <w:r w:rsidRPr="00DA0884">
        <w:t>Introduction</w:t>
      </w:r>
    </w:p>
    <w:p w:rsidR="00AF541B" w:rsidRPr="00DA0884" w:rsidRDefault="00AF541B" w:rsidP="00AF541B">
      <w:pPr>
        <w:rPr>
          <w:szCs w:val="24"/>
        </w:rPr>
      </w:pPr>
      <w:r w:rsidRPr="00DA0884">
        <w:rPr>
          <w:szCs w:val="24"/>
        </w:rPr>
        <w:t>Aux termes du «</w:t>
      </w:r>
      <w:r w:rsidRPr="00DA0884">
        <w:rPr>
          <w:i/>
          <w:iCs/>
          <w:szCs w:val="24"/>
        </w:rPr>
        <w:t>décide d'inviter la Conférence mondiale des radiocommunications de 2019</w:t>
      </w:r>
      <w:r w:rsidRPr="00DA0884">
        <w:rPr>
          <w:szCs w:val="24"/>
        </w:rPr>
        <w:t xml:space="preserve">» de la Résolution </w:t>
      </w:r>
      <w:r w:rsidRPr="00DA0884">
        <w:rPr>
          <w:b/>
          <w:bCs/>
          <w:szCs w:val="24"/>
        </w:rPr>
        <w:t>236 (CMR-15)</w:t>
      </w:r>
      <w:r w:rsidRPr="00DA0884">
        <w:rPr>
          <w:szCs w:val="24"/>
        </w:rPr>
        <w:t>, la CMR-19 est invitée, «compte tenu de</w:t>
      </w:r>
      <w:r w:rsidR="00DD4CB1">
        <w:rPr>
          <w:szCs w:val="24"/>
        </w:rPr>
        <w:t>s résultats des études de l'UIT</w:t>
      </w:r>
      <w:r w:rsidR="00DD4CB1">
        <w:rPr>
          <w:szCs w:val="24"/>
        </w:rPr>
        <w:noBreakHyphen/>
      </w:r>
      <w:r w:rsidRPr="00DA0884">
        <w:rPr>
          <w:szCs w:val="24"/>
        </w:rPr>
        <w:t>R, à prendre les mesures nécessaires, le cas échéant, pour faciliter l'identification de bandes de fréquences harmonisées à l'échelle mondiale ou régionale, dans toute la mesure possible, pour la mise en œuvre de systèmes de radiocommunication ferroviaires train/voie, dans les bandes de fréquences actuellement attribuées au service mobile».</w:t>
      </w:r>
    </w:p>
    <w:p w:rsidR="00AF541B" w:rsidRPr="00DA0884" w:rsidRDefault="00AF541B" w:rsidP="00DD4CB1">
      <w:pPr>
        <w:rPr>
          <w:lang w:eastAsia="zh-CN"/>
        </w:rPr>
      </w:pPr>
      <w:r w:rsidRPr="00DA0884">
        <w:rPr>
          <w:lang w:eastAsia="zh-CN"/>
        </w:rPr>
        <w:t xml:space="preserve">Les </w:t>
      </w:r>
      <w:r w:rsidR="00DD4CB1">
        <w:rPr>
          <w:lang w:eastAsia="zh-CN"/>
        </w:rPr>
        <w:t>A</w:t>
      </w:r>
      <w:r w:rsidRPr="00DA0884">
        <w:rPr>
          <w:lang w:eastAsia="zh-CN"/>
        </w:rPr>
        <w:t>dministrations des pays membres de la RCC considèrent que l'harmonisation de bandes de fréquences à l'échelle mondiale ou régionale dans le cadre des attributions existantes au service mobile peut être assurée de manière appropriée moyennant l'élaboration de Recommandations ou de Rapports de l'UIT-R.</w:t>
      </w:r>
    </w:p>
    <w:p w:rsidR="00DA0884" w:rsidRPr="00DA0884" w:rsidRDefault="00AF541B" w:rsidP="00DD4CB1">
      <w:pPr>
        <w:rPr>
          <w:lang w:eastAsia="zh-CN"/>
        </w:rPr>
      </w:pPr>
      <w:r w:rsidRPr="00DA0884">
        <w:rPr>
          <w:lang w:eastAsia="zh-CN"/>
        </w:rPr>
        <w:t xml:space="preserve">Les </w:t>
      </w:r>
      <w:r w:rsidR="00DD4CB1">
        <w:rPr>
          <w:lang w:eastAsia="zh-CN"/>
        </w:rPr>
        <w:t>A</w:t>
      </w:r>
      <w:r w:rsidRPr="00DA0884">
        <w:rPr>
          <w:lang w:eastAsia="zh-CN"/>
        </w:rPr>
        <w:t>dministrations des pays membres de la RCC préconisent</w:t>
      </w:r>
      <w:r w:rsidR="00DD4CB1">
        <w:rPr>
          <w:lang w:eastAsia="zh-CN"/>
        </w:rPr>
        <w:t xml:space="preserve"> que</w:t>
      </w:r>
      <w:r w:rsidR="000D585C">
        <w:rPr>
          <w:lang w:eastAsia="zh-CN"/>
        </w:rPr>
        <w:t>,</w:t>
      </w:r>
      <w:r w:rsidRPr="00DA0884">
        <w:rPr>
          <w:lang w:eastAsia="zh-CN"/>
        </w:rPr>
        <w:t xml:space="preserve"> </w:t>
      </w:r>
      <w:r w:rsidR="000D585C">
        <w:rPr>
          <w:lang w:eastAsia="zh-CN"/>
        </w:rPr>
        <w:t xml:space="preserve">pour </w:t>
      </w:r>
      <w:r w:rsidR="00DA0884" w:rsidRPr="00DA0884">
        <w:rPr>
          <w:lang w:eastAsia="zh-CN"/>
        </w:rPr>
        <w:t xml:space="preserve">les </w:t>
      </w:r>
      <w:r w:rsidRPr="00DA0884">
        <w:rPr>
          <w:lang w:eastAsia="zh-CN"/>
        </w:rPr>
        <w:t xml:space="preserve">bandes de fréquences </w:t>
      </w:r>
      <w:r w:rsidR="00DA0884" w:rsidRPr="00DA0884">
        <w:rPr>
          <w:lang w:eastAsia="zh-CN"/>
        </w:rPr>
        <w:t xml:space="preserve">harmonisées </w:t>
      </w:r>
      <w:r w:rsidRPr="00DA0884">
        <w:rPr>
          <w:lang w:eastAsia="zh-CN"/>
        </w:rPr>
        <w:t xml:space="preserve">pour les systèmes </w:t>
      </w:r>
      <w:r w:rsidR="00DA0884" w:rsidRPr="00DA0884">
        <w:rPr>
          <w:lang w:eastAsia="zh-CN"/>
        </w:rPr>
        <w:t>de transport ferroviaire</w:t>
      </w:r>
      <w:r w:rsidR="00DD4CB1">
        <w:rPr>
          <w:lang w:eastAsia="zh-CN"/>
        </w:rPr>
        <w:t xml:space="preserve">, </w:t>
      </w:r>
      <w:r w:rsidR="000D585C">
        <w:rPr>
          <w:lang w:eastAsia="zh-CN"/>
        </w:rPr>
        <w:t>aucune</w:t>
      </w:r>
      <w:r w:rsidR="00DA0884" w:rsidRPr="00DA0884">
        <w:rPr>
          <w:lang w:eastAsia="zh-CN"/>
        </w:rPr>
        <w:t xml:space="preserve"> </w:t>
      </w:r>
      <w:r w:rsidR="000D585C">
        <w:rPr>
          <w:lang w:eastAsia="zh-CN"/>
        </w:rPr>
        <w:t>contrainte supplémentaire ne soit imposée</w:t>
      </w:r>
      <w:r w:rsidR="00DA0884" w:rsidRPr="00DA0884">
        <w:rPr>
          <w:lang w:eastAsia="zh-CN"/>
        </w:rPr>
        <w:t xml:space="preserve"> aux services auxquels ces bandes de fréquences sont déjà attribuées</w:t>
      </w:r>
      <w:r w:rsidR="000D585C">
        <w:rPr>
          <w:lang w:eastAsia="zh-CN"/>
        </w:rPr>
        <w:t>,</w:t>
      </w:r>
      <w:r w:rsidR="00DA0884" w:rsidRPr="00DA0884">
        <w:rPr>
          <w:lang w:eastAsia="zh-CN"/>
        </w:rPr>
        <w:t xml:space="preserve"> et </w:t>
      </w:r>
      <w:r w:rsidR="000D585C">
        <w:rPr>
          <w:lang w:eastAsia="zh-CN"/>
        </w:rPr>
        <w:t xml:space="preserve">que ces </w:t>
      </w:r>
      <w:r w:rsidR="000D585C" w:rsidRPr="00DA0884">
        <w:rPr>
          <w:lang w:eastAsia="zh-CN"/>
        </w:rPr>
        <w:t xml:space="preserve">bandes de fréquences harmonisées </w:t>
      </w:r>
      <w:r w:rsidR="00DA0884" w:rsidRPr="00DA0884">
        <w:rPr>
          <w:lang w:eastAsia="zh-CN"/>
        </w:rPr>
        <w:t xml:space="preserve">soient soumises à la condition </w:t>
      </w:r>
      <w:r w:rsidR="000D585C">
        <w:rPr>
          <w:lang w:eastAsia="zh-CN"/>
        </w:rPr>
        <w:t xml:space="preserve">qu'aucun </w:t>
      </w:r>
      <w:r w:rsidR="00DA0884" w:rsidRPr="00DA0884">
        <w:rPr>
          <w:lang w:eastAsia="zh-CN"/>
        </w:rPr>
        <w:t xml:space="preserve">brouillage </w:t>
      </w:r>
      <w:r w:rsidR="000D585C">
        <w:rPr>
          <w:lang w:eastAsia="zh-CN"/>
        </w:rPr>
        <w:t xml:space="preserve">ne soit causé </w:t>
      </w:r>
      <w:r w:rsidR="00DA0884" w:rsidRPr="00DA0884">
        <w:rPr>
          <w:lang w:eastAsia="zh-CN"/>
        </w:rPr>
        <w:t>aux systèmes de communication gouvernementaux.</w:t>
      </w:r>
    </w:p>
    <w:p w:rsidR="00AF541B" w:rsidRPr="00DA0884" w:rsidRDefault="00AF541B" w:rsidP="00AF541B">
      <w:pPr>
        <w:pStyle w:val="Headingb"/>
      </w:pPr>
      <w:r w:rsidRPr="00DA0884">
        <w:t>Proposition</w:t>
      </w:r>
    </w:p>
    <w:p w:rsidR="00AF541B" w:rsidRPr="00DA0884" w:rsidRDefault="00AF541B" w:rsidP="00DD4CB1">
      <w:r w:rsidRPr="00DA0884">
        <w:rPr>
          <w:lang w:eastAsia="zh-CN"/>
        </w:rPr>
        <w:t xml:space="preserve">Les </w:t>
      </w:r>
      <w:r w:rsidR="00DD4CB1" w:rsidRPr="00DA0884">
        <w:rPr>
          <w:lang w:eastAsia="zh-CN"/>
        </w:rPr>
        <w:t>A</w:t>
      </w:r>
      <w:r w:rsidRPr="00DA0884">
        <w:rPr>
          <w:lang w:eastAsia="zh-CN"/>
        </w:rPr>
        <w:t xml:space="preserve">dministrations des pays membres de la RCC considèrent </w:t>
      </w:r>
      <w:r w:rsidR="00DD4CB1">
        <w:rPr>
          <w:lang w:eastAsia="zh-CN"/>
        </w:rPr>
        <w:t>qu'il n'y a pas lieu de modifier</w:t>
      </w:r>
      <w:r w:rsidRPr="00DA0884">
        <w:rPr>
          <w:lang w:eastAsia="zh-CN"/>
        </w:rPr>
        <w:t xml:space="preserve"> le RR concernant le point 1.11 de l'ordre du jour de la CMR</w:t>
      </w:r>
      <w:r w:rsidRPr="00DA0884">
        <w:rPr>
          <w:lang w:eastAsia="zh-CN"/>
        </w:rPr>
        <w:noBreakHyphen/>
        <w:t>19 (Méthode A du Rapport de la RPC).</w:t>
      </w:r>
    </w:p>
    <w:p w:rsidR="00AF541B" w:rsidRPr="00DA0884" w:rsidRDefault="00AF541B" w:rsidP="00AF541B">
      <w:r w:rsidRPr="00DA0884">
        <w:t>On trouvera en annexe les propositions de la RCC au titre du poin</w:t>
      </w:r>
      <w:r w:rsidR="00DD4CB1">
        <w:t>t 1.11 de l'ordre du jour de la </w:t>
      </w:r>
      <w:r w:rsidRPr="00DA0884">
        <w:t>CMR</w:t>
      </w:r>
      <w:r w:rsidRPr="00DA0884">
        <w:rPr>
          <w:lang w:eastAsia="zh-CN"/>
        </w:rPr>
        <w:t>-19</w:t>
      </w:r>
      <w:r w:rsidRPr="00DA0884">
        <w:t xml:space="preserve">. </w:t>
      </w:r>
    </w:p>
    <w:p w:rsidR="0015203F" w:rsidRPr="00DA0884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A0884">
        <w:br w:type="page"/>
      </w:r>
    </w:p>
    <w:p w:rsidR="007F3F42" w:rsidRPr="00DA0884" w:rsidRDefault="000D585C" w:rsidP="005E6024">
      <w:pPr>
        <w:pStyle w:val="ArtNo"/>
        <w:spacing w:before="0"/>
      </w:pPr>
      <w:bookmarkStart w:id="5" w:name="_Toc455752914"/>
      <w:bookmarkStart w:id="6" w:name="_Toc455756153"/>
      <w:r w:rsidRPr="00DA0884">
        <w:lastRenderedPageBreak/>
        <w:t xml:space="preserve">ARTICLE </w:t>
      </w:r>
      <w:r w:rsidRPr="00DA0884">
        <w:rPr>
          <w:rStyle w:val="href"/>
          <w:color w:val="000000"/>
        </w:rPr>
        <w:t>5</w:t>
      </w:r>
      <w:bookmarkEnd w:id="5"/>
      <w:bookmarkEnd w:id="6"/>
    </w:p>
    <w:p w:rsidR="007F3F42" w:rsidRPr="00DA0884" w:rsidRDefault="000D585C" w:rsidP="007F3F42">
      <w:pPr>
        <w:pStyle w:val="Arttitle"/>
      </w:pPr>
      <w:bookmarkStart w:id="7" w:name="_Toc455752915"/>
      <w:bookmarkStart w:id="8" w:name="_Toc455756154"/>
      <w:r w:rsidRPr="00DA0884">
        <w:t>Attribution des bandes de fréquences</w:t>
      </w:r>
      <w:bookmarkEnd w:id="7"/>
      <w:bookmarkEnd w:id="8"/>
    </w:p>
    <w:p w:rsidR="003116B4" w:rsidRPr="00DA0884" w:rsidRDefault="000D585C">
      <w:pPr>
        <w:pStyle w:val="Proposal"/>
      </w:pPr>
      <w:r w:rsidRPr="00DA0884">
        <w:rPr>
          <w:u w:val="single"/>
        </w:rPr>
        <w:t>NOC</w:t>
      </w:r>
      <w:r w:rsidRPr="00DA0884">
        <w:tab/>
        <w:t>RCC/12A11/1</w:t>
      </w:r>
    </w:p>
    <w:p w:rsidR="00D73104" w:rsidRPr="00DA0884" w:rsidRDefault="000D585C" w:rsidP="004B3CF6">
      <w:pPr>
        <w:pStyle w:val="Section1"/>
        <w:keepNext/>
        <w:rPr>
          <w:b w:val="0"/>
          <w:color w:val="000000"/>
        </w:rPr>
      </w:pPr>
      <w:r w:rsidRPr="00DA0884">
        <w:t xml:space="preserve">Section IV – Tableau d'attribution des bandes de </w:t>
      </w:r>
      <w:proofErr w:type="gramStart"/>
      <w:r w:rsidRPr="00DA0884">
        <w:t>fréquences</w:t>
      </w:r>
      <w:proofErr w:type="gramEnd"/>
      <w:r w:rsidRPr="00DA0884">
        <w:br/>
      </w:r>
      <w:r w:rsidRPr="00DA0884">
        <w:rPr>
          <w:b w:val="0"/>
          <w:bCs/>
        </w:rPr>
        <w:t xml:space="preserve">(Voir le numéro </w:t>
      </w:r>
      <w:r w:rsidRPr="00DA0884">
        <w:t>2.1</w:t>
      </w:r>
      <w:r w:rsidRPr="00DA0884">
        <w:rPr>
          <w:b w:val="0"/>
          <w:bCs/>
        </w:rPr>
        <w:t>)</w:t>
      </w:r>
    </w:p>
    <w:p w:rsidR="003116B4" w:rsidRPr="00DA0884" w:rsidRDefault="000D585C" w:rsidP="00AF541B">
      <w:pPr>
        <w:pStyle w:val="Reasons"/>
      </w:pPr>
      <w:r w:rsidRPr="00DA0884">
        <w:rPr>
          <w:b/>
        </w:rPr>
        <w:t>Motifs:</w:t>
      </w:r>
      <w:r w:rsidRPr="00DA0884">
        <w:tab/>
      </w:r>
      <w:r w:rsidR="00AF541B" w:rsidRPr="00DA0884">
        <w:t>L'harmonisation de bandes de fréquences pour les systèmes de radiocommunication ferroviaires train/voie peut être assurée de manière appropriée moyennant l'élaboration de Recommandations UIT-R.</w:t>
      </w:r>
    </w:p>
    <w:p w:rsidR="003116B4" w:rsidRPr="00DA0884" w:rsidRDefault="000D585C">
      <w:pPr>
        <w:pStyle w:val="Proposal"/>
      </w:pPr>
      <w:r w:rsidRPr="00DA0884">
        <w:t>SUP</w:t>
      </w:r>
      <w:r w:rsidRPr="00DA0884">
        <w:tab/>
        <w:t>RCC/12A11/2</w:t>
      </w:r>
    </w:p>
    <w:p w:rsidR="004A4B52" w:rsidRPr="00DA0884" w:rsidRDefault="000D585C" w:rsidP="004A4B52">
      <w:pPr>
        <w:pStyle w:val="ResNo"/>
      </w:pPr>
      <w:r w:rsidRPr="00DA0884">
        <w:rPr>
          <w:caps w:val="0"/>
        </w:rPr>
        <w:t xml:space="preserve">RÉSOLUTION </w:t>
      </w:r>
      <w:r w:rsidRPr="00DA0884">
        <w:rPr>
          <w:rStyle w:val="href"/>
          <w:caps w:val="0"/>
        </w:rPr>
        <w:t>236</w:t>
      </w:r>
      <w:r w:rsidRPr="00DA0884">
        <w:rPr>
          <w:caps w:val="0"/>
        </w:rPr>
        <w:t xml:space="preserve"> (CMR-15)</w:t>
      </w:r>
    </w:p>
    <w:p w:rsidR="004A4B52" w:rsidRPr="00DA0884" w:rsidRDefault="000D585C" w:rsidP="004A4B52">
      <w:pPr>
        <w:pStyle w:val="Restitle"/>
        <w:rPr>
          <w:rFonts w:eastAsia="SimSun"/>
          <w:lang w:eastAsia="zh-CN"/>
        </w:rPr>
      </w:pPr>
      <w:bookmarkStart w:id="9" w:name="_Toc450208663"/>
      <w:r w:rsidRPr="00DA0884">
        <w:rPr>
          <w:rFonts w:eastAsia="SimSun"/>
          <w:lang w:eastAsia="zh-CN"/>
        </w:rPr>
        <w:t>Systèmes de radiocommunication ferroviaires train/voie</w:t>
      </w:r>
      <w:bookmarkEnd w:id="9"/>
      <w:r w:rsidRPr="00DA0884">
        <w:rPr>
          <w:rFonts w:eastAsia="SimSun"/>
          <w:lang w:eastAsia="zh-CN"/>
        </w:rPr>
        <w:t xml:space="preserve"> </w:t>
      </w:r>
    </w:p>
    <w:p w:rsidR="003116B4" w:rsidRDefault="000D585C" w:rsidP="00AF541B">
      <w:pPr>
        <w:pStyle w:val="Reasons"/>
        <w:rPr>
          <w:lang w:eastAsia="zh-CN"/>
        </w:rPr>
      </w:pPr>
      <w:r w:rsidRPr="00DA0884">
        <w:rPr>
          <w:b/>
        </w:rPr>
        <w:t>Motifs:</w:t>
      </w:r>
      <w:r w:rsidRPr="00DA0884">
        <w:tab/>
      </w:r>
      <w:r w:rsidR="00AF541B" w:rsidRPr="00DA0884">
        <w:t xml:space="preserve">Les études </w:t>
      </w:r>
      <w:r w:rsidR="00DD4CB1">
        <w:t xml:space="preserve">menées </w:t>
      </w:r>
      <w:r w:rsidR="00AF541B" w:rsidRPr="00DA0884">
        <w:t>a</w:t>
      </w:r>
      <w:bookmarkStart w:id="10" w:name="_GoBack"/>
      <w:bookmarkEnd w:id="10"/>
      <w:r w:rsidR="00AF541B" w:rsidRPr="00DA0884">
        <w:t>u titre du point 1.11 de l'ordre du jour de la CMR-19 sont terminées</w:t>
      </w:r>
      <w:r w:rsidR="00AF541B" w:rsidRPr="00DA0884">
        <w:rPr>
          <w:lang w:eastAsia="zh-CN"/>
        </w:rPr>
        <w:t>.</w:t>
      </w:r>
    </w:p>
    <w:p w:rsidR="004B3CF6" w:rsidRDefault="004B3CF6" w:rsidP="004B3CF6"/>
    <w:p w:rsidR="004B3CF6" w:rsidRPr="00DA0884" w:rsidRDefault="004B3CF6" w:rsidP="004B3CF6">
      <w:pPr>
        <w:jc w:val="center"/>
      </w:pPr>
      <w:r>
        <w:t>______________</w:t>
      </w:r>
    </w:p>
    <w:sectPr w:rsidR="004B3CF6" w:rsidRPr="00DA0884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96" w:rsidRDefault="00483196">
      <w:r>
        <w:separator/>
      </w:r>
    </w:p>
  </w:endnote>
  <w:endnote w:type="continuationSeparator" w:id="0">
    <w:p w:rsidR="00483196" w:rsidRDefault="004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C6916">
      <w:rPr>
        <w:noProof/>
        <w:lang w:val="en-US"/>
      </w:rPr>
      <w:t>P:\FRA\ITU-R\CONF-R\CMR19\000\012ADD11F.docx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C6916">
      <w:rPr>
        <w:noProof/>
      </w:rPr>
      <w:t>16.07.19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C6916">
      <w:rPr>
        <w:noProof/>
      </w:rPr>
      <w:t>17.07.19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C6916">
      <w:rPr>
        <w:lang w:val="en-US"/>
      </w:rPr>
      <w:t>P:\FRA\ITU-R\CONF-R\CMR19\000\012ADD11F.docx</w:t>
    </w:r>
    <w:r>
      <w:fldChar w:fldCharType="end"/>
    </w:r>
    <w:r w:rsidR="004B3CF6">
      <w:t xml:space="preserve"> (458148)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C6916">
      <w:t>16.07.19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C6916">
      <w:t>17.07.19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C6916">
      <w:rPr>
        <w:lang w:val="en-US"/>
      </w:rPr>
      <w:t>P:\FRA\ITU-R\CONF-R\CMR19\000\012ADD11F.docx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96" w:rsidRDefault="00483196">
      <w:r>
        <w:rPr>
          <w:b/>
        </w:rPr>
        <w:t>_______________</w:t>
      </w:r>
    </w:p>
  </w:footnote>
  <w:footnote w:type="continuationSeparator" w:id="0">
    <w:p w:rsidR="00483196" w:rsidRDefault="0048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C6916">
      <w:rPr>
        <w:noProof/>
      </w:rPr>
      <w:t>2</w:t>
    </w:r>
    <w:r>
      <w:fldChar w:fldCharType="end"/>
    </w:r>
  </w:p>
  <w:p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12(Add.11)-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0D585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529E2"/>
    <w:rsid w:val="0026554E"/>
    <w:rsid w:val="002A4622"/>
    <w:rsid w:val="002A6F8F"/>
    <w:rsid w:val="002B17E5"/>
    <w:rsid w:val="002C0EBF"/>
    <w:rsid w:val="002C28A4"/>
    <w:rsid w:val="002C6916"/>
    <w:rsid w:val="002D7E0A"/>
    <w:rsid w:val="003116B4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B3CF6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F5FA2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830086"/>
    <w:rsid w:val="00843564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AF541B"/>
    <w:rsid w:val="00B00294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87542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A0884"/>
    <w:rsid w:val="00DC402B"/>
    <w:rsid w:val="00DD4CB1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customStyle="1" w:styleId="HeadingbChar">
    <w:name w:val="Heading_b Char"/>
    <w:basedOn w:val="DefaultParagraphFont"/>
    <w:link w:val="Headingb"/>
    <w:locked/>
    <w:rsid w:val="00AF541B"/>
    <w:rPr>
      <w:rFonts w:ascii="Times New Roman" w:hAnsi="Times New Roman"/>
      <w:b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R16-WRC19-C-0012!A11!MSW-F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C158-C792-4CB8-A3C1-9ECEA3D8AE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077E70-88EB-4D45-9FF9-94ED5B58EC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403</Words>
  <Characters>2399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R16-WRC19-C-0012!A11!MSW-F</vt:lpstr>
    </vt:vector>
  </TitlesOfParts>
  <Manager>Secrétariat général - Pool</Manager>
  <Company>Union internationale des télécommunications (UIT)</Company>
  <LinksUpToDate>false</LinksUpToDate>
  <CharactersWithSpaces>2780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R16-WRC19-C-0012!A11!MSW-F</dc:title>
  <dc:subject>Conférence mondiale des radiocommunications - 2019</dc:subject>
  <dc:creator>Documents Proposals Manager (DPM)</dc:creator>
  <cp:keywords>DPM_v2019.6.28.1_prod</cp:keywords>
  <dc:description/>
  <cp:lastModifiedBy>Royer, Veronique</cp:lastModifiedBy>
  <cp:revision>5</cp:revision>
  <cp:lastPrinted>2019-07-17T05:12:00Z</cp:lastPrinted>
  <dcterms:created xsi:type="dcterms:W3CDTF">2019-07-16T13:32:00Z</dcterms:created>
  <dcterms:modified xsi:type="dcterms:W3CDTF">2019-07-17T05:13:00Z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