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3818F6">
        <w:trPr>
          <w:cantSplit/>
        </w:trPr>
        <w:tc>
          <w:tcPr>
            <w:tcW w:w="6911" w:type="dxa"/>
          </w:tcPr>
          <w:p w:rsidR="00A066F1" w:rsidRPr="003818F6" w:rsidRDefault="00241FA2" w:rsidP="001C2AE7">
            <w:pPr>
              <w:spacing w:before="400" w:after="48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3818F6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World </w:t>
            </w:r>
            <w:proofErr w:type="spellStart"/>
            <w:r w:rsidRPr="003818F6">
              <w:rPr>
                <w:rFonts w:ascii="Verdana" w:hAnsi="Verdana" w:cs="Times"/>
                <w:b/>
                <w:position w:val="6"/>
                <w:sz w:val="22"/>
                <w:szCs w:val="22"/>
              </w:rPr>
              <w:t>Radiocommunication</w:t>
            </w:r>
            <w:proofErr w:type="spellEnd"/>
            <w:r w:rsidRPr="003818F6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 Conference (WRC-1</w:t>
            </w:r>
            <w:r w:rsidR="000E463E" w:rsidRPr="003818F6">
              <w:rPr>
                <w:rFonts w:ascii="Verdana" w:hAnsi="Verdana" w:cs="Times"/>
                <w:b/>
                <w:position w:val="6"/>
                <w:sz w:val="22"/>
                <w:szCs w:val="22"/>
              </w:rPr>
              <w:t>9</w:t>
            </w:r>
            <w:r w:rsidRPr="003818F6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3818F6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proofErr w:type="spellStart"/>
            <w:r w:rsidR="00116C7A"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Sharm</w:t>
            </w:r>
            <w:proofErr w:type="spellEnd"/>
            <w:r w:rsidR="00116C7A"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el-Sheikh, Egypt</w:t>
            </w:r>
            <w:r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, </w:t>
            </w:r>
            <w:r w:rsidR="000E463E"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28 October </w:t>
            </w:r>
            <w:r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–</w:t>
            </w:r>
            <w:r w:rsidR="000E463E"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="000E463E"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November 201</w:t>
            </w:r>
            <w:r w:rsidR="000E463E" w:rsidRPr="003818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A066F1" w:rsidRPr="003818F6" w:rsidRDefault="005F04D8" w:rsidP="001C2AE7">
            <w:pPr>
              <w:spacing w:before="0"/>
              <w:jc w:val="right"/>
            </w:pPr>
            <w:r w:rsidRPr="003818F6">
              <w:rPr>
                <w:noProof/>
                <w:lang w:eastAsia="zh-CN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3818F6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818F6" w:rsidRDefault="00A066F1" w:rsidP="001C2AE7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3818F6" w:rsidRDefault="00A066F1" w:rsidP="001C2AE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A066F1" w:rsidRPr="003818F6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3818F6" w:rsidRDefault="00A066F1" w:rsidP="001C2AE7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3818F6" w:rsidRDefault="00A066F1" w:rsidP="001C2AE7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3818F6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818F6" w:rsidRDefault="00FF5EA8" w:rsidP="001C2AE7">
            <w:pPr>
              <w:pStyle w:val="Committee"/>
              <w:framePr w:hSpace="0" w:wrap="auto" w:hAnchor="text" w:yAlign="inline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3818F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3818F6" w:rsidRDefault="00E55816" w:rsidP="001C2AE7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 w:rsidRPr="003818F6">
              <w:rPr>
                <w:rFonts w:ascii="Verdana" w:hAnsi="Verdana"/>
                <w:b/>
                <w:sz w:val="20"/>
              </w:rPr>
              <w:t>Addendum 11 to</w:t>
            </w:r>
            <w:r w:rsidRPr="003818F6">
              <w:rPr>
                <w:rFonts w:ascii="Verdana" w:hAnsi="Verdana"/>
                <w:b/>
                <w:sz w:val="20"/>
              </w:rPr>
              <w:br/>
              <w:t>Document 12</w:t>
            </w:r>
            <w:r w:rsidR="00A066F1" w:rsidRPr="003818F6">
              <w:rPr>
                <w:rFonts w:ascii="Verdana" w:hAnsi="Verdana"/>
                <w:b/>
                <w:sz w:val="20"/>
              </w:rPr>
              <w:t>-</w:t>
            </w:r>
            <w:r w:rsidR="005E10C9" w:rsidRPr="003818F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3818F6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818F6" w:rsidRDefault="00A066F1" w:rsidP="001C2AE7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</w:tcPr>
          <w:p w:rsidR="00A066F1" w:rsidRPr="003818F6" w:rsidRDefault="00420873" w:rsidP="001C2AE7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3818F6">
              <w:rPr>
                <w:rFonts w:ascii="Verdana" w:hAnsi="Verdana"/>
                <w:b/>
                <w:sz w:val="20"/>
              </w:rPr>
              <w:t>21 June 2019</w:t>
            </w:r>
          </w:p>
        </w:tc>
      </w:tr>
      <w:tr w:rsidR="00A066F1" w:rsidRPr="003818F6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818F6" w:rsidRDefault="00A066F1" w:rsidP="001C2AE7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3818F6" w:rsidRDefault="00E55816" w:rsidP="001C2AE7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3818F6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3818F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3818F6" w:rsidRDefault="00A066F1" w:rsidP="001C2AE7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3818F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818F6" w:rsidRDefault="00884D60" w:rsidP="001C2AE7">
            <w:pPr>
              <w:pStyle w:val="Source"/>
            </w:pPr>
            <w:r w:rsidRPr="003818F6">
              <w:t>Regional Commonwealth in the field of Communications Common Proposals</w:t>
            </w:r>
          </w:p>
        </w:tc>
      </w:tr>
      <w:tr w:rsidR="00E55816" w:rsidRPr="003818F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818F6" w:rsidRDefault="00E42D76" w:rsidP="001C2AE7">
            <w:pPr>
              <w:pStyle w:val="Title1"/>
            </w:pPr>
            <w:r w:rsidRPr="003818F6">
              <w:t>PROPOSALS FOR THE WORK OF THE CONFERENCE</w:t>
            </w:r>
          </w:p>
        </w:tc>
      </w:tr>
      <w:tr w:rsidR="00E55816" w:rsidRPr="003818F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818F6" w:rsidRDefault="00E55816" w:rsidP="001C2AE7">
            <w:pPr>
              <w:pStyle w:val="Title2"/>
            </w:pPr>
          </w:p>
        </w:tc>
      </w:tr>
      <w:tr w:rsidR="00A538A6" w:rsidRPr="003818F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3818F6" w:rsidRDefault="004B13CB" w:rsidP="001C2AE7">
            <w:pPr>
              <w:pStyle w:val="Agendaitem"/>
              <w:rPr>
                <w:lang w:val="en-GB"/>
              </w:rPr>
            </w:pPr>
            <w:r w:rsidRPr="003818F6">
              <w:rPr>
                <w:lang w:val="en-GB"/>
              </w:rPr>
              <w:t>Agenda item 1.11</w:t>
            </w:r>
          </w:p>
        </w:tc>
      </w:tr>
    </w:tbl>
    <w:bookmarkEnd w:id="6"/>
    <w:bookmarkEnd w:id="7"/>
    <w:p w:rsidR="005118F7" w:rsidRPr="003818F6" w:rsidRDefault="00E42D76" w:rsidP="001C2AE7">
      <w:pPr>
        <w:overflowPunct/>
        <w:autoSpaceDE/>
        <w:autoSpaceDN/>
        <w:adjustRightInd/>
        <w:textAlignment w:val="auto"/>
      </w:pPr>
      <w:r w:rsidRPr="003818F6">
        <w:t>1.11</w:t>
      </w:r>
      <w:r w:rsidRPr="003818F6">
        <w:tab/>
        <w:t xml:space="preserve">to take necessary actions, as appropriate, to facilitate global or regional harmonized frequency bands to support railway </w:t>
      </w:r>
      <w:proofErr w:type="spellStart"/>
      <w:r w:rsidRPr="003818F6">
        <w:t>radiocommunication</w:t>
      </w:r>
      <w:proofErr w:type="spellEnd"/>
      <w:r w:rsidRPr="003818F6">
        <w:t xml:space="preserve"> systems between train and trackside within existing mobile service allocations, in accordance with Resolution </w:t>
      </w:r>
      <w:r w:rsidRPr="003818F6">
        <w:rPr>
          <w:b/>
          <w:bCs/>
        </w:rPr>
        <w:t>236 (WRC-15)</w:t>
      </w:r>
      <w:r w:rsidRPr="003818F6">
        <w:t>;</w:t>
      </w:r>
    </w:p>
    <w:p w:rsidR="00241FA2" w:rsidRPr="003818F6" w:rsidRDefault="00B32916" w:rsidP="001C2AE7">
      <w:pPr>
        <w:pStyle w:val="Headingb"/>
        <w:rPr>
          <w:lang w:val="en-GB"/>
        </w:rPr>
      </w:pPr>
      <w:r>
        <w:rPr>
          <w:lang w:val="en-GB"/>
        </w:rPr>
        <w:t>Introduction</w:t>
      </w:r>
    </w:p>
    <w:p w:rsidR="00E42D76" w:rsidRPr="003818F6" w:rsidRDefault="008E70BA" w:rsidP="001C2AE7">
      <w:r w:rsidRPr="00715C5F">
        <w:rPr>
          <w:szCs w:val="24"/>
          <w:lang w:val="en-US"/>
        </w:rPr>
        <w:t xml:space="preserve">Resolution </w:t>
      </w:r>
      <w:r w:rsidRPr="00715C5F">
        <w:rPr>
          <w:b/>
          <w:szCs w:val="24"/>
          <w:lang w:val="en-US"/>
        </w:rPr>
        <w:t>23</w:t>
      </w:r>
      <w:r>
        <w:rPr>
          <w:b/>
          <w:szCs w:val="24"/>
          <w:lang w:val="en-US"/>
        </w:rPr>
        <w:t>6</w:t>
      </w:r>
      <w:r w:rsidRPr="00715C5F">
        <w:rPr>
          <w:szCs w:val="24"/>
          <w:lang w:val="en-US"/>
        </w:rPr>
        <w:t xml:space="preserve"> (</w:t>
      </w:r>
      <w:r w:rsidRPr="00715C5F">
        <w:rPr>
          <w:b/>
          <w:szCs w:val="24"/>
          <w:lang w:val="en-US"/>
        </w:rPr>
        <w:t>WRC-15</w:t>
      </w:r>
      <w:r w:rsidRPr="00715C5F">
        <w:rPr>
          <w:szCs w:val="24"/>
          <w:lang w:val="en-US"/>
        </w:rPr>
        <w:t xml:space="preserve">) </w:t>
      </w:r>
      <w:r w:rsidRPr="00715C5F">
        <w:rPr>
          <w:i/>
          <w:szCs w:val="24"/>
          <w:lang w:val="en-US"/>
        </w:rPr>
        <w:t xml:space="preserve">resolves to invite the 2019 World </w:t>
      </w:r>
      <w:proofErr w:type="spellStart"/>
      <w:r w:rsidRPr="00715C5F">
        <w:rPr>
          <w:i/>
          <w:szCs w:val="24"/>
          <w:lang w:val="en-US"/>
        </w:rPr>
        <w:t>Radiocommunication</w:t>
      </w:r>
      <w:proofErr w:type="spellEnd"/>
      <w:r w:rsidRPr="00715C5F">
        <w:rPr>
          <w:i/>
          <w:szCs w:val="24"/>
          <w:lang w:val="en-US"/>
        </w:rPr>
        <w:t xml:space="preserve"> Conference</w:t>
      </w:r>
      <w:r>
        <w:rPr>
          <w:i/>
          <w:szCs w:val="24"/>
          <w:lang w:val="en-US"/>
        </w:rPr>
        <w:t>,</w:t>
      </w:r>
      <w:r w:rsidRPr="00715C5F">
        <w:rPr>
          <w:szCs w:val="24"/>
          <w:lang w:val="en-US"/>
        </w:rPr>
        <w:t xml:space="preserve"> </w:t>
      </w:r>
      <w:r w:rsidR="0033642B">
        <w:t>“</w:t>
      </w:r>
      <w:r w:rsidR="00E42D76" w:rsidRPr="003818F6">
        <w:t>based on the results of ITU</w:t>
      </w:r>
      <w:r w:rsidR="00E42D76" w:rsidRPr="003818F6">
        <w:noBreakHyphen/>
        <w:t xml:space="preserve">R studies, to take necessary actions, as appropriate, to facilitate global or regional harmonized frequency bands, to the extent possible, for the implementation of railway </w:t>
      </w:r>
      <w:proofErr w:type="spellStart"/>
      <w:r w:rsidR="00E42D76" w:rsidRPr="003818F6">
        <w:t>radiocommunication</w:t>
      </w:r>
      <w:proofErr w:type="spellEnd"/>
      <w:r w:rsidR="00E42D76" w:rsidRPr="003818F6">
        <w:t xml:space="preserve"> systems between train and trackside</w:t>
      </w:r>
      <w:r w:rsidR="00E42D76" w:rsidRPr="003818F6">
        <w:rPr>
          <w:rFonts w:eastAsia="SimSun"/>
          <w:lang w:eastAsia="zh-CN"/>
        </w:rPr>
        <w:t>,</w:t>
      </w:r>
      <w:r w:rsidR="00E42D76" w:rsidRPr="003818F6">
        <w:t xml:space="preserve"> within existing mobile-serv</w:t>
      </w:r>
      <w:r w:rsidR="0033642B">
        <w:t>ice allocations”</w:t>
      </w:r>
      <w:r w:rsidR="00E42D76" w:rsidRPr="003818F6">
        <w:t>.</w:t>
      </w:r>
    </w:p>
    <w:p w:rsidR="00E42D76" w:rsidRPr="003818F6" w:rsidRDefault="00E42D76" w:rsidP="001C2AE7">
      <w:pPr>
        <w:rPr>
          <w:szCs w:val="24"/>
        </w:rPr>
      </w:pPr>
      <w:r w:rsidRPr="003818F6">
        <w:rPr>
          <w:bCs/>
          <w:szCs w:val="24"/>
        </w:rPr>
        <w:t xml:space="preserve">The RCC Administrations </w:t>
      </w:r>
      <w:r w:rsidR="008E70BA">
        <w:rPr>
          <w:bCs/>
          <w:szCs w:val="24"/>
        </w:rPr>
        <w:t>consider</w:t>
      </w:r>
      <w:r w:rsidR="008E70BA">
        <w:rPr>
          <w:lang w:val="en-US" w:eastAsia="zh-CN"/>
        </w:rPr>
        <w:t xml:space="preserve"> </w:t>
      </w:r>
      <w:r w:rsidR="008E70BA" w:rsidRPr="00656311">
        <w:rPr>
          <w:lang w:val="en-US"/>
        </w:rPr>
        <w:t xml:space="preserve">global </w:t>
      </w:r>
      <w:r w:rsidR="006E07C0">
        <w:rPr>
          <w:lang w:val="en-US"/>
        </w:rPr>
        <w:t>or</w:t>
      </w:r>
      <w:r w:rsidR="008E70BA" w:rsidRPr="00656311">
        <w:rPr>
          <w:lang w:val="en-US"/>
        </w:rPr>
        <w:t xml:space="preserve"> regional </w:t>
      </w:r>
      <w:r w:rsidR="008E70BA">
        <w:rPr>
          <w:lang w:val="en-US" w:eastAsia="zh-CN"/>
        </w:rPr>
        <w:t xml:space="preserve">harmonized frequency bands </w:t>
      </w:r>
      <w:r w:rsidRPr="003818F6">
        <w:rPr>
          <w:szCs w:val="24"/>
        </w:rPr>
        <w:t>within existing mobile service allocations</w:t>
      </w:r>
      <w:r w:rsidR="008E70BA">
        <w:rPr>
          <w:szCs w:val="24"/>
        </w:rPr>
        <w:t xml:space="preserve"> to be appropriate</w:t>
      </w:r>
      <w:r w:rsidRPr="003818F6">
        <w:rPr>
          <w:szCs w:val="24"/>
        </w:rPr>
        <w:t>, through the development of ITU-R Recommendations and Reports.</w:t>
      </w:r>
    </w:p>
    <w:p w:rsidR="00E42D76" w:rsidRPr="003818F6" w:rsidRDefault="00E42D76" w:rsidP="001C2AE7">
      <w:pPr>
        <w:rPr>
          <w:szCs w:val="24"/>
        </w:rPr>
      </w:pPr>
      <w:r w:rsidRPr="003818F6">
        <w:rPr>
          <w:bCs/>
          <w:szCs w:val="24"/>
        </w:rPr>
        <w:t xml:space="preserve">The RCC Administrations </w:t>
      </w:r>
      <w:r w:rsidR="008E70BA">
        <w:rPr>
          <w:bCs/>
          <w:szCs w:val="24"/>
        </w:rPr>
        <w:t>advocate</w:t>
      </w:r>
      <w:r w:rsidRPr="003818F6">
        <w:rPr>
          <w:bCs/>
          <w:szCs w:val="24"/>
        </w:rPr>
        <w:t xml:space="preserve"> that harmonized </w:t>
      </w:r>
      <w:r w:rsidRPr="003818F6">
        <w:rPr>
          <w:szCs w:val="24"/>
        </w:rPr>
        <w:t xml:space="preserve">frequency bands </w:t>
      </w:r>
      <w:r w:rsidR="006E07C0">
        <w:rPr>
          <w:szCs w:val="24"/>
        </w:rPr>
        <w:t>for</w:t>
      </w:r>
      <w:r w:rsidRPr="003818F6">
        <w:rPr>
          <w:szCs w:val="24"/>
        </w:rPr>
        <w:t xml:space="preserve"> railway transportation systems not impose additional constraints on services to which these frequency bands are already allocated, and </w:t>
      </w:r>
      <w:r w:rsidR="006E07C0">
        <w:rPr>
          <w:szCs w:val="24"/>
        </w:rPr>
        <w:t>be subject to the condition of not causing interference to</w:t>
      </w:r>
      <w:r w:rsidRPr="003818F6">
        <w:rPr>
          <w:szCs w:val="24"/>
        </w:rPr>
        <w:t xml:space="preserve"> </w:t>
      </w:r>
      <w:r w:rsidR="006E07C0" w:rsidRPr="003818F6">
        <w:rPr>
          <w:szCs w:val="24"/>
        </w:rPr>
        <w:t xml:space="preserve">government communication </w:t>
      </w:r>
      <w:r w:rsidR="006E07C0">
        <w:rPr>
          <w:szCs w:val="24"/>
        </w:rPr>
        <w:t>systems</w:t>
      </w:r>
      <w:r w:rsidRPr="003818F6">
        <w:rPr>
          <w:szCs w:val="24"/>
        </w:rPr>
        <w:t>.</w:t>
      </w:r>
    </w:p>
    <w:p w:rsidR="00E42D76" w:rsidRPr="003818F6" w:rsidRDefault="006E07C0" w:rsidP="001C2AE7">
      <w:pPr>
        <w:pStyle w:val="Headingb"/>
        <w:rPr>
          <w:lang w:val="en-GB"/>
        </w:rPr>
      </w:pPr>
      <w:r>
        <w:rPr>
          <w:lang w:val="en-GB"/>
        </w:rPr>
        <w:t xml:space="preserve">Proposal </w:t>
      </w:r>
    </w:p>
    <w:p w:rsidR="006E07C0" w:rsidRPr="00B34F74" w:rsidRDefault="006E07C0" w:rsidP="001C2AE7">
      <w:r>
        <w:rPr>
          <w:lang w:val="en-US" w:eastAsia="zh-CN"/>
        </w:rPr>
        <w:t xml:space="preserve">The RCC Administrations consider that there is no need to modify the RR in connection with WRC-19 </w:t>
      </w:r>
      <w:r w:rsidR="00C84176">
        <w:rPr>
          <w:lang w:val="en-US" w:eastAsia="zh-CN"/>
        </w:rPr>
        <w:t>a</w:t>
      </w:r>
      <w:r>
        <w:rPr>
          <w:lang w:val="en-US" w:eastAsia="zh-CN"/>
        </w:rPr>
        <w:t>genda item 1.11 (Method A of the CPM Report).</w:t>
      </w:r>
    </w:p>
    <w:p w:rsidR="00E42D76" w:rsidRPr="003818F6" w:rsidRDefault="006E07C0" w:rsidP="001C2AE7">
      <w:r>
        <w:t xml:space="preserve">The RCC proposals under </w:t>
      </w:r>
      <w:r>
        <w:rPr>
          <w:lang w:val="en-US" w:eastAsia="zh-CN"/>
        </w:rPr>
        <w:t xml:space="preserve">WRC-19 </w:t>
      </w:r>
      <w:r w:rsidR="00C84176">
        <w:rPr>
          <w:lang w:val="en-US" w:eastAsia="zh-CN"/>
        </w:rPr>
        <w:t>a</w:t>
      </w:r>
      <w:r>
        <w:rPr>
          <w:lang w:val="en-US" w:eastAsia="zh-CN"/>
        </w:rPr>
        <w:t>genda item 1.11 are set out in annex hereto</w:t>
      </w:r>
      <w:r>
        <w:t>.</w:t>
      </w:r>
    </w:p>
    <w:p w:rsidR="00187BD9" w:rsidRPr="003818F6" w:rsidRDefault="00187BD9" w:rsidP="001C2AE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818F6">
        <w:br w:type="page"/>
      </w:r>
    </w:p>
    <w:p w:rsidR="008B2E84" w:rsidRPr="003818F6" w:rsidRDefault="00E42D76" w:rsidP="001C2AE7">
      <w:pPr>
        <w:pStyle w:val="ArtNo"/>
        <w:spacing w:before="0"/>
      </w:pPr>
      <w:bookmarkStart w:id="8" w:name="_Toc451865291"/>
      <w:r w:rsidRPr="003818F6">
        <w:lastRenderedPageBreak/>
        <w:t xml:space="preserve">ARTICLE </w:t>
      </w:r>
      <w:r w:rsidRPr="003818F6">
        <w:rPr>
          <w:rStyle w:val="href"/>
          <w:rFonts w:eastAsiaTheme="majorEastAsia"/>
          <w:color w:val="000000"/>
        </w:rPr>
        <w:t>5</w:t>
      </w:r>
      <w:bookmarkEnd w:id="8"/>
    </w:p>
    <w:p w:rsidR="008B2E84" w:rsidRPr="003818F6" w:rsidRDefault="00E42D76" w:rsidP="001C2AE7">
      <w:pPr>
        <w:pStyle w:val="Arttitle"/>
      </w:pPr>
      <w:bookmarkStart w:id="9" w:name="_Toc327956583"/>
      <w:bookmarkStart w:id="10" w:name="_Toc451865292"/>
      <w:r w:rsidRPr="003818F6">
        <w:t>Frequency allocations</w:t>
      </w:r>
      <w:bookmarkEnd w:id="9"/>
      <w:bookmarkEnd w:id="10"/>
    </w:p>
    <w:p w:rsidR="005B2CF6" w:rsidRPr="003818F6" w:rsidRDefault="00E42D76" w:rsidP="001C2AE7">
      <w:pPr>
        <w:pStyle w:val="Proposal"/>
      </w:pPr>
      <w:r w:rsidRPr="003818F6">
        <w:rPr>
          <w:u w:val="single"/>
        </w:rPr>
        <w:t>NOC</w:t>
      </w:r>
      <w:r w:rsidRPr="003818F6">
        <w:tab/>
        <w:t>RCC/12A11/1</w:t>
      </w:r>
    </w:p>
    <w:p w:rsidR="008B2E84" w:rsidRPr="003818F6" w:rsidRDefault="00E42D76" w:rsidP="001C2AE7">
      <w:pPr>
        <w:pStyle w:val="Section1"/>
        <w:keepNext/>
      </w:pPr>
      <w:r w:rsidRPr="003818F6">
        <w:t xml:space="preserve">Section IV – Table of Frequency </w:t>
      </w:r>
      <w:proofErr w:type="gramStart"/>
      <w:r w:rsidRPr="003818F6">
        <w:t>Allocations</w:t>
      </w:r>
      <w:proofErr w:type="gramEnd"/>
      <w:r w:rsidRPr="003818F6">
        <w:br/>
      </w:r>
      <w:r w:rsidRPr="003818F6">
        <w:rPr>
          <w:b w:val="0"/>
          <w:bCs/>
        </w:rPr>
        <w:t xml:space="preserve">(See No. </w:t>
      </w:r>
      <w:r w:rsidRPr="003818F6">
        <w:t>2.1</w:t>
      </w:r>
      <w:r w:rsidRPr="003818F6">
        <w:rPr>
          <w:b w:val="0"/>
          <w:bCs/>
        </w:rPr>
        <w:t>)</w:t>
      </w:r>
      <w:r w:rsidRPr="003818F6">
        <w:rPr>
          <w:b w:val="0"/>
          <w:bCs/>
        </w:rPr>
        <w:br/>
      </w:r>
      <w:r w:rsidRPr="003818F6">
        <w:br/>
      </w:r>
    </w:p>
    <w:p w:rsidR="005B2CF6" w:rsidRPr="003818F6" w:rsidRDefault="00E42D76" w:rsidP="001C2AE7">
      <w:pPr>
        <w:pStyle w:val="Reasons"/>
      </w:pPr>
      <w:r w:rsidRPr="003818F6">
        <w:rPr>
          <w:b/>
        </w:rPr>
        <w:t>Reasons:</w:t>
      </w:r>
      <w:r w:rsidR="006E07C0">
        <w:tab/>
        <w:t>Harmonization of frequency bands</w:t>
      </w:r>
      <w:r w:rsidR="006E07C0" w:rsidRPr="0042498F">
        <w:t xml:space="preserve"> for </w:t>
      </w:r>
      <w:r w:rsidR="006E07C0" w:rsidRPr="003818F6">
        <w:t xml:space="preserve">railway </w:t>
      </w:r>
      <w:proofErr w:type="spellStart"/>
      <w:r w:rsidR="006E07C0" w:rsidRPr="003818F6">
        <w:t>radiocommunication</w:t>
      </w:r>
      <w:proofErr w:type="spellEnd"/>
      <w:r w:rsidR="006E07C0" w:rsidRPr="003818F6">
        <w:t xml:space="preserve"> systems between train and trackside </w:t>
      </w:r>
      <w:r w:rsidR="006E07C0" w:rsidRPr="0042498F">
        <w:t xml:space="preserve">can be </w:t>
      </w:r>
      <w:r w:rsidR="006E07C0">
        <w:t xml:space="preserve">adequately </w:t>
      </w:r>
      <w:r w:rsidR="006E07C0" w:rsidRPr="0042498F">
        <w:t xml:space="preserve">achieved through </w:t>
      </w:r>
      <w:r w:rsidR="006E07C0">
        <w:t xml:space="preserve">the development of </w:t>
      </w:r>
      <w:r w:rsidR="006E07C0" w:rsidRPr="0042498F">
        <w:t>ITU</w:t>
      </w:r>
      <w:r w:rsidR="006E07C0" w:rsidRPr="0042498F">
        <w:noBreakHyphen/>
        <w:t>R Recommendations</w:t>
      </w:r>
      <w:r w:rsidR="00B71A45">
        <w:t>.</w:t>
      </w:r>
    </w:p>
    <w:p w:rsidR="005B2CF6" w:rsidRPr="003818F6" w:rsidRDefault="00E42D76" w:rsidP="001C2AE7">
      <w:pPr>
        <w:pStyle w:val="Proposal"/>
      </w:pPr>
      <w:r w:rsidRPr="003818F6">
        <w:t>SUP</w:t>
      </w:r>
      <w:r w:rsidRPr="003818F6">
        <w:tab/>
        <w:t>RCC/12A11/2</w:t>
      </w:r>
    </w:p>
    <w:p w:rsidR="007B1885" w:rsidRPr="003818F6" w:rsidRDefault="00E42D76" w:rsidP="001C2AE7">
      <w:pPr>
        <w:pStyle w:val="ResNo"/>
      </w:pPr>
      <w:bookmarkStart w:id="11" w:name="_Toc450048688"/>
      <w:r w:rsidRPr="003818F6">
        <w:rPr>
          <w:caps w:val="0"/>
        </w:rPr>
        <w:t xml:space="preserve">RESOLUTION </w:t>
      </w:r>
      <w:r w:rsidRPr="003818F6">
        <w:rPr>
          <w:rStyle w:val="href"/>
          <w:caps w:val="0"/>
        </w:rPr>
        <w:t>236</w:t>
      </w:r>
      <w:r w:rsidRPr="003818F6">
        <w:rPr>
          <w:caps w:val="0"/>
        </w:rPr>
        <w:t xml:space="preserve"> (WRC-15)</w:t>
      </w:r>
      <w:bookmarkEnd w:id="11"/>
    </w:p>
    <w:p w:rsidR="007B1885" w:rsidRPr="003818F6" w:rsidRDefault="00E42D76" w:rsidP="001C2AE7">
      <w:pPr>
        <w:pStyle w:val="Restitle"/>
        <w:rPr>
          <w:rFonts w:eastAsia="SimSun"/>
        </w:rPr>
      </w:pPr>
      <w:bookmarkStart w:id="12" w:name="_Toc450048689"/>
      <w:r w:rsidRPr="003818F6">
        <w:rPr>
          <w:rFonts w:eastAsia="SimSun"/>
        </w:rPr>
        <w:t xml:space="preserve">Railway </w:t>
      </w:r>
      <w:proofErr w:type="spellStart"/>
      <w:r w:rsidRPr="003818F6">
        <w:rPr>
          <w:rFonts w:eastAsia="SimSun"/>
        </w:rPr>
        <w:t>radiocommunication</w:t>
      </w:r>
      <w:proofErr w:type="spellEnd"/>
      <w:r w:rsidRPr="003818F6">
        <w:rPr>
          <w:rFonts w:eastAsia="SimSun"/>
        </w:rPr>
        <w:t xml:space="preserve"> systems between </w:t>
      </w:r>
      <w:r w:rsidRPr="003818F6">
        <w:rPr>
          <w:rFonts w:eastAsia="SimSun"/>
        </w:rPr>
        <w:br/>
        <w:t>train and trackside</w:t>
      </w:r>
      <w:bookmarkEnd w:id="12"/>
    </w:p>
    <w:p w:rsidR="00E42D76" w:rsidRPr="003818F6" w:rsidRDefault="00E42D76" w:rsidP="001C2AE7">
      <w:pPr>
        <w:pStyle w:val="Reasons"/>
      </w:pPr>
      <w:r w:rsidRPr="003818F6">
        <w:rPr>
          <w:b/>
        </w:rPr>
        <w:t>Reasons:</w:t>
      </w:r>
      <w:r w:rsidR="006E07C0">
        <w:tab/>
        <w:t xml:space="preserve">Studies under </w:t>
      </w:r>
      <w:r w:rsidR="006E07C0">
        <w:rPr>
          <w:lang w:val="en-US" w:eastAsia="zh-CN"/>
        </w:rPr>
        <w:t xml:space="preserve">WRC-19 </w:t>
      </w:r>
      <w:r w:rsidR="00C84176">
        <w:rPr>
          <w:lang w:val="en-US" w:eastAsia="zh-CN"/>
        </w:rPr>
        <w:t>a</w:t>
      </w:r>
      <w:r w:rsidR="006E07C0">
        <w:rPr>
          <w:lang w:val="en-US" w:eastAsia="zh-CN"/>
        </w:rPr>
        <w:t>genda item 1.11 have been completed.</w:t>
      </w:r>
    </w:p>
    <w:p w:rsidR="00E42D76" w:rsidRPr="003818F6" w:rsidRDefault="00E42D76" w:rsidP="0033642B"/>
    <w:p w:rsidR="00E42D76" w:rsidRPr="003818F6" w:rsidRDefault="00E42D76" w:rsidP="001C2AE7">
      <w:pPr>
        <w:jc w:val="center"/>
      </w:pPr>
      <w:r w:rsidRPr="003818F6">
        <w:t>______________</w:t>
      </w:r>
    </w:p>
    <w:p w:rsidR="00E42D76" w:rsidRDefault="00E42D76" w:rsidP="001C2AE7"/>
    <w:sectPr w:rsidR="00E42D76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47" w:rsidRDefault="002F4747">
      <w:r>
        <w:separator/>
      </w:r>
    </w:p>
  </w:endnote>
  <w:endnote w:type="continuationSeparator" w:id="0">
    <w:p w:rsidR="002F4747" w:rsidRDefault="002F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62BD0">
      <w:rPr>
        <w:noProof/>
        <w:lang w:val="en-US"/>
      </w:rPr>
      <w:t>P:\ENG\ITU-R\CONF-R\CMR19\000\012ADD11V2E.docx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2BD0">
      <w:rPr>
        <w:noProof/>
      </w:rPr>
      <w:t>15.07.19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2BD0">
      <w:rPr>
        <w:noProof/>
      </w:rPr>
      <w:t>15.07.19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C84176" w:rsidP="00A30305">
    <w:pPr>
      <w:pStyle w:val="Footer"/>
    </w:pPr>
    <w:fldSimple w:instr=" FILENAME  \p  \* MERGEFORMAT ">
      <w:r w:rsidR="00062BD0">
        <w:t>P:\ENG\ITU-R\CONF-R\CMR19\000\012ADD11V2E.docx</w:t>
      </w:r>
    </w:fldSimple>
    <w:r w:rsidR="000E6AE0">
      <w:t xml:space="preserve"> </w:t>
    </w:r>
    <w:r w:rsidR="00E42D76">
      <w:t>(458148)</w:t>
    </w:r>
    <w:r w:rsidR="00E45D05" w:rsidRPr="0041348E">
      <w:rPr>
        <w:lang w:val="en-US"/>
      </w:rPr>
      <w:tab/>
    </w:r>
    <w:r w:rsidR="00E45D05">
      <w:fldChar w:fldCharType="begin"/>
    </w:r>
    <w:r w:rsidR="00E45D05">
      <w:instrText xml:space="preserve"> SAVEDATE \@ DD.MM.YY </w:instrText>
    </w:r>
    <w:r w:rsidR="00E45D05">
      <w:fldChar w:fldCharType="separate"/>
    </w:r>
    <w:r w:rsidR="00062BD0">
      <w:t>15.07.19</w:t>
    </w:r>
    <w:r w:rsidR="00E45D05">
      <w:fldChar w:fldCharType="end"/>
    </w:r>
    <w:r w:rsidR="00E45D05" w:rsidRPr="0041348E">
      <w:rPr>
        <w:lang w:val="en-US"/>
      </w:rPr>
      <w:tab/>
    </w:r>
    <w:r w:rsidR="00E45D05">
      <w:fldChar w:fldCharType="begin"/>
    </w:r>
    <w:r w:rsidR="00E45D05">
      <w:instrText xml:space="preserve"> PRINTDATE \@ DD.MM.YY </w:instrText>
    </w:r>
    <w:r w:rsidR="00E45D05">
      <w:fldChar w:fldCharType="separate"/>
    </w:r>
    <w:r w:rsidR="00062BD0">
      <w:t>15.07.19</w:t>
    </w:r>
    <w:r w:rsidR="00E45D0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B71A45" w:rsidRDefault="00B71A45" w:rsidP="00E42D76">
    <w:pPr>
      <w:pStyle w:val="Footer"/>
      <w:rPr>
        <w:lang w:val="es-ES"/>
      </w:rPr>
    </w:pPr>
    <w:r>
      <w:fldChar w:fldCharType="begin"/>
    </w:r>
    <w:r w:rsidRPr="00B71A45">
      <w:rPr>
        <w:lang w:val="es-ES"/>
      </w:rPr>
      <w:instrText xml:space="preserve"> FILENAME  \p  \* MERGEFORMAT </w:instrText>
    </w:r>
    <w:r>
      <w:fldChar w:fldCharType="separate"/>
    </w:r>
    <w:r w:rsidR="00062BD0">
      <w:rPr>
        <w:lang w:val="es-ES"/>
      </w:rPr>
      <w:t>P:\ENG\ITU-R\CONF-R\CMR19\000\012ADD11V2E.docx</w:t>
    </w:r>
    <w:r>
      <w:fldChar w:fldCharType="end"/>
    </w:r>
    <w:r w:rsidR="000E6AE0" w:rsidRPr="00B71A45">
      <w:rPr>
        <w:lang w:val="es-ES"/>
      </w:rPr>
      <w:t xml:space="preserve"> </w:t>
    </w:r>
    <w:r w:rsidR="00E42D76" w:rsidRPr="00B71A45">
      <w:rPr>
        <w:lang w:val="es-ES"/>
      </w:rPr>
      <w:t>(458148)</w:t>
    </w:r>
    <w:r w:rsidR="00E42D76" w:rsidRPr="00B71A45">
      <w:rPr>
        <w:lang w:val="es-ES"/>
      </w:rPr>
      <w:tab/>
    </w:r>
    <w:r w:rsidR="00E42D76">
      <w:fldChar w:fldCharType="begin"/>
    </w:r>
    <w:r w:rsidR="00E42D76">
      <w:instrText xml:space="preserve"> SAVEDATE \@ DD.MM.YY </w:instrText>
    </w:r>
    <w:r w:rsidR="00E42D76">
      <w:fldChar w:fldCharType="separate"/>
    </w:r>
    <w:r w:rsidR="00062BD0">
      <w:t>15.07.19</w:t>
    </w:r>
    <w:r w:rsidR="00E42D76">
      <w:fldChar w:fldCharType="end"/>
    </w:r>
    <w:r w:rsidR="00E42D76" w:rsidRPr="00B71A45">
      <w:rPr>
        <w:lang w:val="es-ES"/>
      </w:rPr>
      <w:tab/>
    </w:r>
    <w:r w:rsidR="00E42D76">
      <w:fldChar w:fldCharType="begin"/>
    </w:r>
    <w:r w:rsidR="00E42D76">
      <w:instrText xml:space="preserve"> PRINTDATE \@ DD.MM.YY </w:instrText>
    </w:r>
    <w:r w:rsidR="00E42D76">
      <w:fldChar w:fldCharType="separate"/>
    </w:r>
    <w:r w:rsidR="00062BD0">
      <w:t>15.07.19</w:t>
    </w:r>
    <w:r w:rsidR="00E42D7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47" w:rsidRDefault="002F4747">
      <w:r>
        <w:rPr>
          <w:b/>
        </w:rPr>
        <w:t>_______________</w:t>
      </w:r>
    </w:p>
  </w:footnote>
  <w:footnote w:type="continuationSeparator" w:id="0">
    <w:p w:rsidR="002F4747" w:rsidRDefault="002F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62BD0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3" w:name="OLE_LINK1"/>
    <w:bookmarkStart w:id="14" w:name="OLE_LINK2"/>
    <w:bookmarkStart w:id="15" w:name="OLE_LINK3"/>
    <w:r w:rsidR="00EB55C6">
      <w:t>12(Add.11)</w:t>
    </w:r>
    <w:bookmarkEnd w:id="13"/>
    <w:bookmarkEnd w:id="14"/>
    <w:bookmarkEnd w:id="15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2BD0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E6AE0"/>
    <w:rsid w:val="000F73FF"/>
    <w:rsid w:val="00114CF7"/>
    <w:rsid w:val="00116C7A"/>
    <w:rsid w:val="00123B68"/>
    <w:rsid w:val="00126F2E"/>
    <w:rsid w:val="00146F6F"/>
    <w:rsid w:val="00187BD9"/>
    <w:rsid w:val="00190B55"/>
    <w:rsid w:val="001C2AE7"/>
    <w:rsid w:val="001C3B5F"/>
    <w:rsid w:val="001C6C61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3642B"/>
    <w:rsid w:val="00361B37"/>
    <w:rsid w:val="00377BD3"/>
    <w:rsid w:val="003818F6"/>
    <w:rsid w:val="00384088"/>
    <w:rsid w:val="0038452C"/>
    <w:rsid w:val="003852CE"/>
    <w:rsid w:val="0039169B"/>
    <w:rsid w:val="003A7F8C"/>
    <w:rsid w:val="003B2284"/>
    <w:rsid w:val="003B532E"/>
    <w:rsid w:val="003D0F8B"/>
    <w:rsid w:val="003E0DB6"/>
    <w:rsid w:val="0040130B"/>
    <w:rsid w:val="0041348E"/>
    <w:rsid w:val="00420873"/>
    <w:rsid w:val="004752EC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964AB"/>
    <w:rsid w:val="005B2CF6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07C0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8E70BA"/>
    <w:rsid w:val="009274B4"/>
    <w:rsid w:val="00934EA2"/>
    <w:rsid w:val="00944A5C"/>
    <w:rsid w:val="00952A66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B32916"/>
    <w:rsid w:val="00B40888"/>
    <w:rsid w:val="00B639E9"/>
    <w:rsid w:val="00B71A45"/>
    <w:rsid w:val="00B817CD"/>
    <w:rsid w:val="00B81A7D"/>
    <w:rsid w:val="00B94AD0"/>
    <w:rsid w:val="00BB3A95"/>
    <w:rsid w:val="00BC57FE"/>
    <w:rsid w:val="00BD3410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84176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2D76"/>
    <w:rsid w:val="00E45D05"/>
    <w:rsid w:val="00E55816"/>
    <w:rsid w:val="00E55AEF"/>
    <w:rsid w:val="00E74A79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R16-WRC19-C-0012!A11!MSW-E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0360D-D7F5-4F0C-82C3-CDEDA9D3A0B8}">
  <ds:schemaRefs>
    <ds:schemaRef ds:uri="http://schemas.openxmlformats.org/package/2006/metadata/core-properties"/>
    <ds:schemaRef ds:uri="http://purl.org/dc/dcmitype/"/>
    <ds:schemaRef ds:uri="996b2e75-67fd-4955-a3b0-5ab9934cb50b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78FB021-5D46-419A-A087-CE49D46C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1887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R16-WRC19-C-0012!A11!MSW-E</vt:lpstr>
    </vt:vector>
  </TitlesOfParts>
  <Manager>General Secretariat - Pool</Manager>
  <Company>International Telecommunication Union (ITU)</Company>
  <LinksUpToDate>false</LinksUpToDate>
  <CharactersWithSpaces>2165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R16-WRC19-C-0012!A11!MSW-E</dc:title>
  <dc:subject>World Radiocommunication Conference - 2019</dc:subject>
  <dc:creator>Documents Proposals Manager (DPM)</dc:creator>
  <cp:keywords>DPM_v2019.6.28.1_prod</cp:keywords>
  <dc:description>Uploaded on 2015.07.06</dc:description>
  <cp:lastModifiedBy>Scott, Sarah</cp:lastModifiedBy>
  <cp:revision>4</cp:revision>
  <cp:lastPrinted>2019-07-15T13:31:00Z</cp:lastPrinted>
  <dcterms:created xsi:type="dcterms:W3CDTF">2019-07-15T13:28:00Z</dcterms:created>
  <dcterms:modified xsi:type="dcterms:W3CDTF">2019-07-15T13:31:00Z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