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12 (Add.11)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21</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trPr>
          <w:cantSplit/>
        </w:trPr>
        <w:tc>
          <w:tcPr>
            <w:tcW w:w="10031" w:type="dxa"/>
            <w:gridSpan w:val="2"/>
          </w:tcPr>
          <w:p w:rsidR="008221A4" w:rsidRDefault="008F5C6A" w:rsidP="008221A4">
            <w:pPr>
              <w:pStyle w:val="Title1"/>
            </w:pPr>
            <w:bookmarkStart w:id="4" w:name="dtitle1" w:colFirst="0" w:colLast="0"/>
            <w:bookmarkEnd w:id="3"/>
            <w:r>
              <w:rPr>
                <w:rFonts w:hint="eastAsia"/>
                <w:lang w:eastAsia="zh-CN"/>
              </w:rPr>
              <w:t>有关</w:t>
            </w:r>
            <w:r>
              <w:rPr>
                <w:lang w:eastAsia="zh-CN"/>
              </w:rPr>
              <w:t>大会工作的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1.11</w:t>
            </w:r>
          </w:p>
        </w:tc>
      </w:tr>
    </w:tbl>
    <w:bookmarkEnd w:id="6"/>
    <w:p w:rsidR="008B60D0" w:rsidRDefault="00CF0A8C" w:rsidP="00A42A24">
      <w:pPr>
        <w:rPr>
          <w:rFonts w:cstheme="majorBidi"/>
          <w:szCs w:val="24"/>
          <w:lang w:eastAsia="zh-CN"/>
        </w:rPr>
      </w:pPr>
      <w:r w:rsidRPr="008E50BE">
        <w:rPr>
          <w:rFonts w:cstheme="majorBidi"/>
          <w:szCs w:val="24"/>
          <w:lang w:eastAsia="zh-CN"/>
        </w:rPr>
        <w:t>1.11</w:t>
      </w:r>
      <w:r w:rsidRPr="008E50BE">
        <w:rPr>
          <w:rFonts w:cstheme="majorBidi"/>
          <w:szCs w:val="24"/>
          <w:lang w:eastAsia="zh-CN"/>
        </w:rPr>
        <w:tab/>
      </w:r>
      <w:r w:rsidRPr="008E50BE">
        <w:rPr>
          <w:rFonts w:cstheme="majorBidi"/>
          <w:szCs w:val="24"/>
          <w:lang w:eastAsia="zh-CN"/>
        </w:rPr>
        <w:t>根据</w:t>
      </w:r>
      <w:r w:rsidRPr="00AB59C9">
        <w:rPr>
          <w:rFonts w:hint="eastAsia"/>
          <w:szCs w:val="24"/>
          <w:lang w:val="en-US" w:eastAsia="zh-CN"/>
        </w:rPr>
        <w:t>第</w:t>
      </w:r>
      <w:r w:rsidRPr="00AB59C9">
        <w:rPr>
          <w:rFonts w:eastAsia="Times New Roman"/>
          <w:b/>
          <w:bCs/>
          <w:szCs w:val="24"/>
          <w:lang w:val="en-US" w:eastAsia="zh-CN"/>
        </w:rPr>
        <w:t>236</w:t>
      </w:r>
      <w:r w:rsidRPr="00AB59C9">
        <w:rPr>
          <w:rFonts w:hint="eastAsia"/>
          <w:b/>
          <w:bCs/>
          <w:szCs w:val="24"/>
          <w:lang w:val="en-US" w:eastAsia="zh-CN"/>
        </w:rPr>
        <w:t>号决议</w:t>
      </w:r>
      <w:r w:rsidRPr="00AB59C9">
        <w:rPr>
          <w:rFonts w:ascii="SimSun" w:hAnsi="SimSun" w:cs="SimSun" w:hint="eastAsia"/>
          <w:b/>
          <w:bCs/>
          <w:szCs w:val="24"/>
          <w:lang w:val="en-US" w:eastAsia="zh-CN"/>
        </w:rPr>
        <w:t>（</w:t>
      </w:r>
      <w:r w:rsidRPr="00AB59C9">
        <w:rPr>
          <w:rFonts w:eastAsia="Times New Roman"/>
          <w:b/>
          <w:bCs/>
          <w:szCs w:val="24"/>
          <w:lang w:val="en-US" w:eastAsia="zh-CN"/>
        </w:rPr>
        <w:t>WRC-15</w:t>
      </w:r>
      <w:r w:rsidRPr="00AB59C9">
        <w:rPr>
          <w:rFonts w:ascii="SimSun" w:hAnsi="SimSun" w:cs="SimSun" w:hint="eastAsia"/>
          <w:b/>
          <w:bCs/>
          <w:szCs w:val="24"/>
          <w:lang w:val="en-US" w:eastAsia="zh-CN"/>
        </w:rPr>
        <w:t>）</w:t>
      </w:r>
      <w:r w:rsidRPr="00AB59C9">
        <w:rPr>
          <w:rFonts w:cstheme="majorBidi"/>
          <w:szCs w:val="24"/>
          <w:lang w:eastAsia="zh-CN"/>
        </w:rPr>
        <w:t>，</w:t>
      </w:r>
      <w:r w:rsidRPr="008E50BE">
        <w:rPr>
          <w:rFonts w:cstheme="majorBidi"/>
          <w:szCs w:val="24"/>
          <w:lang w:eastAsia="zh-CN"/>
        </w:rPr>
        <w:t>酌情采取必要行动促进全球或区域性的统一频段，以便在现有移动业务划分内为列车与轨旁间的铁路无线电通信系统提供支持；</w:t>
      </w:r>
    </w:p>
    <w:p w:rsidR="00B66BEB" w:rsidRPr="00331A64" w:rsidRDefault="00B66BEB" w:rsidP="00A42A24">
      <w:pPr>
        <w:rPr>
          <w:lang w:eastAsia="zh-CN"/>
        </w:rPr>
      </w:pPr>
    </w:p>
    <w:p w:rsidR="00822C58" w:rsidRPr="003818F6" w:rsidRDefault="008F5C6A" w:rsidP="00822C58">
      <w:pPr>
        <w:pStyle w:val="Headingb"/>
        <w:rPr>
          <w:lang w:eastAsia="zh-CN"/>
        </w:rPr>
      </w:pPr>
      <w:r>
        <w:rPr>
          <w:rFonts w:hint="eastAsia"/>
          <w:lang w:eastAsia="zh-CN"/>
        </w:rPr>
        <w:t>引言</w:t>
      </w:r>
    </w:p>
    <w:p w:rsidR="00822C58" w:rsidRPr="003818F6" w:rsidRDefault="008F5C6A" w:rsidP="00B66BEB">
      <w:pPr>
        <w:ind w:firstLineChars="200" w:firstLine="480"/>
        <w:rPr>
          <w:lang w:eastAsia="zh-CN"/>
        </w:rPr>
      </w:pPr>
      <w:r>
        <w:rPr>
          <w:rFonts w:hint="eastAsia"/>
          <w:lang w:val="en-US" w:eastAsia="zh-CN"/>
        </w:rPr>
        <w:t>第</w:t>
      </w:r>
      <w:r>
        <w:rPr>
          <w:b/>
          <w:bCs/>
          <w:lang w:val="en-US" w:eastAsia="zh-CN"/>
        </w:rPr>
        <w:t>236</w:t>
      </w:r>
      <w:r>
        <w:rPr>
          <w:rFonts w:hint="eastAsia"/>
          <w:b/>
          <w:bCs/>
          <w:lang w:val="en-US" w:eastAsia="zh-CN"/>
        </w:rPr>
        <w:t>号决议</w:t>
      </w:r>
      <w:r w:rsidRPr="00596F40">
        <w:rPr>
          <w:rFonts w:hint="eastAsia"/>
          <w:lang w:val="en-US" w:eastAsia="zh-CN"/>
        </w:rPr>
        <w:t>（</w:t>
      </w:r>
      <w:r w:rsidRPr="00E01D88">
        <w:rPr>
          <w:b/>
          <w:bCs/>
          <w:lang w:val="en-US" w:eastAsia="zh-CN"/>
        </w:rPr>
        <w:t>WRC</w:t>
      </w:r>
      <w:r w:rsidRPr="00715C5F">
        <w:rPr>
          <w:b/>
          <w:szCs w:val="24"/>
          <w:lang w:val="en-US" w:eastAsia="zh-CN"/>
        </w:rPr>
        <w:t>-15</w:t>
      </w:r>
      <w:r>
        <w:rPr>
          <w:szCs w:val="24"/>
          <w:lang w:val="en-US" w:eastAsia="zh-CN"/>
        </w:rPr>
        <w:t>）</w:t>
      </w:r>
      <w:r w:rsidRPr="00596F40">
        <w:rPr>
          <w:rFonts w:eastAsia="STKaiti"/>
          <w:szCs w:val="24"/>
          <w:lang w:val="en-US" w:eastAsia="zh-CN"/>
        </w:rPr>
        <w:t>做出决议，请</w:t>
      </w:r>
      <w:r w:rsidRPr="00596F40">
        <w:rPr>
          <w:rFonts w:eastAsia="STKaiti"/>
          <w:szCs w:val="24"/>
          <w:lang w:val="en-US" w:eastAsia="zh-CN"/>
        </w:rPr>
        <w:t>2019</w:t>
      </w:r>
      <w:r w:rsidRPr="00596F40">
        <w:rPr>
          <w:rFonts w:eastAsia="STKaiti"/>
          <w:szCs w:val="24"/>
          <w:lang w:val="en-US" w:eastAsia="zh-CN"/>
        </w:rPr>
        <w:t>年世界无线电通信大会</w:t>
      </w:r>
      <w:r>
        <w:rPr>
          <w:rFonts w:hint="eastAsia"/>
          <w:szCs w:val="24"/>
          <w:lang w:val="en-US" w:eastAsia="zh-CN"/>
        </w:rPr>
        <w:t>“</w:t>
      </w:r>
      <w:r w:rsidRPr="00F13368">
        <w:rPr>
          <w:lang w:eastAsia="zh-CN"/>
        </w:rPr>
        <w:t>在</w:t>
      </w:r>
      <w:r w:rsidRPr="00F13368">
        <w:rPr>
          <w:rFonts w:hint="eastAsia"/>
          <w:lang w:eastAsia="zh-CN"/>
        </w:rPr>
        <w:t>ITU-R</w:t>
      </w:r>
      <w:r w:rsidRPr="00F13368">
        <w:rPr>
          <w:lang w:eastAsia="zh-CN"/>
        </w:rPr>
        <w:t>研究结果的</w:t>
      </w:r>
      <w:r w:rsidR="00D01AE6">
        <w:rPr>
          <w:rFonts w:hint="eastAsia"/>
          <w:lang w:eastAsia="zh-CN"/>
        </w:rPr>
        <w:t>基础上</w:t>
      </w:r>
      <w:r w:rsidR="00D01AE6">
        <w:rPr>
          <w:rFonts w:hint="eastAsia"/>
          <w:lang w:val="en-US" w:eastAsia="zh-CN"/>
        </w:rPr>
        <w:t>酌情采取必要行动，尽可能</w:t>
      </w:r>
      <w:r w:rsidR="00B66BEB" w:rsidRPr="00F13368">
        <w:rPr>
          <w:rFonts w:hint="eastAsia"/>
          <w:lang w:val="en-US" w:eastAsia="zh-CN"/>
        </w:rPr>
        <w:t>在现有移动业务划分下</w:t>
      </w:r>
      <w:r w:rsidR="00D01AE6" w:rsidRPr="008E50BE">
        <w:rPr>
          <w:rFonts w:cstheme="majorBidi"/>
          <w:szCs w:val="24"/>
          <w:lang w:eastAsia="zh-CN"/>
        </w:rPr>
        <w:t>促进全球或区域性的统一频段</w:t>
      </w:r>
      <w:r w:rsidR="00D01AE6">
        <w:rPr>
          <w:rFonts w:cstheme="majorBidi"/>
          <w:szCs w:val="24"/>
          <w:lang w:eastAsia="zh-CN"/>
        </w:rPr>
        <w:t>，以实施</w:t>
      </w:r>
      <w:r w:rsidR="00D01AE6" w:rsidRPr="008E50BE">
        <w:rPr>
          <w:rFonts w:cstheme="majorBidi"/>
          <w:szCs w:val="24"/>
          <w:lang w:eastAsia="zh-CN"/>
        </w:rPr>
        <w:t>列车与轨旁间的铁路无线电通信</w:t>
      </w:r>
      <w:r w:rsidR="00D01AE6">
        <w:rPr>
          <w:rFonts w:cstheme="majorBidi"/>
          <w:szCs w:val="24"/>
          <w:lang w:eastAsia="zh-CN"/>
        </w:rPr>
        <w:t>系统</w:t>
      </w:r>
      <w:r>
        <w:rPr>
          <w:rFonts w:hint="eastAsia"/>
          <w:szCs w:val="24"/>
          <w:lang w:val="en-US" w:eastAsia="zh-CN"/>
        </w:rPr>
        <w:t>”</w:t>
      </w:r>
      <w:r>
        <w:rPr>
          <w:szCs w:val="24"/>
          <w:lang w:val="en-US" w:eastAsia="zh-CN"/>
        </w:rPr>
        <w:t>。</w:t>
      </w:r>
    </w:p>
    <w:p w:rsidR="00822C58" w:rsidRPr="003818F6" w:rsidRDefault="009E7DFC" w:rsidP="009E7DFC">
      <w:pPr>
        <w:ind w:firstLineChars="200" w:firstLine="480"/>
        <w:rPr>
          <w:szCs w:val="24"/>
          <w:lang w:eastAsia="zh-CN"/>
        </w:rPr>
      </w:pPr>
      <w:r>
        <w:rPr>
          <w:lang w:val="en-US" w:eastAsia="zh-CN"/>
        </w:rPr>
        <w:t>RCC</w:t>
      </w:r>
      <w:r>
        <w:rPr>
          <w:rFonts w:hint="eastAsia"/>
          <w:lang w:val="en-US" w:eastAsia="zh-CN"/>
        </w:rPr>
        <w:t>主管部门认为</w:t>
      </w:r>
      <w:r w:rsidR="002B55F3">
        <w:rPr>
          <w:rFonts w:hint="eastAsia"/>
          <w:lang w:val="en-US" w:eastAsia="zh-CN"/>
        </w:rPr>
        <w:t>，通过制定</w:t>
      </w:r>
      <w:r w:rsidR="002B55F3" w:rsidRPr="0063155F">
        <w:rPr>
          <w:lang w:val="en-US" w:eastAsia="zh-CN"/>
        </w:rPr>
        <w:t>ITU-R</w:t>
      </w:r>
      <w:r w:rsidR="002B55F3">
        <w:rPr>
          <w:rFonts w:hint="eastAsia"/>
          <w:lang w:val="en-US" w:eastAsia="zh-CN"/>
        </w:rPr>
        <w:t>相关建议书和报告，在现有移动业务频率划分内</w:t>
      </w:r>
      <w:r>
        <w:rPr>
          <w:rFonts w:hint="eastAsia"/>
          <w:lang w:val="en-US" w:eastAsia="zh-CN"/>
        </w:rPr>
        <w:t>，</w:t>
      </w:r>
      <w:r w:rsidR="002B55F3">
        <w:rPr>
          <w:rFonts w:hint="eastAsia"/>
          <w:lang w:val="en-US" w:eastAsia="zh-CN"/>
        </w:rPr>
        <w:t>在全球或区域层面统一频段</w:t>
      </w:r>
      <w:r w:rsidR="002B55F3">
        <w:rPr>
          <w:rFonts w:hint="eastAsia"/>
          <w:lang w:eastAsia="zh-CN"/>
        </w:rPr>
        <w:t>是适当的。</w:t>
      </w:r>
    </w:p>
    <w:p w:rsidR="00822C58" w:rsidRPr="003818F6" w:rsidRDefault="009E7DFC" w:rsidP="009E7DFC">
      <w:pPr>
        <w:ind w:firstLineChars="200" w:firstLine="480"/>
        <w:rPr>
          <w:szCs w:val="24"/>
          <w:lang w:eastAsia="zh-CN"/>
        </w:rPr>
      </w:pPr>
      <w:r>
        <w:rPr>
          <w:lang w:val="en-US" w:eastAsia="zh-CN"/>
        </w:rPr>
        <w:t>RCC</w:t>
      </w:r>
      <w:r>
        <w:rPr>
          <w:rFonts w:hint="eastAsia"/>
          <w:lang w:val="en-US" w:eastAsia="zh-CN"/>
        </w:rPr>
        <w:t>主管部门主张，用于铁路运输系统的统一频段不对这些频段内已有划分的业务施加额外的限制，并应满足不对政府通信系统产生干扰的条件。</w:t>
      </w:r>
    </w:p>
    <w:p w:rsidR="00822C58" w:rsidRPr="003818F6" w:rsidRDefault="008F5C6A" w:rsidP="00822C58">
      <w:pPr>
        <w:pStyle w:val="Headingb"/>
        <w:rPr>
          <w:lang w:eastAsia="zh-CN"/>
        </w:rPr>
      </w:pPr>
      <w:r>
        <w:rPr>
          <w:rFonts w:hint="eastAsia"/>
          <w:lang w:eastAsia="zh-CN"/>
        </w:rPr>
        <w:t>提案</w:t>
      </w:r>
    </w:p>
    <w:p w:rsidR="00822C58" w:rsidRPr="00B34F74" w:rsidRDefault="00822C58" w:rsidP="009E7DFC">
      <w:pPr>
        <w:ind w:firstLineChars="200" w:firstLine="480"/>
        <w:rPr>
          <w:lang w:eastAsia="zh-CN"/>
        </w:rPr>
      </w:pPr>
      <w:r>
        <w:rPr>
          <w:lang w:val="en-US" w:eastAsia="zh-CN"/>
        </w:rPr>
        <w:t>RCC</w:t>
      </w:r>
      <w:r w:rsidR="009E7DFC">
        <w:rPr>
          <w:lang w:val="en-US" w:eastAsia="zh-CN"/>
        </w:rPr>
        <w:t>主管部门认为无需因</w:t>
      </w:r>
      <w:r w:rsidR="009E7DFC">
        <w:rPr>
          <w:rFonts w:hint="eastAsia"/>
          <w:lang w:val="en-US" w:eastAsia="zh-CN"/>
        </w:rPr>
        <w:t>W</w:t>
      </w:r>
      <w:r w:rsidR="009E7DFC">
        <w:rPr>
          <w:lang w:val="en-US" w:eastAsia="zh-CN"/>
        </w:rPr>
        <w:t>RC-19</w:t>
      </w:r>
      <w:r w:rsidR="009E7DFC">
        <w:rPr>
          <w:lang w:val="en-US" w:eastAsia="zh-CN"/>
        </w:rPr>
        <w:t>议项</w:t>
      </w:r>
      <w:r w:rsidR="009E7DFC">
        <w:rPr>
          <w:rFonts w:hint="eastAsia"/>
          <w:lang w:val="en-US" w:eastAsia="zh-CN"/>
        </w:rPr>
        <w:t>1</w:t>
      </w:r>
      <w:r w:rsidR="009E7DFC">
        <w:rPr>
          <w:lang w:val="en-US" w:eastAsia="zh-CN"/>
        </w:rPr>
        <w:t>.11</w:t>
      </w:r>
      <w:r w:rsidR="009E7DFC">
        <w:rPr>
          <w:lang w:val="en-US" w:eastAsia="zh-CN"/>
        </w:rPr>
        <w:t>而对《无线电规则》进行修改（</w:t>
      </w:r>
      <w:r w:rsidR="009E7DFC">
        <w:rPr>
          <w:rFonts w:hint="eastAsia"/>
          <w:lang w:val="en-US" w:eastAsia="zh-CN"/>
        </w:rPr>
        <w:t>C</w:t>
      </w:r>
      <w:r w:rsidR="009E7DFC">
        <w:rPr>
          <w:lang w:val="en-US" w:eastAsia="zh-CN"/>
        </w:rPr>
        <w:t>PM</w:t>
      </w:r>
      <w:r w:rsidR="009E7DFC">
        <w:rPr>
          <w:lang w:val="en-US" w:eastAsia="zh-CN"/>
        </w:rPr>
        <w:t>报告的方法</w:t>
      </w:r>
      <w:r w:rsidR="009E7DFC">
        <w:rPr>
          <w:lang w:val="en-US" w:eastAsia="zh-CN"/>
        </w:rPr>
        <w:t>A</w:t>
      </w:r>
      <w:r w:rsidR="009E7DFC">
        <w:rPr>
          <w:lang w:val="en-US" w:eastAsia="zh-CN"/>
        </w:rPr>
        <w:t>）。</w:t>
      </w:r>
    </w:p>
    <w:p w:rsidR="00822C58" w:rsidRPr="003818F6" w:rsidRDefault="00822C58" w:rsidP="00B66BEB">
      <w:pPr>
        <w:ind w:firstLineChars="200" w:firstLine="480"/>
        <w:rPr>
          <w:lang w:eastAsia="zh-CN"/>
        </w:rPr>
      </w:pPr>
      <w:r>
        <w:rPr>
          <w:lang w:eastAsia="zh-CN"/>
        </w:rPr>
        <w:t>RCC</w:t>
      </w:r>
      <w:r w:rsidR="009E7DFC">
        <w:rPr>
          <w:lang w:eastAsia="zh-CN"/>
        </w:rPr>
        <w:t>有关</w:t>
      </w:r>
      <w:r w:rsidR="009E7DFC">
        <w:rPr>
          <w:rFonts w:hint="eastAsia"/>
          <w:lang w:val="en-US" w:eastAsia="zh-CN"/>
        </w:rPr>
        <w:t>W</w:t>
      </w:r>
      <w:r w:rsidR="009E7DFC">
        <w:rPr>
          <w:lang w:val="en-US" w:eastAsia="zh-CN"/>
        </w:rPr>
        <w:t>RC-19</w:t>
      </w:r>
      <w:r w:rsidR="009E7DFC">
        <w:rPr>
          <w:lang w:val="en-US" w:eastAsia="zh-CN"/>
        </w:rPr>
        <w:t>议项</w:t>
      </w:r>
      <w:r w:rsidR="009E7DFC">
        <w:rPr>
          <w:rFonts w:hint="eastAsia"/>
          <w:lang w:val="en-US" w:eastAsia="zh-CN"/>
        </w:rPr>
        <w:t>1</w:t>
      </w:r>
      <w:r w:rsidR="009E7DFC">
        <w:rPr>
          <w:lang w:val="en-US" w:eastAsia="zh-CN"/>
        </w:rPr>
        <w:t>.11</w:t>
      </w:r>
      <w:r w:rsidR="009E7DFC">
        <w:rPr>
          <w:lang w:val="en-US" w:eastAsia="zh-CN"/>
        </w:rPr>
        <w:t>的提案载于本文附件中。</w:t>
      </w:r>
    </w:p>
    <w:p w:rsidR="00622560" w:rsidRDefault="00622560" w:rsidP="003E5931">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56974" w:rsidRDefault="00CF0A8C"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rsidR="00F56974" w:rsidRDefault="00CF0A8C" w:rsidP="00F56974">
      <w:pPr>
        <w:pStyle w:val="Arttitle"/>
        <w:rPr>
          <w:lang w:eastAsia="zh-CN"/>
        </w:rPr>
      </w:pPr>
      <w:bookmarkStart w:id="7" w:name="_Toc329768663"/>
      <w:bookmarkStart w:id="8" w:name="_Toc454286538"/>
      <w:r>
        <w:rPr>
          <w:rFonts w:hint="eastAsia"/>
          <w:lang w:eastAsia="zh-CN"/>
        </w:rPr>
        <w:t>频率划分</w:t>
      </w:r>
      <w:bookmarkEnd w:id="7"/>
      <w:bookmarkEnd w:id="8"/>
    </w:p>
    <w:p w:rsidR="005E2A51" w:rsidRDefault="00CF0A8C">
      <w:pPr>
        <w:pStyle w:val="Proposal"/>
        <w:rPr>
          <w:lang w:eastAsia="zh-CN"/>
        </w:rPr>
      </w:pPr>
      <w:r>
        <w:rPr>
          <w:u w:val="single"/>
          <w:lang w:eastAsia="zh-CN"/>
        </w:rPr>
        <w:t>NOC</w:t>
      </w:r>
      <w:r>
        <w:rPr>
          <w:lang w:eastAsia="zh-CN"/>
        </w:rPr>
        <w:tab/>
        <w:t>RCC/12A11/1</w:t>
      </w:r>
    </w:p>
    <w:p w:rsidR="00F56974" w:rsidRDefault="00CF0A8C"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rsidR="005E2A51" w:rsidRDefault="00CF0A8C" w:rsidP="008159C7">
      <w:pPr>
        <w:pStyle w:val="Reasons"/>
        <w:rPr>
          <w:lang w:eastAsia="zh-CN"/>
        </w:rPr>
      </w:pPr>
      <w:r>
        <w:rPr>
          <w:b/>
          <w:lang w:eastAsia="zh-CN"/>
        </w:rPr>
        <w:t>理由：</w:t>
      </w:r>
      <w:r>
        <w:rPr>
          <w:lang w:eastAsia="zh-CN"/>
        </w:rPr>
        <w:tab/>
      </w:r>
      <w:r w:rsidR="008159C7">
        <w:rPr>
          <w:lang w:eastAsia="zh-CN"/>
        </w:rPr>
        <w:t>通过</w:t>
      </w:r>
      <w:r w:rsidR="008159C7">
        <w:rPr>
          <w:rFonts w:hint="eastAsia"/>
          <w:lang w:val="en-US" w:eastAsia="zh-CN"/>
        </w:rPr>
        <w:t>制定</w:t>
      </w:r>
      <w:r w:rsidR="008159C7" w:rsidRPr="0063155F">
        <w:rPr>
          <w:lang w:val="en-US" w:eastAsia="zh-CN"/>
        </w:rPr>
        <w:t>ITU-R</w:t>
      </w:r>
      <w:r w:rsidR="008159C7">
        <w:rPr>
          <w:rFonts w:hint="eastAsia"/>
          <w:lang w:val="en-US" w:eastAsia="zh-CN"/>
        </w:rPr>
        <w:t>建议书，足以实现为</w:t>
      </w:r>
      <w:r w:rsidR="008159C7" w:rsidRPr="008E50BE">
        <w:rPr>
          <w:rFonts w:cstheme="majorBidi"/>
          <w:szCs w:val="24"/>
          <w:lang w:eastAsia="zh-CN"/>
        </w:rPr>
        <w:t>列车与轨旁间的铁路无线电通信系统</w:t>
      </w:r>
      <w:r w:rsidR="008159C7">
        <w:rPr>
          <w:rFonts w:cstheme="majorBidi"/>
          <w:szCs w:val="24"/>
          <w:lang w:eastAsia="zh-CN"/>
        </w:rPr>
        <w:t>统一频段的目标。</w:t>
      </w:r>
    </w:p>
    <w:p w:rsidR="005E2A51" w:rsidRDefault="00CF0A8C">
      <w:pPr>
        <w:pStyle w:val="Proposal"/>
        <w:rPr>
          <w:lang w:eastAsia="zh-CN"/>
        </w:rPr>
      </w:pPr>
      <w:r>
        <w:rPr>
          <w:lang w:eastAsia="zh-CN"/>
        </w:rPr>
        <w:t>SUP</w:t>
      </w:r>
      <w:r>
        <w:rPr>
          <w:lang w:eastAsia="zh-CN"/>
        </w:rPr>
        <w:tab/>
        <w:t>RCC/12A11/2</w:t>
      </w:r>
    </w:p>
    <w:p w:rsidR="00895F03" w:rsidRPr="00D9025D" w:rsidRDefault="00CF0A8C" w:rsidP="00D9025D">
      <w:pPr>
        <w:pStyle w:val="ResNo"/>
        <w:rPr>
          <w:lang w:eastAsia="zh-CN"/>
        </w:rPr>
      </w:pPr>
      <w:bookmarkStart w:id="9" w:name="_Toc451159105"/>
      <w:r w:rsidRPr="00D9025D">
        <w:rPr>
          <w:rFonts w:hint="eastAsia"/>
          <w:lang w:eastAsia="zh-CN"/>
        </w:rPr>
        <w:t>第</w:t>
      </w:r>
      <w:r w:rsidRPr="00D9025D">
        <w:rPr>
          <w:rStyle w:val="href"/>
          <w:lang w:eastAsia="zh-CN"/>
        </w:rPr>
        <w:t>236</w:t>
      </w:r>
      <w:r w:rsidRPr="00D9025D">
        <w:rPr>
          <w:rFonts w:hint="eastAsia"/>
          <w:lang w:eastAsia="zh-CN"/>
        </w:rPr>
        <w:t>号决议（</w:t>
      </w:r>
      <w:r w:rsidRPr="00D9025D">
        <w:rPr>
          <w:lang w:eastAsia="zh-CN"/>
        </w:rPr>
        <w:t>wrc-15</w:t>
      </w:r>
      <w:r w:rsidRPr="00D9025D">
        <w:rPr>
          <w:rFonts w:hint="eastAsia"/>
          <w:lang w:eastAsia="zh-CN"/>
        </w:rPr>
        <w:t>）</w:t>
      </w:r>
      <w:bookmarkEnd w:id="9"/>
    </w:p>
    <w:p w:rsidR="00895F03" w:rsidRPr="00D9025D" w:rsidRDefault="00CF0A8C" w:rsidP="00D9025D">
      <w:pPr>
        <w:pStyle w:val="Restitle"/>
        <w:rPr>
          <w:lang w:eastAsia="zh-CN"/>
        </w:rPr>
      </w:pPr>
      <w:bookmarkStart w:id="10" w:name="_Toc451159106"/>
      <w:r w:rsidRPr="00D9025D">
        <w:rPr>
          <w:rFonts w:hint="eastAsia"/>
          <w:lang w:eastAsia="zh-CN"/>
        </w:rPr>
        <w:t>列车与轨旁间铁路无线电通信系统</w:t>
      </w:r>
      <w:bookmarkEnd w:id="10"/>
    </w:p>
    <w:p w:rsidR="00CF0A8C" w:rsidRDefault="00CF0A8C" w:rsidP="008159C7">
      <w:pPr>
        <w:pStyle w:val="Reasons"/>
        <w:rPr>
          <w:lang w:val="en-US" w:eastAsia="zh-CN"/>
        </w:rPr>
      </w:pPr>
      <w:r>
        <w:rPr>
          <w:b/>
          <w:lang w:eastAsia="zh-CN"/>
        </w:rPr>
        <w:t>理由：</w:t>
      </w:r>
      <w:r>
        <w:rPr>
          <w:lang w:eastAsia="zh-CN"/>
        </w:rPr>
        <w:tab/>
      </w:r>
      <w:r w:rsidR="008159C7">
        <w:rPr>
          <w:lang w:eastAsia="zh-CN"/>
        </w:rPr>
        <w:t>根据</w:t>
      </w:r>
      <w:r w:rsidR="008159C7">
        <w:rPr>
          <w:rFonts w:hint="eastAsia"/>
          <w:lang w:val="en-US" w:eastAsia="zh-CN"/>
        </w:rPr>
        <w:t>W</w:t>
      </w:r>
      <w:r w:rsidR="008159C7">
        <w:rPr>
          <w:lang w:val="en-US" w:eastAsia="zh-CN"/>
        </w:rPr>
        <w:t>RC-19</w:t>
      </w:r>
      <w:r w:rsidR="008159C7">
        <w:rPr>
          <w:lang w:val="en-US" w:eastAsia="zh-CN"/>
        </w:rPr>
        <w:t>议项</w:t>
      </w:r>
      <w:r w:rsidR="008159C7">
        <w:rPr>
          <w:rFonts w:hint="eastAsia"/>
          <w:lang w:val="en-US" w:eastAsia="zh-CN"/>
        </w:rPr>
        <w:t>1</w:t>
      </w:r>
      <w:r w:rsidR="008159C7">
        <w:rPr>
          <w:lang w:val="en-US" w:eastAsia="zh-CN"/>
        </w:rPr>
        <w:t>.11</w:t>
      </w:r>
      <w:r w:rsidR="008159C7">
        <w:rPr>
          <w:lang w:val="en-US" w:eastAsia="zh-CN"/>
        </w:rPr>
        <w:t>开展的研究已经完成。</w:t>
      </w:r>
    </w:p>
    <w:p w:rsidR="00E8521E" w:rsidRDefault="00E8521E" w:rsidP="008159C7">
      <w:pPr>
        <w:pStyle w:val="Reasons"/>
        <w:rPr>
          <w:lang w:eastAsia="zh-CN"/>
        </w:rPr>
      </w:pPr>
      <w:bookmarkStart w:id="11" w:name="_GoBack"/>
    </w:p>
    <w:bookmarkEnd w:id="11"/>
    <w:p w:rsidR="00CF0A8C" w:rsidRDefault="00CF0A8C">
      <w:pPr>
        <w:jc w:val="center"/>
      </w:pPr>
      <w:r>
        <w:t>______________</w:t>
      </w:r>
    </w:p>
    <w:p w:rsidR="005E2A51" w:rsidRDefault="005E2A51">
      <w:pPr>
        <w:pStyle w:val="Reasons"/>
      </w:pPr>
    </w:p>
    <w:sectPr w:rsidR="005E2A51">
      <w:headerReference w:type="default" r:id="rId11"/>
      <w:footerReference w:type="default" r:id="rId12"/>
      <w:footerReference w:type="first" r:id="rId13"/>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9C" w:rsidRDefault="008D6D9C">
      <w:r>
        <w:separator/>
      </w:r>
    </w:p>
  </w:endnote>
  <w:endnote w:type="continuationSeparator" w:id="0">
    <w:p w:rsidR="008D6D9C" w:rsidRDefault="008D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6AA" w:rsidRPr="00DA0469" w:rsidRDefault="000836AA" w:rsidP="000836AA">
    <w:pPr>
      <w:pStyle w:val="Footer"/>
      <w:rPr>
        <w:lang w:val="en-US"/>
      </w:rPr>
    </w:pPr>
    <w:r>
      <w:fldChar w:fldCharType="begin"/>
    </w:r>
    <w:r w:rsidRPr="00DA0469">
      <w:rPr>
        <w:lang w:val="en-US"/>
      </w:rPr>
      <w:instrText xml:space="preserve"> FILENAME \p \* MERGEFORMAT </w:instrText>
    </w:r>
    <w:r>
      <w:fldChar w:fldCharType="separate"/>
    </w:r>
    <w:r w:rsidR="00792FDB">
      <w:rPr>
        <w:lang w:val="en-US"/>
      </w:rPr>
      <w:t>P:\CHI\ITU-R\CONF-R\CMR19\000\012ADD11C.docx</w:t>
    </w:r>
    <w:r>
      <w:fldChar w:fldCharType="end"/>
    </w:r>
    <w:r>
      <w:t xml:space="preserve"> (458148)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92FDB">
      <w:rPr>
        <w:lang w:val="en-US"/>
      </w:rPr>
      <w:t>P:\CHI\ITU-R\CONF-R\CMR19\000\012ADD11C.docx</w:t>
    </w:r>
    <w:r>
      <w:fldChar w:fldCharType="end"/>
    </w:r>
    <w:r w:rsidR="000836AA">
      <w:t xml:space="preserve"> (458148)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9C" w:rsidRDefault="008D6D9C">
      <w:r>
        <w:t>____________________</w:t>
      </w:r>
    </w:p>
  </w:footnote>
  <w:footnote w:type="continuationSeparator" w:id="0">
    <w:p w:rsidR="008D6D9C" w:rsidRDefault="008D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92FDB">
      <w:rPr>
        <w:rStyle w:val="PageNumber"/>
        <w:noProof/>
      </w:rPr>
      <w:t>2</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36AA"/>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B55F3"/>
    <w:rsid w:val="002E2A59"/>
    <w:rsid w:val="002E4507"/>
    <w:rsid w:val="00305254"/>
    <w:rsid w:val="003169D2"/>
    <w:rsid w:val="00330EEF"/>
    <w:rsid w:val="003B4BEF"/>
    <w:rsid w:val="003B6399"/>
    <w:rsid w:val="003C6B45"/>
    <w:rsid w:val="003E48E2"/>
    <w:rsid w:val="003E5931"/>
    <w:rsid w:val="0041282E"/>
    <w:rsid w:val="00437869"/>
    <w:rsid w:val="004461D1"/>
    <w:rsid w:val="00465A34"/>
    <w:rsid w:val="004B4C76"/>
    <w:rsid w:val="004C4554"/>
    <w:rsid w:val="004D2DEC"/>
    <w:rsid w:val="004F2BE6"/>
    <w:rsid w:val="00527E8A"/>
    <w:rsid w:val="00542E85"/>
    <w:rsid w:val="00562479"/>
    <w:rsid w:val="00576849"/>
    <w:rsid w:val="005A0ACB"/>
    <w:rsid w:val="005E08D2"/>
    <w:rsid w:val="005E2A51"/>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92FDB"/>
    <w:rsid w:val="007B7C4B"/>
    <w:rsid w:val="007F0FC5"/>
    <w:rsid w:val="007F5C36"/>
    <w:rsid w:val="008047DB"/>
    <w:rsid w:val="00810D7E"/>
    <w:rsid w:val="008129A9"/>
    <w:rsid w:val="008159C7"/>
    <w:rsid w:val="008221A4"/>
    <w:rsid w:val="00822C58"/>
    <w:rsid w:val="00824BD6"/>
    <w:rsid w:val="0083672D"/>
    <w:rsid w:val="00844734"/>
    <w:rsid w:val="00865DFB"/>
    <w:rsid w:val="00896A79"/>
    <w:rsid w:val="008A7416"/>
    <w:rsid w:val="008B6852"/>
    <w:rsid w:val="008C26FF"/>
    <w:rsid w:val="008D1D14"/>
    <w:rsid w:val="008D6D9C"/>
    <w:rsid w:val="008E1785"/>
    <w:rsid w:val="008E7127"/>
    <w:rsid w:val="008E7C8E"/>
    <w:rsid w:val="008F5C6A"/>
    <w:rsid w:val="00912959"/>
    <w:rsid w:val="009657F9"/>
    <w:rsid w:val="0099525B"/>
    <w:rsid w:val="009C72B7"/>
    <w:rsid w:val="009E7DFC"/>
    <w:rsid w:val="00A0052C"/>
    <w:rsid w:val="00A31B14"/>
    <w:rsid w:val="00A323DC"/>
    <w:rsid w:val="00A466E6"/>
    <w:rsid w:val="00A815BE"/>
    <w:rsid w:val="00A93295"/>
    <w:rsid w:val="00AA5DA1"/>
    <w:rsid w:val="00AC2C94"/>
    <w:rsid w:val="00AE369F"/>
    <w:rsid w:val="00B026CB"/>
    <w:rsid w:val="00B50377"/>
    <w:rsid w:val="00B66BEB"/>
    <w:rsid w:val="00B711CC"/>
    <w:rsid w:val="00B851D4"/>
    <w:rsid w:val="00B868FC"/>
    <w:rsid w:val="00B95072"/>
    <w:rsid w:val="00BB26CD"/>
    <w:rsid w:val="00BD623B"/>
    <w:rsid w:val="00C07239"/>
    <w:rsid w:val="00C364B1"/>
    <w:rsid w:val="00C47D87"/>
    <w:rsid w:val="00C627F9"/>
    <w:rsid w:val="00C6584D"/>
    <w:rsid w:val="00C929E0"/>
    <w:rsid w:val="00CB4E5A"/>
    <w:rsid w:val="00CC73D7"/>
    <w:rsid w:val="00CF0A8C"/>
    <w:rsid w:val="00CF0AD7"/>
    <w:rsid w:val="00CF0BE1"/>
    <w:rsid w:val="00CF7C2B"/>
    <w:rsid w:val="00D01AE6"/>
    <w:rsid w:val="00D06C6B"/>
    <w:rsid w:val="00D2196E"/>
    <w:rsid w:val="00D52A14"/>
    <w:rsid w:val="00D5451C"/>
    <w:rsid w:val="00D6206A"/>
    <w:rsid w:val="00D74599"/>
    <w:rsid w:val="00DA0469"/>
    <w:rsid w:val="00DD13B7"/>
    <w:rsid w:val="00DF3B0C"/>
    <w:rsid w:val="00E14984"/>
    <w:rsid w:val="00E22A25"/>
    <w:rsid w:val="00E560F1"/>
    <w:rsid w:val="00E8521E"/>
    <w:rsid w:val="00E92319"/>
    <w:rsid w:val="00F04E5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d31c59-0b8e-4d41-b351-c1a311ab1621" targetNamespace="http://schemas.microsoft.com/office/2006/metadata/properties" ma:root="true" ma:fieldsID="d41af5c836d734370eb92e7ee5f83852" ns2:_="" ns3:_="">
    <xsd:import namespace="996b2e75-67fd-4955-a3b0-5ab9934cb50b"/>
    <xsd:import namespace="6ad31c59-0b8e-4d41-b351-c1a311ab162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d31c59-0b8e-4d41-b351-c1a311ab162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ad31c59-0b8e-4d41-b351-c1a311ab1621">DPM</DPM_x0020_Author>
    <DPM_x0020_File_x0020_name xmlns="6ad31c59-0b8e-4d41-b351-c1a311ab1621">R16-WRC19-C-0012!A11!MSW-C</DPM_x0020_File_x0020_name>
    <DPM_x0020_Version xmlns="6ad31c59-0b8e-4d41-b351-c1a311ab1621">DPM_2019.06.28.01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d31c59-0b8e-4d41-b351-c1a311ab1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6ad31c59-0b8e-4d41-b351-c1a311ab1621"/>
    <ds:schemaRef ds:uri="http://purl.org/dc/elements/1.1/"/>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516</Words>
  <Characters>660</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R16-WRC19-C-0012!A11!MSW-C</vt:lpstr>
    </vt:vector>
  </TitlesOfParts>
  <Manager>General Secretariat - Pool</Manager>
  <Company>International Telecommunication Union (ITU)</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R16-WRC19-C-0012!A11!MSW-C</dc:title>
  <dc:subject>World Radiocommunication Conference - 2019</dc:subject>
  <dc:creator>Documents Proposals Manager (DPM)</dc:creator>
  <cp:keywords>DPM_v2019.6.28.1_prod</cp:keywords>
  <dc:description/>
  <cp:lastModifiedBy>Yuan, Tianxiang</cp:lastModifiedBy>
  <cp:revision>5</cp:revision>
  <cp:lastPrinted>2019-07-22T08:06:00Z</cp:lastPrinted>
  <dcterms:created xsi:type="dcterms:W3CDTF">2019-07-22T08:04:00Z</dcterms:created>
  <dcterms:modified xsi:type="dcterms:W3CDTF">2019-07-22T08:07:00Z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