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B70B3D9" w14:textId="77777777">
        <w:trPr>
          <w:cantSplit/>
        </w:trPr>
        <w:tc>
          <w:tcPr>
            <w:tcW w:w="6911" w:type="dxa"/>
          </w:tcPr>
          <w:p w14:paraId="7CCE21B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AF03011" w14:textId="77777777" w:rsidR="00A066F1" w:rsidRDefault="005F04D8" w:rsidP="003B2284">
            <w:pPr>
              <w:spacing w:before="0" w:line="240" w:lineRule="atLeast"/>
              <w:jc w:val="right"/>
            </w:pPr>
            <w:r>
              <w:rPr>
                <w:noProof/>
                <w:lang w:eastAsia="zh-CN"/>
              </w:rPr>
              <w:drawing>
                <wp:inline distT="0" distB="0" distL="0" distR="0" wp14:anchorId="69A98A6F" wp14:editId="2830A8B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BF1AD4A" w14:textId="77777777">
        <w:trPr>
          <w:cantSplit/>
        </w:trPr>
        <w:tc>
          <w:tcPr>
            <w:tcW w:w="6911" w:type="dxa"/>
            <w:tcBorders>
              <w:bottom w:val="single" w:sz="12" w:space="0" w:color="auto"/>
            </w:tcBorders>
          </w:tcPr>
          <w:p w14:paraId="6DB0641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2FCEBE0" w14:textId="77777777" w:rsidR="00A066F1" w:rsidRPr="00617BE4" w:rsidRDefault="00A066F1" w:rsidP="00A066F1">
            <w:pPr>
              <w:spacing w:before="0" w:line="240" w:lineRule="atLeast"/>
              <w:rPr>
                <w:rFonts w:ascii="Verdana" w:hAnsi="Verdana"/>
                <w:szCs w:val="24"/>
              </w:rPr>
            </w:pPr>
          </w:p>
        </w:tc>
      </w:tr>
      <w:tr w:rsidR="00A066F1" w:rsidRPr="00C324A8" w14:paraId="4E253868" w14:textId="77777777">
        <w:trPr>
          <w:cantSplit/>
        </w:trPr>
        <w:tc>
          <w:tcPr>
            <w:tcW w:w="6911" w:type="dxa"/>
            <w:tcBorders>
              <w:top w:val="single" w:sz="12" w:space="0" w:color="auto"/>
            </w:tcBorders>
          </w:tcPr>
          <w:p w14:paraId="6191E39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4D44343" w14:textId="77777777" w:rsidR="00A066F1" w:rsidRPr="00C324A8" w:rsidRDefault="00A066F1" w:rsidP="00A066F1">
            <w:pPr>
              <w:spacing w:before="0" w:line="240" w:lineRule="atLeast"/>
              <w:rPr>
                <w:rFonts w:ascii="Verdana" w:hAnsi="Verdana"/>
                <w:sz w:val="20"/>
              </w:rPr>
            </w:pPr>
          </w:p>
        </w:tc>
      </w:tr>
      <w:tr w:rsidR="00A066F1" w:rsidRPr="00C324A8" w14:paraId="6805BBFE" w14:textId="77777777">
        <w:trPr>
          <w:cantSplit/>
          <w:trHeight w:val="23"/>
        </w:trPr>
        <w:tc>
          <w:tcPr>
            <w:tcW w:w="6911" w:type="dxa"/>
            <w:shd w:val="clear" w:color="auto" w:fill="auto"/>
          </w:tcPr>
          <w:p w14:paraId="04F1CA2C"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AE5AC09"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11</w:t>
            </w:r>
            <w:r w:rsidR="00A066F1" w:rsidRPr="00841216">
              <w:rPr>
                <w:rFonts w:ascii="Verdana" w:hAnsi="Verdana"/>
                <w:b/>
                <w:sz w:val="20"/>
              </w:rPr>
              <w:t>-</w:t>
            </w:r>
            <w:r w:rsidR="005E10C9" w:rsidRPr="00841216">
              <w:rPr>
                <w:rFonts w:ascii="Verdana" w:hAnsi="Verdana"/>
                <w:b/>
                <w:sz w:val="20"/>
              </w:rPr>
              <w:t>E</w:t>
            </w:r>
          </w:p>
        </w:tc>
      </w:tr>
      <w:tr w:rsidR="00A066F1" w:rsidRPr="00C324A8" w14:paraId="2A716A06" w14:textId="77777777">
        <w:trPr>
          <w:cantSplit/>
          <w:trHeight w:val="23"/>
        </w:trPr>
        <w:tc>
          <w:tcPr>
            <w:tcW w:w="6911" w:type="dxa"/>
            <w:shd w:val="clear" w:color="auto" w:fill="auto"/>
          </w:tcPr>
          <w:p w14:paraId="3F0A009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DC5DB0C"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2019</w:t>
            </w:r>
          </w:p>
        </w:tc>
      </w:tr>
      <w:tr w:rsidR="00A066F1" w:rsidRPr="00C324A8" w14:paraId="6E24FC8B" w14:textId="77777777">
        <w:trPr>
          <w:cantSplit/>
          <w:trHeight w:val="23"/>
        </w:trPr>
        <w:tc>
          <w:tcPr>
            <w:tcW w:w="6911" w:type="dxa"/>
            <w:shd w:val="clear" w:color="auto" w:fill="auto"/>
          </w:tcPr>
          <w:p w14:paraId="5BFD3C06"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CF495D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5D1C76">
              <w:rPr>
                <w:rFonts w:ascii="Verdana" w:hAnsi="Verdana"/>
                <w:b/>
                <w:sz w:val="20"/>
              </w:rPr>
              <w:t>/Spanish</w:t>
            </w:r>
          </w:p>
        </w:tc>
      </w:tr>
      <w:tr w:rsidR="00A066F1" w:rsidRPr="00C324A8" w14:paraId="4883EA43" w14:textId="77777777" w:rsidTr="00025864">
        <w:trPr>
          <w:cantSplit/>
          <w:trHeight w:val="23"/>
        </w:trPr>
        <w:tc>
          <w:tcPr>
            <w:tcW w:w="10031" w:type="dxa"/>
            <w:gridSpan w:val="2"/>
            <w:shd w:val="clear" w:color="auto" w:fill="auto"/>
          </w:tcPr>
          <w:p w14:paraId="1BF95D7B" w14:textId="77777777" w:rsidR="00A066F1" w:rsidRPr="00C324A8" w:rsidRDefault="00A066F1" w:rsidP="00A066F1">
            <w:pPr>
              <w:tabs>
                <w:tab w:val="left" w:pos="993"/>
              </w:tabs>
              <w:spacing w:before="0"/>
              <w:rPr>
                <w:rFonts w:ascii="Verdana" w:hAnsi="Verdana"/>
                <w:b/>
                <w:sz w:val="20"/>
              </w:rPr>
            </w:pPr>
          </w:p>
        </w:tc>
      </w:tr>
      <w:tr w:rsidR="00E55816" w:rsidRPr="00C324A8" w14:paraId="3F4F7E61" w14:textId="77777777" w:rsidTr="00025864">
        <w:trPr>
          <w:cantSplit/>
          <w:trHeight w:val="23"/>
        </w:trPr>
        <w:tc>
          <w:tcPr>
            <w:tcW w:w="10031" w:type="dxa"/>
            <w:gridSpan w:val="2"/>
            <w:shd w:val="clear" w:color="auto" w:fill="auto"/>
          </w:tcPr>
          <w:p w14:paraId="07BED71F" w14:textId="77777777" w:rsidR="00E55816" w:rsidRDefault="00884D60" w:rsidP="00E55816">
            <w:pPr>
              <w:pStyle w:val="Source"/>
            </w:pPr>
            <w:r>
              <w:t>Member States of the Inter-American Telecommunication Commission (CITEL)</w:t>
            </w:r>
          </w:p>
        </w:tc>
      </w:tr>
      <w:tr w:rsidR="00E55816" w:rsidRPr="00C324A8" w14:paraId="69BAB1BE" w14:textId="77777777" w:rsidTr="00025864">
        <w:trPr>
          <w:cantSplit/>
          <w:trHeight w:val="23"/>
        </w:trPr>
        <w:tc>
          <w:tcPr>
            <w:tcW w:w="10031" w:type="dxa"/>
            <w:gridSpan w:val="2"/>
            <w:shd w:val="clear" w:color="auto" w:fill="auto"/>
          </w:tcPr>
          <w:p w14:paraId="67B018F7" w14:textId="77777777" w:rsidR="00E55816" w:rsidRDefault="007D5320" w:rsidP="00E55816">
            <w:pPr>
              <w:pStyle w:val="Title1"/>
            </w:pPr>
            <w:r>
              <w:t>Proposals for the work of the conference</w:t>
            </w:r>
          </w:p>
        </w:tc>
      </w:tr>
      <w:tr w:rsidR="00E55816" w:rsidRPr="00C324A8" w14:paraId="031A4D66" w14:textId="77777777" w:rsidTr="00025864">
        <w:trPr>
          <w:cantSplit/>
          <w:trHeight w:val="23"/>
        </w:trPr>
        <w:tc>
          <w:tcPr>
            <w:tcW w:w="10031" w:type="dxa"/>
            <w:gridSpan w:val="2"/>
            <w:shd w:val="clear" w:color="auto" w:fill="auto"/>
          </w:tcPr>
          <w:p w14:paraId="3A41A316" w14:textId="77777777" w:rsidR="00E55816" w:rsidRDefault="00E55816" w:rsidP="00E55816">
            <w:pPr>
              <w:pStyle w:val="Title2"/>
            </w:pPr>
          </w:p>
        </w:tc>
      </w:tr>
      <w:tr w:rsidR="00A538A6" w:rsidRPr="00C324A8" w14:paraId="6B527BA3" w14:textId="77777777" w:rsidTr="00025864">
        <w:trPr>
          <w:cantSplit/>
          <w:trHeight w:val="23"/>
        </w:trPr>
        <w:tc>
          <w:tcPr>
            <w:tcW w:w="10031" w:type="dxa"/>
            <w:gridSpan w:val="2"/>
            <w:shd w:val="clear" w:color="auto" w:fill="auto"/>
          </w:tcPr>
          <w:p w14:paraId="231803B2" w14:textId="77777777" w:rsidR="00A538A6" w:rsidRDefault="004B13CB" w:rsidP="004B13CB">
            <w:pPr>
              <w:pStyle w:val="Agendaitem"/>
            </w:pPr>
            <w:r>
              <w:t xml:space="preserve">Agenda </w:t>
            </w:r>
            <w:proofErr w:type="spellStart"/>
            <w:r>
              <w:t>item</w:t>
            </w:r>
            <w:proofErr w:type="spellEnd"/>
            <w:r>
              <w:t xml:space="preserve"> 1.7</w:t>
            </w:r>
          </w:p>
        </w:tc>
      </w:tr>
    </w:tbl>
    <w:bookmarkEnd w:id="5"/>
    <w:bookmarkEnd w:id="6"/>
    <w:p w14:paraId="565E00FE" w14:textId="77777777" w:rsidR="005118F7" w:rsidRPr="00EC5386" w:rsidRDefault="006B7347" w:rsidP="00AB5478">
      <w:pPr>
        <w:overflowPunct/>
        <w:autoSpaceDE/>
        <w:autoSpaceDN/>
        <w:adjustRightInd/>
        <w:textAlignment w:val="auto"/>
        <w:rPr>
          <w:lang w:val="en-US"/>
        </w:rPr>
      </w:pPr>
      <w:r w:rsidRPr="00656311">
        <w:rPr>
          <w:lang w:val="en-US"/>
        </w:rPr>
        <w:t>1.7</w:t>
      </w:r>
      <w:r w:rsidRPr="00656311">
        <w:rPr>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56311">
        <w:rPr>
          <w:b/>
          <w:bCs/>
          <w:lang w:val="en-US"/>
        </w:rPr>
        <w:t>659 (WRC-15)</w:t>
      </w:r>
      <w:r w:rsidRPr="00656311">
        <w:rPr>
          <w:lang w:val="en-US"/>
        </w:rPr>
        <w:t>;</w:t>
      </w:r>
    </w:p>
    <w:p w14:paraId="6F58F5F3" w14:textId="77777777" w:rsidR="00E63E0F" w:rsidRPr="00F92893" w:rsidRDefault="00E63E0F" w:rsidP="00E63E0F">
      <w:pPr>
        <w:pStyle w:val="Headingb"/>
        <w:rPr>
          <w:lang w:val="en-GB"/>
        </w:rPr>
      </w:pPr>
      <w:r w:rsidRPr="00F92893">
        <w:rPr>
          <w:lang w:val="en-GB"/>
        </w:rPr>
        <w:t>Background</w:t>
      </w:r>
    </w:p>
    <w:p w14:paraId="42E057C6" w14:textId="2EBB3C89" w:rsidR="00E63E0F" w:rsidRPr="007E3935" w:rsidRDefault="00E63E0F" w:rsidP="000E70A2">
      <w:pPr>
        <w:rPr>
          <w:lang w:val="en-US"/>
        </w:rPr>
      </w:pPr>
      <w:r w:rsidRPr="007E3935">
        <w:rPr>
          <w:lang w:val="en-US"/>
        </w:rPr>
        <w:t xml:space="preserve">The demand for suitable spectrum for </w:t>
      </w:r>
      <w:r w:rsidR="000E70A2" w:rsidRPr="007E3935">
        <w:rPr>
          <w:lang w:val="en-US"/>
          <w:rPrChange w:id="7" w:author="Capdessus, Isabelle" w:date="2019-09-17T11:28:00Z">
            <w:rPr>
              <w:highlight w:val="cyan"/>
              <w:lang w:val="en-US"/>
            </w:rPr>
          </w:rPrChange>
        </w:rPr>
        <w:t>non-</w:t>
      </w:r>
      <w:r w:rsidRPr="007E3935">
        <w:rPr>
          <w:lang w:val="en-US"/>
        </w:rPr>
        <w:t xml:space="preserve">GSO satellites with short duration missions is growing due to the increasing number of these types of satellite missions. The mass and dimensions of these satellites contribute to their success and their use will likely grow. These types of missions provide an affordable means for scientific and commercial space purposes and are increasingly used by new entrants in space. Nevertheless, it is important to ensure that these missions do not cause harmful interference to existing systems and incumbent services. WRC-19 agenda item 1.7 invites studies to accommodate spectrum requirements for telemetry, tracking and command (TT&amp;C) in the space operation service, below 1 GHz, for </w:t>
      </w:r>
      <w:r w:rsidR="000E70A2" w:rsidRPr="007E3935">
        <w:rPr>
          <w:lang w:val="en-US"/>
          <w:rPrChange w:id="8" w:author="Capdessus, Isabelle" w:date="2019-09-17T11:28:00Z">
            <w:rPr>
              <w:highlight w:val="cyan"/>
              <w:lang w:val="en-US"/>
            </w:rPr>
          </w:rPrChange>
        </w:rPr>
        <w:t>non-</w:t>
      </w:r>
      <w:r w:rsidRPr="007E3935">
        <w:rPr>
          <w:lang w:val="en-US"/>
        </w:rPr>
        <w:t xml:space="preserve">GSO satellites with short duration missions in existing bands or identify new spectrum supported by sharing studies. The term “short duration mission” used in Resolution </w:t>
      </w:r>
      <w:r w:rsidRPr="007E3935">
        <w:rPr>
          <w:b/>
          <w:lang w:val="en-US"/>
        </w:rPr>
        <w:t>659 (WRC-15)</w:t>
      </w:r>
      <w:r w:rsidRPr="007E3935">
        <w:rPr>
          <w:lang w:val="en-US"/>
        </w:rPr>
        <w:t xml:space="preserve"> refers to a mission having a limited period of validity of typically not more than 3 years, where the operator does not launch replenishment or replacement spacecraft.</w:t>
      </w:r>
    </w:p>
    <w:p w14:paraId="3394215F" w14:textId="294DBBBD" w:rsidR="00E63E0F" w:rsidRPr="007E3935" w:rsidRDefault="00E63E0F" w:rsidP="00E63E0F">
      <w:pPr>
        <w:rPr>
          <w:lang w:val="en-US"/>
        </w:rPr>
      </w:pPr>
      <w:r w:rsidRPr="007E3935">
        <w:rPr>
          <w:lang w:val="en-US"/>
        </w:rPr>
        <w:t xml:space="preserve">The frequency ranges described under </w:t>
      </w:r>
      <w:r w:rsidRPr="007E3935">
        <w:rPr>
          <w:i/>
          <w:iCs/>
          <w:lang w:val="en-US"/>
          <w:rPrChange w:id="9" w:author="Capdessus, Isabelle" w:date="2019-09-17T11:28:00Z">
            <w:rPr>
              <w:i/>
              <w:iCs/>
              <w:highlight w:val="cyan"/>
              <w:lang w:val="en-US"/>
            </w:rPr>
          </w:rPrChange>
        </w:rPr>
        <w:t>invites ITU-R</w:t>
      </w:r>
      <w:r w:rsidRPr="007E3935">
        <w:rPr>
          <w:lang w:val="en-US"/>
        </w:rPr>
        <w:t xml:space="preserve"> 3 overlap with allocations critical to global maritime distress and safety service (GMDSS) frequencies, identified in RR Appendix </w:t>
      </w:r>
      <w:r w:rsidRPr="007E3935">
        <w:rPr>
          <w:b/>
          <w:lang w:val="en-US"/>
        </w:rPr>
        <w:t>15</w:t>
      </w:r>
      <w:r w:rsidRPr="007E3935">
        <w:rPr>
          <w:lang w:val="en-US"/>
        </w:rPr>
        <w:t>, and centered at 156.3 MHz, 156.525 MHz, 156.65 MHz, 156.8 MHz, 161.975 MHz, and 162.025 MHz, as well as frequencies used for the safety of life COSPAS/SARSAT system in the band 406-406.1</w:t>
      </w:r>
      <w:r w:rsidR="00C94B24">
        <w:rPr>
          <w:lang w:val="en-US"/>
        </w:rPr>
        <w:t> </w:t>
      </w:r>
      <w:proofErr w:type="spellStart"/>
      <w:r w:rsidRPr="007E3935">
        <w:rPr>
          <w:lang w:val="en-US"/>
        </w:rPr>
        <w:t>MHz.</w:t>
      </w:r>
      <w:proofErr w:type="spellEnd"/>
      <w:r w:rsidRPr="007E3935">
        <w:rPr>
          <w:lang w:val="en-US"/>
        </w:rPr>
        <w:t xml:space="preserve"> </w:t>
      </w:r>
    </w:p>
    <w:p w14:paraId="54D0F634" w14:textId="77777777" w:rsidR="00241FA2" w:rsidRPr="007E3935" w:rsidRDefault="00241FA2" w:rsidP="00EF71B6">
      <w:pPr>
        <w:rPr>
          <w:lang w:val="en-US"/>
        </w:rPr>
      </w:pPr>
    </w:p>
    <w:p w14:paraId="6F8207AC" w14:textId="77777777" w:rsidR="00187BD9" w:rsidRPr="00E63E0F" w:rsidRDefault="00187BD9" w:rsidP="00187BD9">
      <w:pPr>
        <w:tabs>
          <w:tab w:val="clear" w:pos="1134"/>
          <w:tab w:val="clear" w:pos="1871"/>
          <w:tab w:val="clear" w:pos="2268"/>
        </w:tabs>
        <w:overflowPunct/>
        <w:autoSpaceDE/>
        <w:autoSpaceDN/>
        <w:adjustRightInd/>
        <w:spacing w:before="0"/>
        <w:textAlignment w:val="auto"/>
      </w:pPr>
      <w:r w:rsidRPr="00E63E0F">
        <w:br w:type="page"/>
      </w:r>
    </w:p>
    <w:p w14:paraId="6A6D4911" w14:textId="77777777" w:rsidR="008B2E84" w:rsidRDefault="006B7347" w:rsidP="008B2E84">
      <w:pPr>
        <w:pStyle w:val="ArtNo"/>
        <w:spacing w:before="0"/>
        <w:rPr>
          <w:lang w:val="en-AU"/>
        </w:rPr>
      </w:pPr>
      <w:bookmarkStart w:id="10" w:name="_Toc451865291"/>
      <w:r w:rsidRPr="006D07BF">
        <w:lastRenderedPageBreak/>
        <w:t>ARTICLE</w:t>
      </w:r>
      <w:r>
        <w:rPr>
          <w:lang w:val="en-AU"/>
        </w:rPr>
        <w:t xml:space="preserve"> </w:t>
      </w:r>
      <w:r>
        <w:rPr>
          <w:rStyle w:val="href"/>
          <w:rFonts w:eastAsiaTheme="majorEastAsia"/>
          <w:color w:val="000000"/>
          <w:lang w:val="en-AU"/>
        </w:rPr>
        <w:t>5</w:t>
      </w:r>
      <w:bookmarkEnd w:id="10"/>
    </w:p>
    <w:p w14:paraId="7D990D7A" w14:textId="77777777" w:rsidR="008B2E84" w:rsidRDefault="006B7347" w:rsidP="008B2E84">
      <w:pPr>
        <w:pStyle w:val="Arttitle"/>
        <w:rPr>
          <w:lang w:val="en-US"/>
        </w:rPr>
      </w:pPr>
      <w:bookmarkStart w:id="11" w:name="_Toc327956583"/>
      <w:bookmarkStart w:id="12" w:name="_Toc451865292"/>
      <w:r w:rsidRPr="006D07BF">
        <w:t>Frequency</w:t>
      </w:r>
      <w:r>
        <w:t xml:space="preserve"> allocations</w:t>
      </w:r>
      <w:bookmarkEnd w:id="11"/>
      <w:bookmarkEnd w:id="12"/>
    </w:p>
    <w:p w14:paraId="73A70EA2" w14:textId="77777777" w:rsidR="006C4817" w:rsidRDefault="006B7347">
      <w:pPr>
        <w:pStyle w:val="Proposal"/>
      </w:pPr>
      <w:r>
        <w:rPr>
          <w:u w:val="single"/>
        </w:rPr>
        <w:t>NOC</w:t>
      </w:r>
      <w:r>
        <w:tab/>
        <w:t>IAP/11A7/1</w:t>
      </w:r>
    </w:p>
    <w:p w14:paraId="6AE94CDE" w14:textId="77777777" w:rsidR="008B2E84" w:rsidRPr="007E3935" w:rsidRDefault="006B7347" w:rsidP="00E63E0F">
      <w:pPr>
        <w:pStyle w:val="Section1"/>
        <w:keepNext/>
      </w:pPr>
      <w:r w:rsidRPr="002618F4">
        <w:t>Section</w:t>
      </w:r>
      <w:r>
        <w:rPr>
          <w:lang w:val="en-AU"/>
        </w:rPr>
        <w:t xml:space="preserve"> IV – Table of Frequency Allocations</w:t>
      </w:r>
      <w:r>
        <w:rPr>
          <w:lang w:val="en-AU"/>
        </w:rPr>
        <w:br/>
      </w:r>
      <w:r w:rsidRPr="007E3935">
        <w:rPr>
          <w:b w:val="0"/>
          <w:bCs/>
        </w:rPr>
        <w:t xml:space="preserve">(See No. </w:t>
      </w:r>
      <w:r w:rsidRPr="007E3935">
        <w:t>2.1</w:t>
      </w:r>
      <w:r w:rsidRPr="007E3935">
        <w:rPr>
          <w:b w:val="0"/>
          <w:bCs/>
        </w:rPr>
        <w:t>)</w:t>
      </w:r>
    </w:p>
    <w:p w14:paraId="1336CFC5" w14:textId="77777777" w:rsidR="006C4817" w:rsidRDefault="006B7347">
      <w:pPr>
        <w:pStyle w:val="Reasons"/>
      </w:pPr>
      <w:r w:rsidRPr="007E3935">
        <w:rPr>
          <w:b/>
        </w:rPr>
        <w:t>Reasons:</w:t>
      </w:r>
      <w:r w:rsidRPr="007E3935">
        <w:tab/>
      </w:r>
      <w:r w:rsidR="009B3321" w:rsidRPr="007E3935">
        <w:rPr>
          <w:lang w:val="en-US"/>
        </w:rPr>
        <w:t xml:space="preserve">ITU-R sharing and compatibility studies between </w:t>
      </w:r>
      <w:r w:rsidR="00D61318" w:rsidRPr="007E3935">
        <w:rPr>
          <w:lang w:val="en-US"/>
          <w:rPrChange w:id="13" w:author="Capdessus, Isabelle" w:date="2019-09-17T11:28:00Z">
            <w:rPr>
              <w:highlight w:val="cyan"/>
              <w:lang w:val="en-US"/>
            </w:rPr>
          </w:rPrChange>
        </w:rPr>
        <w:t>non-</w:t>
      </w:r>
      <w:r w:rsidR="009B3321" w:rsidRPr="007E3935">
        <w:rPr>
          <w:lang w:val="en-US"/>
        </w:rPr>
        <w:t xml:space="preserve">GSO satellites with short duration missions and the incumbent services, with respect to </w:t>
      </w:r>
      <w:r w:rsidR="009B3321" w:rsidRPr="007E3935">
        <w:rPr>
          <w:i/>
          <w:iCs/>
          <w:lang w:val="en-US"/>
          <w:rPrChange w:id="14" w:author="Capdessus, Isabelle" w:date="2019-09-17T11:28:00Z">
            <w:rPr>
              <w:lang w:val="en-US"/>
            </w:rPr>
          </w:rPrChange>
        </w:rPr>
        <w:t>invites ITU-R</w:t>
      </w:r>
      <w:r w:rsidR="009B3321" w:rsidRPr="007E3935">
        <w:rPr>
          <w:lang w:val="en-US"/>
        </w:rPr>
        <w:t xml:space="preserve"> 2 and 3 of Resolution </w:t>
      </w:r>
      <w:r w:rsidR="009B3321" w:rsidRPr="007E3935">
        <w:rPr>
          <w:b/>
          <w:lang w:val="en-US"/>
        </w:rPr>
        <w:t>659 (WRC-15)</w:t>
      </w:r>
      <w:r w:rsidR="009B3321" w:rsidRPr="007E3935">
        <w:rPr>
          <w:lang w:val="en-US"/>
        </w:rPr>
        <w:t>, demonstrated that sharing is not feasible.</w:t>
      </w:r>
    </w:p>
    <w:p w14:paraId="38CD7A6E" w14:textId="77777777" w:rsidR="006C4817" w:rsidRDefault="006B7347">
      <w:pPr>
        <w:pStyle w:val="Proposal"/>
      </w:pPr>
      <w:r>
        <w:t>SUP</w:t>
      </w:r>
      <w:r>
        <w:tab/>
        <w:t>IAP/11A7/2</w:t>
      </w:r>
    </w:p>
    <w:p w14:paraId="3DDE9AD6" w14:textId="77777777" w:rsidR="007B1885" w:rsidRPr="00322CC6" w:rsidRDefault="006B7347" w:rsidP="007B1885">
      <w:pPr>
        <w:pStyle w:val="ResNo"/>
      </w:pPr>
      <w:bookmarkStart w:id="15" w:name="_Toc450048798"/>
      <w:r w:rsidRPr="00322CC6">
        <w:t xml:space="preserve">RESOLUTION </w:t>
      </w:r>
      <w:r w:rsidRPr="00925AE7">
        <w:rPr>
          <w:rStyle w:val="href"/>
        </w:rPr>
        <w:t>659</w:t>
      </w:r>
      <w:r w:rsidRPr="00322CC6">
        <w:t xml:space="preserve"> (WRC</w:t>
      </w:r>
      <w:r w:rsidRPr="00322CC6">
        <w:noBreakHyphen/>
        <w:t>15)</w:t>
      </w:r>
      <w:bookmarkEnd w:id="15"/>
    </w:p>
    <w:p w14:paraId="1FE6EB85" w14:textId="77777777" w:rsidR="007B1885" w:rsidRPr="00322CC6" w:rsidRDefault="006B7347" w:rsidP="007B1885">
      <w:pPr>
        <w:pStyle w:val="Restitle"/>
      </w:pPr>
      <w:bookmarkStart w:id="16" w:name="_Toc450048799"/>
      <w:r w:rsidRPr="00322CC6">
        <w:t xml:space="preserve">Studies to accommodate requirements in the space operation service for </w:t>
      </w:r>
      <w:r w:rsidRPr="00322CC6">
        <w:br/>
        <w:t>non-geostationary satellites with short duration missions</w:t>
      </w:r>
      <w:bookmarkEnd w:id="16"/>
    </w:p>
    <w:p w14:paraId="78E616BE" w14:textId="3F2E75E2" w:rsidR="006C4817" w:rsidRPr="00133C83" w:rsidRDefault="006B7347">
      <w:pPr>
        <w:pStyle w:val="Reasons"/>
        <w:rPr>
          <w:szCs w:val="24"/>
          <w:lang w:eastAsia="zh-CN"/>
        </w:rPr>
      </w:pPr>
      <w:r>
        <w:rPr>
          <w:b/>
        </w:rPr>
        <w:t>Reasons:</w:t>
      </w:r>
      <w:r>
        <w:tab/>
      </w:r>
      <w:r w:rsidR="009B3321" w:rsidRPr="00133C83">
        <w:rPr>
          <w:szCs w:val="24"/>
          <w:lang w:val="en-US"/>
        </w:rPr>
        <w:t xml:space="preserve">ITU-R studies showed that sharing between incumbent services and short duration non-geostationary satellites with short duration missions is not feasible in frequency bands considered under this </w:t>
      </w:r>
      <w:r w:rsidRPr="00133C83">
        <w:rPr>
          <w:szCs w:val="24"/>
          <w:lang w:val="en-US"/>
        </w:rPr>
        <w:t>R</w:t>
      </w:r>
      <w:r w:rsidR="009B3321" w:rsidRPr="00133C83">
        <w:rPr>
          <w:szCs w:val="24"/>
          <w:lang w:val="en-US"/>
        </w:rPr>
        <w:t xml:space="preserve">esolution. The work is complete; therefore, the </w:t>
      </w:r>
      <w:r w:rsidRPr="00133C83">
        <w:rPr>
          <w:szCs w:val="24"/>
          <w:lang w:val="en-US"/>
        </w:rPr>
        <w:t>R</w:t>
      </w:r>
      <w:r w:rsidR="009B3321" w:rsidRPr="00133C83">
        <w:rPr>
          <w:szCs w:val="24"/>
          <w:lang w:val="en-US"/>
        </w:rPr>
        <w:t>esolution is no longer needed.</w:t>
      </w:r>
    </w:p>
    <w:p w14:paraId="2E037787" w14:textId="77777777" w:rsidR="009B3321" w:rsidRDefault="009B3321" w:rsidP="00096BFE"/>
    <w:p w14:paraId="560D3D4C" w14:textId="77777777" w:rsidR="009B3321" w:rsidRDefault="009B3321">
      <w:pPr>
        <w:jc w:val="center"/>
      </w:pPr>
      <w:r>
        <w:t>______________</w:t>
      </w:r>
    </w:p>
    <w:p w14:paraId="54F582D8" w14:textId="77777777" w:rsidR="009B3321" w:rsidRDefault="009B3321" w:rsidP="00096BFE"/>
    <w:sectPr w:rsidR="009B3321">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E77A" w14:textId="77777777" w:rsidR="00687CC5" w:rsidRDefault="00687CC5">
      <w:r>
        <w:separator/>
      </w:r>
    </w:p>
  </w:endnote>
  <w:endnote w:type="continuationSeparator" w:id="0">
    <w:p w14:paraId="5AA2E99E" w14:textId="77777777" w:rsidR="00687CC5" w:rsidRDefault="0068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285B" w14:textId="77777777" w:rsidR="00E45D05" w:rsidRDefault="00E45D05">
    <w:pPr>
      <w:framePr w:wrap="around" w:vAnchor="text" w:hAnchor="margin" w:xAlign="right" w:y="1"/>
    </w:pPr>
    <w:r>
      <w:fldChar w:fldCharType="begin"/>
    </w:r>
    <w:r>
      <w:instrText xml:space="preserve">PAGE  </w:instrText>
    </w:r>
    <w:r>
      <w:fldChar w:fldCharType="end"/>
    </w:r>
  </w:p>
  <w:p w14:paraId="47C2FB3B" w14:textId="6989B7B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3C83">
      <w:rPr>
        <w:noProof/>
        <w:lang w:val="en-US"/>
      </w:rPr>
      <w:t>Y:\APP\BR\POOL\WRC-19\DOC\011ADD07E.docx</w:t>
    </w:r>
    <w:r>
      <w:fldChar w:fldCharType="end"/>
    </w:r>
    <w:r w:rsidRPr="0041348E">
      <w:rPr>
        <w:lang w:val="en-US"/>
      </w:rPr>
      <w:tab/>
    </w:r>
    <w:r>
      <w:fldChar w:fldCharType="begin"/>
    </w:r>
    <w:r>
      <w:instrText xml:space="preserve"> SAVEDATE \@ DD.MM.YY </w:instrText>
    </w:r>
    <w:r>
      <w:fldChar w:fldCharType="separate"/>
    </w:r>
    <w:r w:rsidR="008B6E4D">
      <w:rPr>
        <w:noProof/>
      </w:rPr>
      <w:t>16.10.19</w:t>
    </w:r>
    <w:r>
      <w:fldChar w:fldCharType="end"/>
    </w:r>
    <w:r w:rsidRPr="0041348E">
      <w:rPr>
        <w:lang w:val="en-US"/>
      </w:rPr>
      <w:tab/>
    </w:r>
    <w:r>
      <w:fldChar w:fldCharType="begin"/>
    </w:r>
    <w:r>
      <w:instrText xml:space="preserve"> PRINTDATE \@ DD.MM.YY </w:instrText>
    </w:r>
    <w:r>
      <w:fldChar w:fldCharType="separate"/>
    </w:r>
    <w:r w:rsidR="00133C83">
      <w:rPr>
        <w:noProof/>
      </w:rPr>
      <w:t>16.09.19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0" w:name="_GoBack"/>
  <w:p w14:paraId="3CAFD791" w14:textId="36589DF9" w:rsidR="00E45D05" w:rsidRDefault="00E45D05" w:rsidP="009B1EA1">
    <w:pPr>
      <w:pStyle w:val="Footer"/>
    </w:pPr>
    <w:r>
      <w:fldChar w:fldCharType="begin"/>
    </w:r>
    <w:r w:rsidRPr="0041348E">
      <w:rPr>
        <w:lang w:val="en-US"/>
      </w:rPr>
      <w:instrText xml:space="preserve"> FILENAME \p  \* MERGEFORMAT </w:instrText>
    </w:r>
    <w:r>
      <w:fldChar w:fldCharType="separate"/>
    </w:r>
    <w:r w:rsidR="008B6E4D">
      <w:rPr>
        <w:lang w:val="en-US"/>
      </w:rPr>
      <w:t>P:\ENG\ITU-R\CONF-R\CMR19\000\011ADD07V2E.docx</w:t>
    </w:r>
    <w:r>
      <w:fldChar w:fldCharType="end"/>
    </w:r>
    <w:r w:rsidR="0088629C">
      <w:t xml:space="preserve"> (460752)</w:t>
    </w:r>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51DE" w14:textId="1D7F9201"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B6E4D">
      <w:rPr>
        <w:lang w:val="en-US"/>
      </w:rPr>
      <w:t>P:\ENG\ITU-R\CONF-R\CMR19\000\011ADD07V2E.docx</w:t>
    </w:r>
    <w:r>
      <w:fldChar w:fldCharType="end"/>
    </w:r>
    <w:r w:rsidR="0088629C">
      <w:t xml:space="preserve"> (460752)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5D0B1" w14:textId="77777777" w:rsidR="00687CC5" w:rsidRDefault="00687CC5">
      <w:r>
        <w:rPr>
          <w:b/>
        </w:rPr>
        <w:t>_______________</w:t>
      </w:r>
    </w:p>
  </w:footnote>
  <w:footnote w:type="continuationSeparator" w:id="0">
    <w:p w14:paraId="40574F29" w14:textId="77777777" w:rsidR="00687CC5" w:rsidRDefault="0068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3595" w14:textId="77777777" w:rsidR="009D0836" w:rsidRDefault="009D0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EBB" w14:textId="77777777" w:rsidR="00E45D05" w:rsidRDefault="00A066F1" w:rsidP="00187BD9">
    <w:pPr>
      <w:pStyle w:val="Header"/>
    </w:pPr>
    <w:r>
      <w:fldChar w:fldCharType="begin"/>
    </w:r>
    <w:r>
      <w:instrText xml:space="preserve"> PAGE  \* MERGEFORMAT </w:instrText>
    </w:r>
    <w:r>
      <w:fldChar w:fldCharType="separate"/>
    </w:r>
    <w:r w:rsidR="007E3935">
      <w:rPr>
        <w:noProof/>
      </w:rPr>
      <w:t>2</w:t>
    </w:r>
    <w:r>
      <w:fldChar w:fldCharType="end"/>
    </w:r>
  </w:p>
  <w:p w14:paraId="21AE3F25" w14:textId="77777777" w:rsidR="00A066F1" w:rsidRPr="00A066F1" w:rsidRDefault="00187BD9" w:rsidP="00241FA2">
    <w:pPr>
      <w:pStyle w:val="Header"/>
    </w:pPr>
    <w:r>
      <w:t>CMR1</w:t>
    </w:r>
    <w:r w:rsidR="00202756">
      <w:t>9</w:t>
    </w:r>
    <w:r w:rsidR="00A066F1">
      <w:t>/</w:t>
    </w:r>
    <w:bookmarkStart w:id="17" w:name="OLE_LINK1"/>
    <w:bookmarkStart w:id="18" w:name="OLE_LINK2"/>
    <w:bookmarkStart w:id="19" w:name="OLE_LINK3"/>
    <w:r w:rsidR="00EB55C6">
      <w:t>11(Add.7)</w:t>
    </w:r>
    <w:bookmarkEnd w:id="17"/>
    <w:bookmarkEnd w:id="18"/>
    <w:bookmarkEnd w:id="19"/>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B9AC" w14:textId="77777777" w:rsidR="009D0836" w:rsidRDefault="009D0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3975"/>
    <w:rsid w:val="000705F2"/>
    <w:rsid w:val="00077239"/>
    <w:rsid w:val="0007795D"/>
    <w:rsid w:val="00086491"/>
    <w:rsid w:val="00091346"/>
    <w:rsid w:val="00096BFE"/>
    <w:rsid w:val="0009706C"/>
    <w:rsid w:val="000D154B"/>
    <w:rsid w:val="000D2DAF"/>
    <w:rsid w:val="000E463E"/>
    <w:rsid w:val="000E70A2"/>
    <w:rsid w:val="000F73FF"/>
    <w:rsid w:val="00114CF7"/>
    <w:rsid w:val="00116C7A"/>
    <w:rsid w:val="00123B68"/>
    <w:rsid w:val="00126F2E"/>
    <w:rsid w:val="00133C83"/>
    <w:rsid w:val="00146F6F"/>
    <w:rsid w:val="00152AD0"/>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521B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3768E"/>
    <w:rsid w:val="0055140B"/>
    <w:rsid w:val="005964AB"/>
    <w:rsid w:val="005C099A"/>
    <w:rsid w:val="005C31A5"/>
    <w:rsid w:val="005D1C76"/>
    <w:rsid w:val="005E10C9"/>
    <w:rsid w:val="005E290B"/>
    <w:rsid w:val="005E61DD"/>
    <w:rsid w:val="005F04D8"/>
    <w:rsid w:val="006023DF"/>
    <w:rsid w:val="00615426"/>
    <w:rsid w:val="00616219"/>
    <w:rsid w:val="00645B7D"/>
    <w:rsid w:val="00657DE0"/>
    <w:rsid w:val="00685313"/>
    <w:rsid w:val="00687CC5"/>
    <w:rsid w:val="00692833"/>
    <w:rsid w:val="006A6E9B"/>
    <w:rsid w:val="006B7347"/>
    <w:rsid w:val="006B7C2A"/>
    <w:rsid w:val="006C23DA"/>
    <w:rsid w:val="006C4817"/>
    <w:rsid w:val="006E3D45"/>
    <w:rsid w:val="007014A7"/>
    <w:rsid w:val="0070607A"/>
    <w:rsid w:val="007149F9"/>
    <w:rsid w:val="00733A30"/>
    <w:rsid w:val="00745AEE"/>
    <w:rsid w:val="00750F10"/>
    <w:rsid w:val="007742CA"/>
    <w:rsid w:val="00790D70"/>
    <w:rsid w:val="007A6F1F"/>
    <w:rsid w:val="007D5320"/>
    <w:rsid w:val="007E3935"/>
    <w:rsid w:val="00800972"/>
    <w:rsid w:val="00804475"/>
    <w:rsid w:val="00811633"/>
    <w:rsid w:val="00814037"/>
    <w:rsid w:val="00841216"/>
    <w:rsid w:val="00842AF0"/>
    <w:rsid w:val="0086171E"/>
    <w:rsid w:val="00872FC8"/>
    <w:rsid w:val="008845D0"/>
    <w:rsid w:val="00884D60"/>
    <w:rsid w:val="0088629C"/>
    <w:rsid w:val="008B43F2"/>
    <w:rsid w:val="008B6CFF"/>
    <w:rsid w:val="008B6E4D"/>
    <w:rsid w:val="009274B4"/>
    <w:rsid w:val="00934EA2"/>
    <w:rsid w:val="00944A5C"/>
    <w:rsid w:val="00952A66"/>
    <w:rsid w:val="00956706"/>
    <w:rsid w:val="009B1EA1"/>
    <w:rsid w:val="009B3321"/>
    <w:rsid w:val="009B7C9A"/>
    <w:rsid w:val="009C56E5"/>
    <w:rsid w:val="009C7716"/>
    <w:rsid w:val="009D083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4B24"/>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1318"/>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63E0F"/>
    <w:rsid w:val="00E976C1"/>
    <w:rsid w:val="00EA12E5"/>
    <w:rsid w:val="00EB55C6"/>
    <w:rsid w:val="00EF1932"/>
    <w:rsid w:val="00EF71B6"/>
    <w:rsid w:val="00F02766"/>
    <w:rsid w:val="00F05BD4"/>
    <w:rsid w:val="00F06473"/>
    <w:rsid w:val="00F6155B"/>
    <w:rsid w:val="00F65C19"/>
    <w:rsid w:val="00F9289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3F870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paragraph" w:customStyle="1" w:styleId="TableNote">
    <w:name w:val="TableNote"/>
    <w:basedOn w:val="Tabletext"/>
    <w:rsid w:val="009B46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textAlignment w:val="auto"/>
    </w:pPr>
    <w:rPr>
      <w:lang w:val="fr-FR"/>
    </w:rPr>
  </w:style>
  <w:style w:type="character" w:customStyle="1" w:styleId="ApprefBold">
    <w:name w:val="App_ref + Bold"/>
    <w:basedOn w:val="Appref"/>
    <w:qFormat/>
    <w:rsid w:val="009B463A"/>
    <w:rPr>
      <w:b/>
      <w:bCs/>
      <w:color w:val="000000"/>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character" w:customStyle="1" w:styleId="NoteChar">
    <w:name w:val="Note Char"/>
    <w:basedOn w:val="DefaultParagraphFont"/>
    <w:link w:val="Note"/>
    <w:locked/>
    <w:rsid w:val="009B463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7E33F-BB1B-47A0-9962-320003AD99E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8E49D14-813B-460C-B636-5F292CFE173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2BBF71-898E-4119-B78C-47C0687C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R16-WRC19-C-0011!A7!MSW-E</vt:lpstr>
    </vt:vector>
  </TitlesOfParts>
  <Manager>General Secretariat - Pool</Manager>
  <Company>International Telecommunication Union (ITU)</Company>
  <LinksUpToDate>false</LinksUpToDate>
  <CharactersWithSpaces>2945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R16-WRC19-C-0011!A7!MSW-E</dc:title>
  <dc:subject>World Radiocommunication Conference - 2019</dc:subject>
  <dc:creator>Documents Proposals Manager (DPM)</dc:creator>
  <cp:keywords>DPM_v2019.9.13.1_prod</cp:keywords>
  <dc:description>Uploaded on 2015.07.06</dc:description>
  <cp:lastModifiedBy>English</cp:lastModifiedBy>
  <cp:revision>4</cp:revision>
  <cp:lastPrinted>2019-09-16T08:19:00Z</cp:lastPrinted>
  <dcterms:created xsi:type="dcterms:W3CDTF">2019-10-16T06:37:00Z</dcterms:created>
  <dcterms:modified xsi:type="dcterms:W3CDTF">2019-10-16T06:41:00Z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