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A92E4FC" w14:textId="77777777" w:rsidTr="00F55E63">
        <w:trPr>
          <w:cantSplit/>
          <w:trHeight w:val="20"/>
        </w:trPr>
        <w:tc>
          <w:tcPr>
            <w:tcW w:w="6619" w:type="dxa"/>
          </w:tcPr>
          <w:p w14:paraId="3E34EAE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F25073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D3D21B2" wp14:editId="2D42AC9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58D1CB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06751C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6B8AB3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01C572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19494F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C23AFC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460CCD01" w14:textId="77777777" w:rsidTr="00F55E63">
        <w:trPr>
          <w:cantSplit/>
        </w:trPr>
        <w:tc>
          <w:tcPr>
            <w:tcW w:w="6619" w:type="dxa"/>
          </w:tcPr>
          <w:p w14:paraId="3A47C9BC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F12F9FA" w14:textId="51F57842" w:rsidR="00A809E8" w:rsidRPr="00FA240A" w:rsidRDefault="007C760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proofErr w:type="spellStart"/>
            <w:r w:rsidRPr="00FA240A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FC3CE4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FA240A">
              <w:rPr>
                <w:rFonts w:ascii="Verdana" w:hAnsi="Verdana"/>
              </w:rPr>
              <w:t>7</w:t>
            </w:r>
            <w:r w:rsidRPr="00FA240A">
              <w:rPr>
                <w:rFonts w:ascii="Verdana" w:hAnsi="Verdana"/>
              </w:rPr>
              <w:br/>
            </w:r>
            <w:r w:rsidRPr="00FA240A">
              <w:rPr>
                <w:rFonts w:ascii="Verdana" w:eastAsia="SimSun" w:hAnsi="Verdana"/>
              </w:rPr>
              <w:t>11-A</w:t>
            </w:r>
            <w:r w:rsidR="00AF799C" w:rsidRPr="00FA240A">
              <w:rPr>
                <w:rFonts w:ascii="Traditional Arabic" w:hAnsi="Traditional Arabic" w:hint="cs"/>
                <w:sz w:val="30"/>
              </w:rPr>
              <w:t xml:space="preserve"> </w:t>
            </w:r>
            <w:proofErr w:type="spellStart"/>
            <w:r w:rsidR="00AF799C" w:rsidRPr="00FA240A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A809E8" w:rsidRPr="00F545E4" w14:paraId="36A13DAA" w14:textId="77777777" w:rsidTr="00F55E63">
        <w:trPr>
          <w:cantSplit/>
        </w:trPr>
        <w:tc>
          <w:tcPr>
            <w:tcW w:w="6619" w:type="dxa"/>
          </w:tcPr>
          <w:p w14:paraId="7421697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0D7ECB9" w14:textId="77777777" w:rsidR="00A809E8" w:rsidRPr="00FA240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FA240A">
              <w:rPr>
                <w:rFonts w:ascii="Verdana" w:eastAsia="SimSun" w:hAnsi="Verdana"/>
              </w:rPr>
              <w:t>16</w:t>
            </w:r>
            <w:r w:rsidRPr="00FA240A">
              <w:rPr>
                <w:rFonts w:ascii="Verdana" w:eastAsia="SimSun" w:hAnsi="Verdana"/>
                <w:rtl/>
              </w:rPr>
              <w:t xml:space="preserve"> سبتمبر </w:t>
            </w:r>
            <w:r w:rsidRPr="00FA240A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26D077CB" w14:textId="77777777" w:rsidTr="00F55E63">
        <w:trPr>
          <w:cantSplit/>
        </w:trPr>
        <w:tc>
          <w:tcPr>
            <w:tcW w:w="6619" w:type="dxa"/>
          </w:tcPr>
          <w:p w14:paraId="62C76F0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7FB82AA" w14:textId="490CFBF1" w:rsidR="00A809E8" w:rsidRPr="00FA240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FA240A">
              <w:rPr>
                <w:rFonts w:ascii="Verdana" w:hAnsi="Verdana"/>
                <w:rtl/>
              </w:rPr>
              <w:t>الأصل: بالإنكليزية</w:t>
            </w:r>
            <w:r w:rsidR="00FA240A">
              <w:rPr>
                <w:rFonts w:ascii="Verdana" w:hAnsi="Verdana" w:hint="cs"/>
                <w:rtl/>
              </w:rPr>
              <w:t>/</w:t>
            </w:r>
            <w:r w:rsidR="002006A0">
              <w:rPr>
                <w:rFonts w:ascii="Verdana" w:hAnsi="Verdana" w:hint="cs"/>
                <w:rtl/>
              </w:rPr>
              <w:t>ب</w:t>
            </w:r>
            <w:r w:rsidR="00FA240A">
              <w:rPr>
                <w:rFonts w:ascii="Verdana" w:hAnsi="Verdana" w:hint="cs"/>
                <w:rtl/>
              </w:rPr>
              <w:t>الإسبانية</w:t>
            </w:r>
          </w:p>
        </w:tc>
      </w:tr>
      <w:tr w:rsidR="00764079" w14:paraId="103A50D3" w14:textId="77777777" w:rsidTr="00F55E63">
        <w:trPr>
          <w:cantSplit/>
        </w:trPr>
        <w:tc>
          <w:tcPr>
            <w:tcW w:w="9672" w:type="dxa"/>
            <w:gridSpan w:val="2"/>
          </w:tcPr>
          <w:p w14:paraId="26907DE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85BA73C" w14:textId="77777777" w:rsidTr="00F55E63">
        <w:trPr>
          <w:cantSplit/>
        </w:trPr>
        <w:tc>
          <w:tcPr>
            <w:tcW w:w="9672" w:type="dxa"/>
            <w:gridSpan w:val="2"/>
          </w:tcPr>
          <w:p w14:paraId="283B5C96" w14:textId="70AEA1CC" w:rsidR="00764079" w:rsidRPr="00E621A3" w:rsidRDefault="00F55E63" w:rsidP="002006A0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2006A0" w:rsidRPr="002006A0">
              <w:rPr>
                <w:lang w:val="en-GB"/>
              </w:rPr>
              <w:t>(CITEL)</w:t>
            </w:r>
          </w:p>
        </w:tc>
      </w:tr>
      <w:tr w:rsidR="00764079" w14:paraId="7D23BF3D" w14:textId="77777777" w:rsidTr="00F55E63">
        <w:trPr>
          <w:cantSplit/>
        </w:trPr>
        <w:tc>
          <w:tcPr>
            <w:tcW w:w="9672" w:type="dxa"/>
            <w:gridSpan w:val="2"/>
          </w:tcPr>
          <w:p w14:paraId="3F2B59E0" w14:textId="072D4269" w:rsidR="00764079" w:rsidRPr="00BD6EF3" w:rsidRDefault="002006A0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5E44B28D" w14:textId="77777777" w:rsidTr="00F55E63">
        <w:trPr>
          <w:cantSplit/>
        </w:trPr>
        <w:tc>
          <w:tcPr>
            <w:tcW w:w="9672" w:type="dxa"/>
            <w:gridSpan w:val="2"/>
          </w:tcPr>
          <w:p w14:paraId="5F6C715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F55D6B2" w14:textId="77777777" w:rsidTr="00F55E63">
        <w:trPr>
          <w:cantSplit/>
        </w:trPr>
        <w:tc>
          <w:tcPr>
            <w:tcW w:w="9672" w:type="dxa"/>
            <w:gridSpan w:val="2"/>
          </w:tcPr>
          <w:p w14:paraId="0C82C1EA" w14:textId="0756471B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2006A0">
              <w:rPr>
                <w:rFonts w:hint="cs"/>
                <w:rtl/>
                <w:lang w:val="en-US"/>
              </w:rPr>
              <w:t xml:space="preserve"> </w:t>
            </w:r>
            <w:r w:rsidR="002006A0">
              <w:rPr>
                <w:lang w:val="en-US"/>
              </w:rPr>
              <w:t>7.1</w:t>
            </w:r>
          </w:p>
        </w:tc>
      </w:tr>
    </w:tbl>
    <w:p w14:paraId="6B1A3657" w14:textId="47F0831B" w:rsidR="001D597A" w:rsidRDefault="00FA240A" w:rsidP="001D597A">
      <w:pPr>
        <w:rPr>
          <w:rFonts w:eastAsia="SimSun"/>
          <w:rtl/>
          <w:lang w:eastAsia="zh-CN" w:bidi="ar-EG"/>
        </w:rPr>
      </w:pPr>
      <w:r w:rsidRPr="00723691">
        <w:rPr>
          <w:rFonts w:eastAsia="SimSun"/>
          <w:lang w:eastAsia="zh-CN" w:bidi="ar-SY"/>
        </w:rPr>
        <w:t>7.1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دراسة الاحتياجات من الطيف فيما يتعلق بالتتبع والتحكم والقياس عن بُعد في خدمة العمليات الفضائية من أجل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غير المستقرة بالنسبة إلى الأرض ذات </w:t>
      </w:r>
      <w:r w:rsidR="00E80965">
        <w:rPr>
          <w:rFonts w:eastAsia="SimSun" w:hint="cs"/>
          <w:rtl/>
          <w:lang w:eastAsia="zh-CN"/>
        </w:rPr>
        <w:t xml:space="preserve">المهام </w:t>
      </w:r>
      <w:r w:rsidRPr="00723691">
        <w:rPr>
          <w:rFonts w:eastAsia="SimSun" w:hint="cs"/>
          <w:rtl/>
          <w:lang w:eastAsia="zh-CN"/>
        </w:rPr>
        <w:t xml:space="preserve">القصيرة المدة، بغية تقييم ملاءَمة التوزيعات الحالية لخدمة العمليات الفضائية، وإن استدعى الأمر، النظر في توزيعات جديدة، وفقاً </w:t>
      </w:r>
      <w:r w:rsidRPr="00793FEB">
        <w:rPr>
          <w:rFonts w:eastAsia="SimSun" w:hint="cs"/>
          <w:rtl/>
          <w:lang w:eastAsia="zh-CN"/>
        </w:rPr>
        <w:t xml:space="preserve">للقرار </w:t>
      </w:r>
      <w:r w:rsidRPr="00793FEB">
        <w:rPr>
          <w:rFonts w:eastAsia="SimSun"/>
          <w:b/>
          <w:bCs/>
          <w:lang w:eastAsia="zh-CN" w:bidi="ar-SY"/>
        </w:rPr>
        <w:t>659 (WRC</w:t>
      </w:r>
      <w:r w:rsidRPr="00793FEB">
        <w:rPr>
          <w:rFonts w:eastAsia="SimSun"/>
          <w:b/>
          <w:bCs/>
          <w:lang w:eastAsia="zh-CN" w:bidi="ar-SY"/>
        </w:rPr>
        <w:noBreakHyphen/>
      </w:r>
      <w:proofErr w:type="gramStart"/>
      <w:r w:rsidRPr="00793FE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 w:bidi="ar-SY"/>
        </w:rPr>
        <w:t>؛</w:t>
      </w:r>
      <w:proofErr w:type="gramEnd"/>
    </w:p>
    <w:p w14:paraId="5ACCA2E6" w14:textId="35FB12BD" w:rsidR="002006A0" w:rsidRDefault="002006A0" w:rsidP="002006A0">
      <w:pPr>
        <w:pStyle w:val="Headingb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خلفية</w:t>
      </w:r>
    </w:p>
    <w:p w14:paraId="67A392FA" w14:textId="5F849541" w:rsidR="002F3E46" w:rsidRDefault="00E80965" w:rsidP="00E80965">
      <w:pPr>
        <w:rPr>
          <w:rtl/>
          <w:lang w:bidi="ar-EG"/>
        </w:rPr>
      </w:pPr>
      <w:r>
        <w:rPr>
          <w:rFonts w:eastAsia="SimSun" w:hint="cs"/>
          <w:rtl/>
          <w:lang w:eastAsia="zh-CN" w:bidi="ar-EG"/>
        </w:rPr>
        <w:t>يتزايد</w:t>
      </w:r>
      <w:r w:rsidR="00865949" w:rsidRPr="00EE4BB1">
        <w:rPr>
          <w:rFonts w:eastAsia="SimSun" w:hint="cs"/>
          <w:rtl/>
          <w:lang w:eastAsia="zh-CN" w:bidi="ar-EG"/>
        </w:rPr>
        <w:t xml:space="preserve"> الطلب على الطيف الملائم </w:t>
      </w:r>
      <w:proofErr w:type="spellStart"/>
      <w:r w:rsidR="00865949" w:rsidRPr="00EE4BB1">
        <w:rPr>
          <w:rFonts w:eastAsia="SimSun" w:hint="cs"/>
          <w:rtl/>
          <w:lang w:eastAsia="zh-CN" w:bidi="ar-EG"/>
        </w:rPr>
        <w:t>للسواتل</w:t>
      </w:r>
      <w:proofErr w:type="spellEnd"/>
      <w:r w:rsidR="00865949" w:rsidRPr="00EE4BB1">
        <w:rPr>
          <w:rFonts w:eastAsia="SimSun" w:hint="cs"/>
          <w:rtl/>
          <w:lang w:eastAsia="zh-CN" w:bidi="ar-EG"/>
        </w:rPr>
        <w:t xml:space="preserve"> غير المستقرة بالنسبة إلى الأرض ذات المه</w:t>
      </w:r>
      <w:r>
        <w:rPr>
          <w:rFonts w:eastAsia="SimSun" w:hint="cs"/>
          <w:rtl/>
          <w:lang w:eastAsia="zh-CN" w:bidi="ar-EG"/>
        </w:rPr>
        <w:t>ام</w:t>
      </w:r>
      <w:r w:rsidR="00865949" w:rsidRPr="00EE4BB1">
        <w:rPr>
          <w:rFonts w:eastAsia="SimSun" w:hint="cs"/>
          <w:rtl/>
          <w:lang w:eastAsia="zh-CN" w:bidi="ar-EG"/>
        </w:rPr>
        <w:t xml:space="preserve"> القصيرة المدة</w:t>
      </w:r>
      <w:r>
        <w:rPr>
          <w:rFonts w:eastAsia="SimSun" w:hint="cs"/>
          <w:rtl/>
          <w:lang w:eastAsia="zh-CN" w:bidi="ar-EG"/>
        </w:rPr>
        <w:t xml:space="preserve"> نتيجة لزيادة عدد هذه الأنواع من المهام </w:t>
      </w:r>
      <w:proofErr w:type="spellStart"/>
      <w:r>
        <w:rPr>
          <w:rFonts w:eastAsia="SimSun" w:hint="cs"/>
          <w:rtl/>
          <w:lang w:eastAsia="zh-CN" w:bidi="ar-EG"/>
        </w:rPr>
        <w:t>الساتلية</w:t>
      </w:r>
      <w:proofErr w:type="spellEnd"/>
      <w:r>
        <w:rPr>
          <w:rFonts w:eastAsia="SimSun" w:hint="cs"/>
          <w:rtl/>
          <w:lang w:eastAsia="zh-CN" w:bidi="ar-EG"/>
        </w:rPr>
        <w:t>.</w:t>
      </w:r>
      <w:r w:rsidR="00865949" w:rsidRPr="00EE4BB1">
        <w:rPr>
          <w:rFonts w:eastAsia="SimSun" w:hint="cs"/>
          <w:rtl/>
          <w:lang w:eastAsia="zh-CN" w:bidi="ar-EG"/>
        </w:rPr>
        <w:t xml:space="preserve"> وتسهم كتلة هذه </w:t>
      </w:r>
      <w:proofErr w:type="spellStart"/>
      <w:r w:rsidR="00865949" w:rsidRPr="00EE4BB1">
        <w:rPr>
          <w:rFonts w:eastAsia="SimSun" w:hint="cs"/>
          <w:rtl/>
          <w:lang w:eastAsia="zh-CN" w:bidi="ar-EG"/>
        </w:rPr>
        <w:t>السواتل</w:t>
      </w:r>
      <w:proofErr w:type="spellEnd"/>
      <w:r w:rsidR="00865949" w:rsidRPr="00EE4BB1">
        <w:rPr>
          <w:rFonts w:eastAsia="SimSun" w:hint="cs"/>
          <w:rtl/>
          <w:lang w:eastAsia="zh-CN" w:bidi="ar-EG"/>
        </w:rPr>
        <w:t xml:space="preserve"> وأبعادها في نجاحها، كما </w:t>
      </w:r>
      <w:r w:rsidR="00170031" w:rsidRPr="00EE4BB1">
        <w:rPr>
          <w:rFonts w:eastAsia="SimSun" w:hint="cs"/>
          <w:rtl/>
          <w:lang w:eastAsia="zh-CN" w:bidi="ar-EG"/>
        </w:rPr>
        <w:t>أن استخدامها على الأرجح سوف ينمو. وتوفر هذه الأنواع من المه</w:t>
      </w:r>
      <w:r>
        <w:rPr>
          <w:rFonts w:eastAsia="SimSun" w:hint="cs"/>
          <w:rtl/>
          <w:lang w:eastAsia="zh-CN" w:bidi="ar-EG"/>
        </w:rPr>
        <w:t>ام</w:t>
      </w:r>
      <w:r w:rsidR="00170031" w:rsidRPr="00EE4BB1">
        <w:rPr>
          <w:rFonts w:eastAsia="SimSun" w:hint="cs"/>
          <w:rtl/>
          <w:lang w:eastAsia="zh-CN" w:bidi="ar-EG"/>
        </w:rPr>
        <w:t xml:space="preserve"> وسيلة ميسورة التكلفة </w:t>
      </w:r>
      <w:r w:rsidR="00B2574C" w:rsidRPr="00EE4BB1">
        <w:rPr>
          <w:rFonts w:eastAsia="SimSun" w:hint="cs"/>
          <w:rtl/>
          <w:lang w:eastAsia="zh-CN" w:bidi="ar-EG"/>
        </w:rPr>
        <w:t xml:space="preserve">للأغراض الفضائية العلمية والتجارية، ويتزايد </w:t>
      </w:r>
      <w:r w:rsidR="000A0D5F">
        <w:rPr>
          <w:rFonts w:eastAsia="SimSun" w:hint="cs"/>
          <w:rtl/>
          <w:lang w:eastAsia="zh-CN" w:bidi="ar-EG"/>
        </w:rPr>
        <w:t>استخدامها على يد</w:t>
      </w:r>
      <w:r w:rsidR="00B2574C" w:rsidRPr="00EE4BB1">
        <w:rPr>
          <w:rFonts w:eastAsia="SimSun" w:hint="cs"/>
          <w:rtl/>
          <w:lang w:eastAsia="zh-CN" w:bidi="ar-EG"/>
        </w:rPr>
        <w:t xml:space="preserve"> الوافدين الجدد إلى الفضاء. </w:t>
      </w:r>
      <w:r>
        <w:rPr>
          <w:rFonts w:eastAsia="SimSun" w:hint="cs"/>
          <w:rtl/>
          <w:lang w:eastAsia="zh-CN" w:bidi="ar-EG"/>
        </w:rPr>
        <w:t xml:space="preserve">ومع ذلك </w:t>
      </w:r>
      <w:r w:rsidR="00B2574C" w:rsidRPr="00EE4BB1">
        <w:rPr>
          <w:rFonts w:eastAsia="SimSun" w:hint="cs"/>
          <w:rtl/>
          <w:lang w:eastAsia="zh-CN" w:bidi="ar-EG"/>
        </w:rPr>
        <w:t xml:space="preserve">من المهم ضمان </w:t>
      </w:r>
      <w:r w:rsidR="00F2451F" w:rsidRPr="00EE4BB1">
        <w:rPr>
          <w:rFonts w:eastAsia="SimSun" w:hint="cs"/>
          <w:rtl/>
          <w:lang w:eastAsia="zh-CN" w:bidi="ar-EG"/>
        </w:rPr>
        <w:t>عدم تسبب هذه المه</w:t>
      </w:r>
      <w:r>
        <w:rPr>
          <w:rFonts w:eastAsia="SimSun" w:hint="cs"/>
          <w:rtl/>
          <w:lang w:eastAsia="zh-CN" w:bidi="ar-EG"/>
        </w:rPr>
        <w:t xml:space="preserve">ام </w:t>
      </w:r>
      <w:r w:rsidR="00F2451F" w:rsidRPr="00EE4BB1">
        <w:rPr>
          <w:rFonts w:eastAsia="SimSun" w:hint="cs"/>
          <w:rtl/>
          <w:lang w:eastAsia="zh-CN" w:bidi="ar-EG"/>
        </w:rPr>
        <w:t xml:space="preserve">في تداخل ضار </w:t>
      </w:r>
      <w:r>
        <w:rPr>
          <w:rFonts w:eastAsia="SimSun" w:hint="cs"/>
          <w:rtl/>
          <w:lang w:eastAsia="zh-CN" w:bidi="ar-EG"/>
        </w:rPr>
        <w:t>على ا</w:t>
      </w:r>
      <w:r w:rsidR="00F2451F" w:rsidRPr="00EE4BB1">
        <w:rPr>
          <w:rFonts w:eastAsia="SimSun" w:hint="cs"/>
          <w:rtl/>
          <w:lang w:eastAsia="zh-CN" w:bidi="ar-EG"/>
        </w:rPr>
        <w:t xml:space="preserve">لأنظمة القائمة والخدمات الحالية. ويدعو </w:t>
      </w:r>
      <w:r w:rsidR="00F14D76" w:rsidRPr="00EE4BB1">
        <w:rPr>
          <w:rFonts w:eastAsia="SimSun" w:hint="cs"/>
          <w:rtl/>
          <w:lang w:eastAsia="zh-CN" w:bidi="ar-EG"/>
        </w:rPr>
        <w:t>ال</w:t>
      </w:r>
      <w:r w:rsidR="00F2451F" w:rsidRPr="00EE4BB1">
        <w:rPr>
          <w:rFonts w:eastAsia="SimSun" w:hint="cs"/>
          <w:rtl/>
          <w:lang w:eastAsia="zh-CN" w:bidi="ar-EG"/>
        </w:rPr>
        <w:t xml:space="preserve">بند </w:t>
      </w:r>
      <w:r w:rsidR="00FC3CE4">
        <w:rPr>
          <w:rFonts w:eastAsia="SimSun"/>
          <w:lang w:val="en-GB" w:eastAsia="zh-CN" w:bidi="ar-EG"/>
        </w:rPr>
        <w:t>7.1</w:t>
      </w:r>
      <w:r w:rsidR="00F14D76" w:rsidRPr="00EE4BB1">
        <w:rPr>
          <w:rFonts w:eastAsia="SimSun" w:hint="cs"/>
          <w:rtl/>
          <w:lang w:val="en-GB" w:eastAsia="zh-CN" w:bidi="ar-EG"/>
        </w:rPr>
        <w:t xml:space="preserve"> من </w:t>
      </w:r>
      <w:r w:rsidR="00F2451F" w:rsidRPr="00EE4BB1">
        <w:rPr>
          <w:rFonts w:eastAsia="SimSun" w:hint="cs"/>
          <w:rtl/>
          <w:lang w:eastAsia="zh-CN" w:bidi="ar-EG"/>
        </w:rPr>
        <w:t xml:space="preserve">جدول أعمال </w:t>
      </w:r>
      <w:r w:rsidR="00F14D76" w:rsidRPr="00EE4BB1">
        <w:rPr>
          <w:rFonts w:eastAsia="SimSun" w:hint="cs"/>
          <w:rtl/>
          <w:lang w:eastAsia="zh-CN" w:bidi="ar-EG"/>
        </w:rPr>
        <w:t xml:space="preserve">المؤتمر العالمي للاتصالات الراديوية </w:t>
      </w:r>
      <w:r>
        <w:rPr>
          <w:rFonts w:eastAsia="SimSun" w:hint="cs"/>
          <w:rtl/>
          <w:lang w:eastAsia="zh-CN" w:bidi="ar-EG"/>
        </w:rPr>
        <w:t xml:space="preserve">لعام </w:t>
      </w:r>
      <w:r>
        <w:rPr>
          <w:rFonts w:eastAsia="SimSun"/>
          <w:lang w:eastAsia="zh-CN" w:bidi="ar-EG"/>
        </w:rPr>
        <w:t>2019</w:t>
      </w:r>
      <w:r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val="en-GB" w:eastAsia="zh-CN"/>
        </w:rPr>
        <w:t xml:space="preserve">إلى إجراء دراسات لتأمين الاحتياجات من </w:t>
      </w:r>
      <w:r w:rsidR="00F14D76" w:rsidRPr="00EE4BB1">
        <w:rPr>
          <w:rFonts w:eastAsia="SimSun" w:hint="cs"/>
          <w:rtl/>
          <w:lang w:eastAsia="zh-CN" w:bidi="ar-EG"/>
        </w:rPr>
        <w:t xml:space="preserve">الطيف </w:t>
      </w:r>
      <w:r w:rsidR="00A95371" w:rsidRPr="00EE4BB1">
        <w:rPr>
          <w:rFonts w:eastAsia="SimSun" w:hint="cs"/>
          <w:rtl/>
          <w:lang w:eastAsia="zh-CN" w:bidi="ar-EG"/>
        </w:rPr>
        <w:t>فيما يتعلق بالتتبع والتحكم والقياس عن بُعد</w:t>
      </w:r>
      <w:r w:rsidR="00A47611" w:rsidRPr="00EE4BB1">
        <w:rPr>
          <w:rFonts w:eastAsia="SimSun" w:hint="cs"/>
          <w:rtl/>
          <w:lang w:eastAsia="zh-CN" w:bidi="ar-EG"/>
        </w:rPr>
        <w:t xml:space="preserve"> </w:t>
      </w:r>
      <w:r w:rsidRPr="00E80965">
        <w:rPr>
          <w:rFonts w:eastAsia="SimSun"/>
          <w:lang w:eastAsia="zh-CN" w:bidi="ar-EG"/>
        </w:rPr>
        <w:t>(TT&amp;C)</w:t>
      </w:r>
      <w:r>
        <w:rPr>
          <w:rFonts w:eastAsia="SimSun" w:hint="cs"/>
          <w:rtl/>
          <w:lang w:eastAsia="zh-CN" w:bidi="ar-EG"/>
        </w:rPr>
        <w:t xml:space="preserve"> </w:t>
      </w:r>
      <w:r w:rsidR="009F13D9" w:rsidRPr="00EE4BB1">
        <w:rPr>
          <w:rFonts w:eastAsia="SimSun" w:hint="cs"/>
          <w:rtl/>
          <w:lang w:eastAsia="zh-CN" w:bidi="ar-EG"/>
        </w:rPr>
        <w:t xml:space="preserve">في خدمة العمليات الفضائية، </w:t>
      </w:r>
      <w:r>
        <w:rPr>
          <w:rFonts w:eastAsia="SimSun" w:hint="cs"/>
          <w:rtl/>
          <w:lang w:eastAsia="zh-CN" w:bidi="ar-EG"/>
        </w:rPr>
        <w:t>دون</w:t>
      </w:r>
      <w:r w:rsidR="009F13D9" w:rsidRPr="00EE4BB1">
        <w:rPr>
          <w:rFonts w:eastAsia="SimSun" w:hint="cs"/>
          <w:rtl/>
          <w:lang w:eastAsia="zh-CN" w:bidi="ar-EG"/>
        </w:rPr>
        <w:t xml:space="preserve"> </w:t>
      </w:r>
      <w:r w:rsidR="009F13D9" w:rsidRPr="00EE4BB1">
        <w:rPr>
          <w:rFonts w:eastAsia="SimSun"/>
          <w:lang w:val="en-GB" w:eastAsia="zh-CN" w:bidi="ar-EG"/>
        </w:rPr>
        <w:t>1</w:t>
      </w:r>
      <w:r w:rsidR="009F13D9" w:rsidRPr="00EE4BB1">
        <w:rPr>
          <w:rFonts w:eastAsia="SimSun" w:hint="cs"/>
          <w:rtl/>
          <w:lang w:val="en-GB" w:eastAsia="zh-CN" w:bidi="ar-EG"/>
        </w:rPr>
        <w:t xml:space="preserve"> </w:t>
      </w:r>
      <w:r w:rsidR="009F13D9" w:rsidRPr="00EE4BB1">
        <w:rPr>
          <w:rFonts w:eastAsia="SimSun"/>
          <w:lang w:val="en-GB" w:eastAsia="zh-CN" w:bidi="ar-EG"/>
        </w:rPr>
        <w:t>GHz</w:t>
      </w:r>
      <w:r w:rsidR="009F13D9" w:rsidRPr="00EE4BB1">
        <w:rPr>
          <w:rFonts w:eastAsia="SimSun" w:hint="cs"/>
          <w:rtl/>
          <w:lang w:val="en-GB" w:eastAsia="zh-CN" w:bidi="ar-EG"/>
        </w:rPr>
        <w:t xml:space="preserve">، </w:t>
      </w:r>
      <w:proofErr w:type="spellStart"/>
      <w:r w:rsidR="009F13D9" w:rsidRPr="00EE4BB1">
        <w:rPr>
          <w:rFonts w:eastAsia="SimSun" w:hint="cs"/>
          <w:rtl/>
          <w:lang w:val="en-GB" w:eastAsia="zh-CN" w:bidi="ar-EG"/>
        </w:rPr>
        <w:t>للسواتل</w:t>
      </w:r>
      <w:proofErr w:type="spellEnd"/>
      <w:r w:rsidR="009F13D9" w:rsidRPr="00EE4BB1">
        <w:rPr>
          <w:rFonts w:eastAsia="SimSun" w:hint="cs"/>
          <w:rtl/>
          <w:lang w:val="en-GB" w:eastAsia="zh-CN" w:bidi="ar-EG"/>
        </w:rPr>
        <w:t xml:space="preserve"> غير المستقرة بالنسبة إلى الأرض</w:t>
      </w:r>
      <w:r w:rsidR="00BA2DA3" w:rsidRPr="00EE4BB1">
        <w:rPr>
          <w:rFonts w:eastAsia="SimSun" w:hint="cs"/>
          <w:rtl/>
          <w:lang w:val="en-GB" w:eastAsia="zh-CN" w:bidi="ar-EG"/>
        </w:rPr>
        <w:t xml:space="preserve"> ذات المه</w:t>
      </w:r>
      <w:r>
        <w:rPr>
          <w:rFonts w:eastAsia="SimSun" w:hint="cs"/>
          <w:rtl/>
          <w:lang w:val="en-GB" w:eastAsia="zh-CN" w:bidi="ar-EG"/>
        </w:rPr>
        <w:t>ام</w:t>
      </w:r>
      <w:r w:rsidR="00BA2DA3" w:rsidRPr="00EE4BB1">
        <w:rPr>
          <w:rFonts w:eastAsia="SimSun" w:hint="cs"/>
          <w:rtl/>
          <w:lang w:val="en-GB" w:eastAsia="zh-CN" w:bidi="ar-EG"/>
        </w:rPr>
        <w:t xml:space="preserve"> القصيرة المدة في النطاقات القائمة أو تحديد طيف جديد مدعوم بدراسات التقاسم. </w:t>
      </w:r>
      <w:r w:rsidR="00BA2DA3" w:rsidRPr="00EE4BB1">
        <w:rPr>
          <w:rFonts w:hint="cs"/>
          <w:rtl/>
          <w:lang w:bidi="ar-SY"/>
        </w:rPr>
        <w:t xml:space="preserve">ويشير </w:t>
      </w:r>
      <w:r w:rsidR="002006A0" w:rsidRPr="00EE4BB1">
        <w:rPr>
          <w:rFonts w:hint="cs"/>
          <w:rtl/>
          <w:lang w:bidi="ar-SY"/>
        </w:rPr>
        <w:t xml:space="preserve">المصطلح "مهمة قصيرة المدة" المستعمل في القرار </w:t>
      </w:r>
      <w:r w:rsidR="009F3363" w:rsidRPr="00FC3CE4">
        <w:rPr>
          <w:b/>
          <w:bCs/>
          <w:lang w:val="en-GB" w:bidi="ar-SY"/>
        </w:rPr>
        <w:t>659 (WRC-15)</w:t>
      </w:r>
      <w:r w:rsidR="009F3363" w:rsidRPr="00EE4BB1">
        <w:rPr>
          <w:rFonts w:hint="cs"/>
          <w:rtl/>
          <w:lang w:val="en-GB" w:bidi="ar-EG"/>
        </w:rPr>
        <w:t xml:space="preserve"> </w:t>
      </w:r>
      <w:r w:rsidR="002006A0" w:rsidRPr="00EE4BB1">
        <w:rPr>
          <w:rFonts w:hint="cs"/>
          <w:rtl/>
          <w:lang w:bidi="ar-SY"/>
        </w:rPr>
        <w:t>إلى مهمة مدة صلاحيتها محدودة لا تتجاوز في العادة</w:t>
      </w:r>
      <w:r w:rsidR="002006A0" w:rsidRPr="00EE4BB1">
        <w:rPr>
          <w:rFonts w:hint="eastAsia"/>
          <w:rtl/>
          <w:lang w:bidi="ar-SY"/>
        </w:rPr>
        <w:t> </w:t>
      </w:r>
      <w:r w:rsidR="002006A0" w:rsidRPr="00EE4BB1">
        <w:t>3</w:t>
      </w:r>
      <w:r w:rsidR="002006A0" w:rsidRPr="00EE4BB1">
        <w:rPr>
          <w:rFonts w:hint="cs"/>
          <w:rtl/>
          <w:lang w:bidi="ar-SY"/>
        </w:rPr>
        <w:t xml:space="preserve"> سنوا</w:t>
      </w:r>
      <w:r w:rsidR="00BA2DA3" w:rsidRPr="00EE4BB1">
        <w:rPr>
          <w:rFonts w:hint="cs"/>
          <w:rtl/>
          <w:lang w:bidi="ar-SY"/>
        </w:rPr>
        <w:t xml:space="preserve">ت، حيث لا يطلق المشغل </w:t>
      </w:r>
      <w:r w:rsidR="00800776" w:rsidRPr="00EE4BB1">
        <w:rPr>
          <w:rFonts w:hint="cs"/>
          <w:rtl/>
          <w:lang w:bidi="ar-EG"/>
        </w:rPr>
        <w:t>مركبة فضائية أخرى لرفدها أو تبديلها.</w:t>
      </w:r>
    </w:p>
    <w:p w14:paraId="09CD3D64" w14:textId="0A30E967" w:rsidR="00800776" w:rsidRPr="001A229A" w:rsidRDefault="00800776" w:rsidP="00BA2DA3">
      <w:pPr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وتتراكب نطاقات التردد المذكورة </w:t>
      </w:r>
      <w:r w:rsidR="001A229A">
        <w:rPr>
          <w:rFonts w:hint="cs"/>
          <w:rtl/>
          <w:lang w:bidi="ar-EG"/>
        </w:rPr>
        <w:t xml:space="preserve">في </w:t>
      </w:r>
      <w:r w:rsidR="0051177C">
        <w:rPr>
          <w:rFonts w:hint="cs"/>
          <w:rtl/>
          <w:lang w:bidi="ar-EG"/>
        </w:rPr>
        <w:t>البند</w:t>
      </w:r>
      <w:r w:rsidR="001A229A">
        <w:rPr>
          <w:rFonts w:hint="cs"/>
          <w:rtl/>
          <w:lang w:bidi="ar-EG"/>
        </w:rPr>
        <w:t xml:space="preserve"> </w:t>
      </w:r>
      <w:r w:rsidR="001A229A">
        <w:rPr>
          <w:lang w:val="en-GB" w:bidi="ar-EG"/>
        </w:rPr>
        <w:t>3</w:t>
      </w:r>
      <w:r w:rsidR="001A229A">
        <w:rPr>
          <w:rFonts w:hint="cs"/>
          <w:rtl/>
          <w:lang w:val="en-GB" w:bidi="ar-EG"/>
        </w:rPr>
        <w:t xml:space="preserve"> </w:t>
      </w:r>
      <w:r w:rsidR="0051177C">
        <w:rPr>
          <w:rFonts w:hint="cs"/>
          <w:rtl/>
          <w:lang w:val="en-GB" w:bidi="ar-EG"/>
        </w:rPr>
        <w:t xml:space="preserve">من </w:t>
      </w:r>
      <w:r w:rsidR="001A229A" w:rsidRPr="001A229A">
        <w:rPr>
          <w:rFonts w:hint="cs"/>
          <w:i/>
          <w:iCs/>
          <w:rtl/>
          <w:lang w:val="en-GB" w:bidi="ar-EG"/>
        </w:rPr>
        <w:t>يدعو قطاع الاتصالات الراديو</w:t>
      </w:r>
      <w:r w:rsidR="0051177C">
        <w:rPr>
          <w:rFonts w:hint="cs"/>
          <w:i/>
          <w:iCs/>
          <w:rtl/>
          <w:lang w:val="en-GB" w:bidi="ar-EG"/>
        </w:rPr>
        <w:t>ية</w:t>
      </w:r>
      <w:r w:rsidR="001A229A">
        <w:rPr>
          <w:rFonts w:hint="cs"/>
          <w:rtl/>
          <w:lang w:val="en-GB" w:bidi="ar-EG"/>
        </w:rPr>
        <w:t xml:space="preserve"> مع التوزيعات</w:t>
      </w:r>
      <w:r w:rsidR="001B2DCE">
        <w:rPr>
          <w:rFonts w:hint="cs"/>
          <w:rtl/>
          <w:lang w:val="en-GB" w:bidi="ar-EG"/>
        </w:rPr>
        <w:t xml:space="preserve"> الحاسمة الأهمية لترددات النظام العالمي للاستغاثة والسلامة في البحر، والمحددة في</w:t>
      </w:r>
      <w:r w:rsidR="00373A96">
        <w:rPr>
          <w:rFonts w:hint="cs"/>
          <w:rtl/>
          <w:lang w:val="en-GB" w:bidi="ar-EG"/>
        </w:rPr>
        <w:t xml:space="preserve"> </w:t>
      </w:r>
      <w:r w:rsidR="0051177C">
        <w:rPr>
          <w:rFonts w:hint="cs"/>
          <w:rtl/>
          <w:lang w:val="en-GB" w:bidi="ar-EG"/>
        </w:rPr>
        <w:t>التذييل</w:t>
      </w:r>
      <w:r w:rsidR="00373A96">
        <w:rPr>
          <w:rFonts w:hint="cs"/>
          <w:rtl/>
          <w:lang w:val="en-GB" w:bidi="ar-EG"/>
        </w:rPr>
        <w:t xml:space="preserve"> </w:t>
      </w:r>
      <w:r w:rsidR="00373A96" w:rsidRPr="0051177C">
        <w:rPr>
          <w:b/>
          <w:bCs/>
          <w:lang w:val="en-GB" w:bidi="ar-EG"/>
        </w:rPr>
        <w:t>15</w:t>
      </w:r>
      <w:r w:rsidR="00373A96">
        <w:rPr>
          <w:rFonts w:hint="cs"/>
          <w:rtl/>
          <w:lang w:val="en-GB" w:bidi="ar-EG"/>
        </w:rPr>
        <w:t xml:space="preserve"> من تذييل لوائح الراديو،</w:t>
      </w:r>
      <w:r w:rsidR="007A4A2F">
        <w:rPr>
          <w:rFonts w:hint="cs"/>
          <w:rtl/>
          <w:lang w:val="en-GB" w:bidi="ar-EG"/>
        </w:rPr>
        <w:t xml:space="preserve"> والمتمركزة عند </w:t>
      </w:r>
      <w:r w:rsidR="007A4A2F">
        <w:rPr>
          <w:lang w:val="en-GB" w:bidi="ar-EG"/>
        </w:rPr>
        <w:t>156,</w:t>
      </w:r>
      <w:r w:rsidR="007A4A2F" w:rsidRPr="0051177C">
        <w:rPr>
          <w:spacing w:val="-4"/>
          <w:lang w:val="en-GB" w:bidi="ar-EG"/>
        </w:rPr>
        <w:t>3</w:t>
      </w:r>
      <w:r w:rsidR="007A4A2F" w:rsidRPr="0051177C">
        <w:rPr>
          <w:rFonts w:hint="cs"/>
          <w:spacing w:val="-4"/>
          <w:rtl/>
          <w:lang w:val="en-GB" w:bidi="ar-EG"/>
        </w:rPr>
        <w:t xml:space="preserve"> </w:t>
      </w:r>
      <w:r w:rsidR="007A4A2F" w:rsidRPr="0051177C">
        <w:rPr>
          <w:spacing w:val="-4"/>
          <w:lang w:val="en-GB" w:bidi="ar-EG"/>
        </w:rPr>
        <w:t>MHz</w:t>
      </w:r>
      <w:r w:rsidR="007F4296" w:rsidRPr="0051177C">
        <w:rPr>
          <w:rFonts w:hint="cs"/>
          <w:spacing w:val="-4"/>
          <w:rtl/>
          <w:lang w:val="en-GB" w:bidi="ar-EG"/>
        </w:rPr>
        <w:t>، و</w:t>
      </w:r>
      <w:r w:rsidR="007F4296" w:rsidRPr="0051177C">
        <w:rPr>
          <w:spacing w:val="-4"/>
          <w:lang w:val="en-GB" w:bidi="ar-EG"/>
        </w:rPr>
        <w:t>156,5</w:t>
      </w:r>
      <w:r w:rsidR="00FC3CE4">
        <w:rPr>
          <w:spacing w:val="-4"/>
          <w:lang w:val="en-GB" w:bidi="ar-EG"/>
        </w:rPr>
        <w:t>2</w:t>
      </w:r>
      <w:r w:rsidR="007F4296" w:rsidRPr="0051177C">
        <w:rPr>
          <w:spacing w:val="-4"/>
          <w:lang w:val="en-GB" w:bidi="ar-EG"/>
        </w:rPr>
        <w:t>5</w:t>
      </w:r>
      <w:r w:rsidR="007F4296" w:rsidRPr="0051177C">
        <w:rPr>
          <w:rFonts w:hint="cs"/>
          <w:spacing w:val="-4"/>
          <w:rtl/>
          <w:lang w:val="en-GB" w:bidi="ar-EG"/>
        </w:rPr>
        <w:t xml:space="preserve"> </w:t>
      </w:r>
      <w:r w:rsidR="007F4296" w:rsidRPr="0051177C">
        <w:rPr>
          <w:spacing w:val="-4"/>
          <w:lang w:val="en-GB" w:bidi="ar-EG"/>
        </w:rPr>
        <w:t>MHz</w:t>
      </w:r>
      <w:r w:rsidR="007F4296" w:rsidRPr="0051177C">
        <w:rPr>
          <w:rFonts w:hint="cs"/>
          <w:spacing w:val="-4"/>
          <w:rtl/>
          <w:lang w:val="en-GB" w:bidi="ar-EG"/>
        </w:rPr>
        <w:t xml:space="preserve">، </w:t>
      </w:r>
      <w:r w:rsidR="007F4296">
        <w:rPr>
          <w:rFonts w:hint="cs"/>
          <w:rtl/>
          <w:lang w:val="en-GB" w:bidi="ar-EG"/>
        </w:rPr>
        <w:t>و</w:t>
      </w:r>
      <w:r w:rsidR="007F4296">
        <w:rPr>
          <w:lang w:val="en-GB" w:bidi="ar-EG"/>
        </w:rPr>
        <w:t>156,65</w:t>
      </w:r>
      <w:r w:rsidR="007F4296">
        <w:rPr>
          <w:rFonts w:hint="cs"/>
          <w:rtl/>
          <w:lang w:val="en-GB" w:bidi="ar-EG"/>
        </w:rPr>
        <w:t xml:space="preserve"> </w:t>
      </w:r>
      <w:r w:rsidR="007F4296">
        <w:rPr>
          <w:lang w:val="en-GB" w:bidi="ar-EG"/>
        </w:rPr>
        <w:t>MHz</w:t>
      </w:r>
      <w:r w:rsidR="007F4296">
        <w:rPr>
          <w:rFonts w:hint="cs"/>
          <w:rtl/>
          <w:lang w:val="en-GB" w:bidi="ar-EG"/>
        </w:rPr>
        <w:t>، و</w:t>
      </w:r>
      <w:r w:rsidR="007F4296">
        <w:rPr>
          <w:lang w:val="en-GB" w:bidi="ar-EG"/>
        </w:rPr>
        <w:t>156,8</w:t>
      </w:r>
      <w:r w:rsidR="007F4296">
        <w:rPr>
          <w:rFonts w:hint="cs"/>
          <w:rtl/>
          <w:lang w:val="en-GB" w:bidi="ar-EG"/>
        </w:rPr>
        <w:t xml:space="preserve"> </w:t>
      </w:r>
      <w:r w:rsidR="007F4296">
        <w:rPr>
          <w:lang w:val="en-GB" w:bidi="ar-EG"/>
        </w:rPr>
        <w:t>MHz</w:t>
      </w:r>
      <w:r w:rsidR="007F4296">
        <w:rPr>
          <w:rFonts w:hint="cs"/>
          <w:rtl/>
          <w:lang w:val="en-GB" w:bidi="ar-EG"/>
        </w:rPr>
        <w:t>، و</w:t>
      </w:r>
      <w:r w:rsidR="007F4296">
        <w:rPr>
          <w:lang w:val="en-GB" w:bidi="ar-EG"/>
        </w:rPr>
        <w:t>161,</w:t>
      </w:r>
      <w:r w:rsidR="00B864C2">
        <w:rPr>
          <w:lang w:val="en-GB" w:bidi="ar-EG"/>
        </w:rPr>
        <w:t>975</w:t>
      </w:r>
      <w:r w:rsidR="00B864C2">
        <w:rPr>
          <w:rFonts w:hint="cs"/>
          <w:rtl/>
          <w:lang w:val="en-GB" w:bidi="ar-EG"/>
        </w:rPr>
        <w:t xml:space="preserve"> </w:t>
      </w:r>
      <w:r w:rsidR="00B864C2">
        <w:rPr>
          <w:lang w:val="en-GB" w:bidi="ar-EG"/>
        </w:rPr>
        <w:t>MHz</w:t>
      </w:r>
      <w:r w:rsidR="00B864C2">
        <w:rPr>
          <w:rFonts w:hint="cs"/>
          <w:rtl/>
          <w:lang w:val="en-GB" w:bidi="ar-EG"/>
        </w:rPr>
        <w:t>، و</w:t>
      </w:r>
      <w:r w:rsidR="00B864C2">
        <w:rPr>
          <w:lang w:val="en-GB" w:bidi="ar-EG"/>
        </w:rPr>
        <w:t>162,025</w:t>
      </w:r>
      <w:r w:rsidR="00B864C2">
        <w:rPr>
          <w:rFonts w:hint="cs"/>
          <w:rtl/>
          <w:lang w:val="en-GB" w:bidi="ar-EG"/>
        </w:rPr>
        <w:t xml:space="preserve"> </w:t>
      </w:r>
      <w:r w:rsidR="00B864C2">
        <w:rPr>
          <w:lang w:val="en-GB" w:bidi="ar-EG"/>
        </w:rPr>
        <w:t>MHz</w:t>
      </w:r>
      <w:r w:rsidR="00B864C2">
        <w:rPr>
          <w:rFonts w:hint="cs"/>
          <w:rtl/>
          <w:lang w:val="en-GB" w:bidi="ar-EG"/>
        </w:rPr>
        <w:t xml:space="preserve">، فضلاً عن الترددات </w:t>
      </w:r>
      <w:r w:rsidR="00036C80">
        <w:rPr>
          <w:rFonts w:hint="cs"/>
          <w:rtl/>
          <w:lang w:val="en-GB" w:bidi="ar-EG"/>
        </w:rPr>
        <w:t>التي يستخدمها</w:t>
      </w:r>
      <w:r w:rsidR="00B864C2">
        <w:rPr>
          <w:rFonts w:hint="cs"/>
          <w:rtl/>
          <w:lang w:val="en-GB" w:bidi="ar-EG"/>
        </w:rPr>
        <w:t xml:space="preserve"> نظام </w:t>
      </w:r>
      <w:proofErr w:type="spellStart"/>
      <w:r w:rsidR="00854CE5">
        <w:rPr>
          <w:rFonts w:hint="cs"/>
          <w:rtl/>
          <w:lang w:val="en-GB" w:bidi="ar-EG"/>
        </w:rPr>
        <w:t>سواتل</w:t>
      </w:r>
      <w:proofErr w:type="spellEnd"/>
      <w:r w:rsidR="00854CE5">
        <w:rPr>
          <w:rFonts w:hint="cs"/>
          <w:rtl/>
          <w:lang w:val="en-GB" w:bidi="ar-EG"/>
        </w:rPr>
        <w:t xml:space="preserve"> النظام الدولي </w:t>
      </w:r>
      <w:proofErr w:type="spellStart"/>
      <w:r w:rsidR="00854CE5">
        <w:rPr>
          <w:rFonts w:hint="cs"/>
          <w:rtl/>
          <w:lang w:val="en-GB" w:bidi="ar-EG"/>
        </w:rPr>
        <w:t>الساتلي</w:t>
      </w:r>
      <w:proofErr w:type="spellEnd"/>
      <w:r w:rsidR="00854CE5">
        <w:rPr>
          <w:rFonts w:hint="cs"/>
          <w:rtl/>
          <w:lang w:val="en-GB" w:bidi="ar-EG"/>
        </w:rPr>
        <w:t xml:space="preserve"> للبحث والإنقاذ </w:t>
      </w:r>
      <w:r w:rsidR="00FC3CE4">
        <w:rPr>
          <w:lang w:val="en-GB" w:bidi="ar-EG"/>
        </w:rPr>
        <w:t>(</w:t>
      </w:r>
      <w:r w:rsidR="00854CE5">
        <w:rPr>
          <w:lang w:val="en-GB" w:bidi="ar-EG"/>
        </w:rPr>
        <w:t>COSPAS/SARSAT</w:t>
      </w:r>
      <w:r w:rsidR="00FC3CE4">
        <w:rPr>
          <w:lang w:val="en-GB" w:bidi="ar-EG"/>
        </w:rPr>
        <w:t>)</w:t>
      </w:r>
      <w:r w:rsidR="00854CE5">
        <w:rPr>
          <w:rFonts w:hint="cs"/>
          <w:rtl/>
          <w:lang w:val="en-GB" w:bidi="ar-EG"/>
        </w:rPr>
        <w:t xml:space="preserve"> </w:t>
      </w:r>
      <w:r w:rsidR="00036C80">
        <w:rPr>
          <w:rFonts w:hint="cs"/>
          <w:rtl/>
          <w:lang w:val="en-GB" w:bidi="ar-EG"/>
        </w:rPr>
        <w:t xml:space="preserve">من أجل سلامة </w:t>
      </w:r>
      <w:r w:rsidR="0051177C">
        <w:rPr>
          <w:rFonts w:hint="cs"/>
          <w:rtl/>
          <w:lang w:val="en-GB" w:bidi="ar-EG"/>
        </w:rPr>
        <w:t>الأرواح</w:t>
      </w:r>
      <w:r w:rsidR="00036C80">
        <w:rPr>
          <w:rFonts w:hint="cs"/>
          <w:rtl/>
          <w:lang w:val="en-GB" w:bidi="ar-EG"/>
        </w:rPr>
        <w:t xml:space="preserve"> في النطاق </w:t>
      </w:r>
      <w:r w:rsidR="00036C80">
        <w:rPr>
          <w:lang w:val="en-GB" w:bidi="ar-EG"/>
        </w:rPr>
        <w:t>406,1-406</w:t>
      </w:r>
      <w:r w:rsidR="00036C80">
        <w:rPr>
          <w:rFonts w:hint="cs"/>
          <w:rtl/>
          <w:lang w:val="en-GB" w:bidi="ar-EG"/>
        </w:rPr>
        <w:t xml:space="preserve"> </w:t>
      </w:r>
      <w:r w:rsidR="00036C80">
        <w:rPr>
          <w:lang w:val="en-GB" w:bidi="ar-EG"/>
        </w:rPr>
        <w:t>MHz</w:t>
      </w:r>
      <w:r w:rsidR="00036C80">
        <w:rPr>
          <w:rFonts w:hint="cs"/>
          <w:rtl/>
          <w:lang w:val="en-GB" w:bidi="ar-EG"/>
        </w:rPr>
        <w:t>.</w:t>
      </w:r>
    </w:p>
    <w:p w14:paraId="61B4C9EB" w14:textId="77777777" w:rsidR="00632DB3" w:rsidRDefault="00FA240A" w:rsidP="00FC3CE4">
      <w:pPr>
        <w:pStyle w:val="ArtNo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6FB316BB" w14:textId="77777777" w:rsidR="00632DB3" w:rsidRDefault="00FA240A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47C0662" w14:textId="77777777" w:rsidR="003A76F6" w:rsidRDefault="00FA240A">
      <w:pPr>
        <w:pStyle w:val="Proposal"/>
      </w:pPr>
      <w:r>
        <w:rPr>
          <w:u w:val="single"/>
        </w:rPr>
        <w:t>NOC</w:t>
      </w:r>
      <w:r>
        <w:tab/>
        <w:t>IAP/11A7/1</w:t>
      </w:r>
    </w:p>
    <w:p w14:paraId="650DC094" w14:textId="43AA2BD6" w:rsidR="00632DB3" w:rsidRDefault="00FA240A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5BA1EBF2" w14:textId="3496AF3D" w:rsidR="003A76F6" w:rsidRPr="00AF3673" w:rsidRDefault="00FA240A">
      <w:pPr>
        <w:pStyle w:val="Reasons"/>
        <w:rPr>
          <w:b w:val="0"/>
          <w:bCs w:val="0"/>
          <w:lang w:val="en-GB" w:bidi="ar-EG"/>
        </w:rPr>
      </w:pPr>
      <w:r>
        <w:rPr>
          <w:rtl/>
        </w:rPr>
        <w:t>الأسباب:</w:t>
      </w:r>
      <w:r>
        <w:tab/>
      </w:r>
      <w:r w:rsidR="00036C80" w:rsidRPr="00036C80">
        <w:rPr>
          <w:rFonts w:hint="cs"/>
          <w:b w:val="0"/>
          <w:bCs w:val="0"/>
          <w:rtl/>
        </w:rPr>
        <w:t>بينت</w:t>
      </w:r>
      <w:r w:rsidR="00036C80">
        <w:rPr>
          <w:rFonts w:hint="cs"/>
          <w:b w:val="0"/>
          <w:bCs w:val="0"/>
          <w:rtl/>
        </w:rPr>
        <w:t xml:space="preserve"> دراسات التقاسم والتوافق </w:t>
      </w:r>
      <w:r w:rsidR="00AF3673">
        <w:rPr>
          <w:rFonts w:hint="cs"/>
          <w:b w:val="0"/>
          <w:bCs w:val="0"/>
          <w:rtl/>
        </w:rPr>
        <w:t xml:space="preserve">التي أجراها قطاع الدراسات الراديوية بين </w:t>
      </w:r>
      <w:proofErr w:type="spellStart"/>
      <w:r w:rsidR="00AF3673">
        <w:rPr>
          <w:rFonts w:hint="cs"/>
          <w:b w:val="0"/>
          <w:bCs w:val="0"/>
          <w:rtl/>
        </w:rPr>
        <w:t>السواتل</w:t>
      </w:r>
      <w:proofErr w:type="spellEnd"/>
      <w:r w:rsidR="00AF3673">
        <w:rPr>
          <w:rFonts w:hint="cs"/>
          <w:b w:val="0"/>
          <w:bCs w:val="0"/>
          <w:rtl/>
        </w:rPr>
        <w:t xml:space="preserve"> غير المستقرة بالنسبة إلى الأرض </w:t>
      </w:r>
      <w:r w:rsidR="00AF3673" w:rsidRPr="0051177C">
        <w:rPr>
          <w:rFonts w:ascii="Times New Roman" w:hAnsi="Times New Roman" w:hint="cs"/>
          <w:b w:val="0"/>
          <w:bCs w:val="0"/>
          <w:spacing w:val="-4"/>
          <w:rtl/>
        </w:rPr>
        <w:t xml:space="preserve">ذات </w:t>
      </w:r>
      <w:r w:rsidR="00E80965" w:rsidRPr="0051177C">
        <w:rPr>
          <w:rFonts w:ascii="Times New Roman" w:hAnsi="Times New Roman" w:hint="cs"/>
          <w:b w:val="0"/>
          <w:bCs w:val="0"/>
          <w:spacing w:val="-4"/>
          <w:rtl/>
        </w:rPr>
        <w:t xml:space="preserve">المهام </w:t>
      </w:r>
      <w:r w:rsidR="00AF3673" w:rsidRPr="0051177C">
        <w:rPr>
          <w:rFonts w:ascii="Times New Roman" w:hAnsi="Times New Roman" w:hint="cs"/>
          <w:b w:val="0"/>
          <w:bCs w:val="0"/>
          <w:spacing w:val="-4"/>
          <w:rtl/>
        </w:rPr>
        <w:t>القصيرة المدى والخدمات الحالية، فيما يتعلق بال</w:t>
      </w:r>
      <w:r w:rsidR="0051177C" w:rsidRPr="0051177C">
        <w:rPr>
          <w:rFonts w:ascii="Times New Roman" w:hAnsi="Times New Roman" w:hint="cs"/>
          <w:b w:val="0"/>
          <w:bCs w:val="0"/>
          <w:spacing w:val="-4"/>
          <w:rtl/>
        </w:rPr>
        <w:t>فقرتين</w:t>
      </w:r>
      <w:r w:rsidR="00AF3673" w:rsidRPr="0051177C">
        <w:rPr>
          <w:rFonts w:ascii="Times New Roman" w:hAnsi="Times New Roman" w:hint="cs"/>
          <w:b w:val="0"/>
          <w:bCs w:val="0"/>
          <w:spacing w:val="-4"/>
          <w:rtl/>
        </w:rPr>
        <w:t xml:space="preserve"> </w:t>
      </w:r>
      <w:r w:rsidR="00AF3673" w:rsidRPr="0051177C">
        <w:rPr>
          <w:rFonts w:ascii="Times New Roman" w:hAnsi="Times New Roman"/>
          <w:b w:val="0"/>
          <w:bCs w:val="0"/>
          <w:spacing w:val="-4"/>
          <w:lang w:val="en-GB"/>
        </w:rPr>
        <w:t>2</w:t>
      </w:r>
      <w:r w:rsidR="00AF3673" w:rsidRPr="0051177C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 و</w:t>
      </w:r>
      <w:r w:rsidR="00AF3673" w:rsidRPr="0051177C">
        <w:rPr>
          <w:rFonts w:ascii="Times New Roman" w:hAnsi="Times New Roman"/>
          <w:b w:val="0"/>
          <w:bCs w:val="0"/>
          <w:spacing w:val="-4"/>
          <w:lang w:val="en-GB" w:bidi="ar-EG"/>
        </w:rPr>
        <w:t>3</w:t>
      </w:r>
      <w:r w:rsidR="00AF3673" w:rsidRPr="0051177C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 </w:t>
      </w:r>
      <w:r w:rsidR="0051177C" w:rsidRPr="0051177C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من </w:t>
      </w:r>
      <w:r w:rsidR="00AF3673" w:rsidRPr="0051177C">
        <w:rPr>
          <w:rFonts w:ascii="Times New Roman" w:hAnsi="Times New Roman" w:hint="cs"/>
          <w:b w:val="0"/>
          <w:bCs w:val="0"/>
          <w:i/>
          <w:iCs/>
          <w:spacing w:val="-4"/>
          <w:rtl/>
          <w:lang w:val="en-GB" w:bidi="ar-EG"/>
        </w:rPr>
        <w:t>يدعو قطاع الدراسات الراديوي</w:t>
      </w:r>
      <w:r w:rsidR="0051177C" w:rsidRPr="0051177C">
        <w:rPr>
          <w:rFonts w:ascii="Times New Roman" w:hAnsi="Times New Roman" w:hint="cs"/>
          <w:b w:val="0"/>
          <w:bCs w:val="0"/>
          <w:i/>
          <w:iCs/>
          <w:spacing w:val="-4"/>
          <w:rtl/>
          <w:lang w:val="en-GB" w:bidi="ar-EG"/>
        </w:rPr>
        <w:t xml:space="preserve">ة </w:t>
      </w:r>
      <w:r w:rsidR="00AF3673" w:rsidRPr="0051177C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 xml:space="preserve">بالقرار </w:t>
      </w:r>
      <w:r w:rsidR="00AF3673" w:rsidRPr="0051177C">
        <w:rPr>
          <w:rFonts w:ascii="Times New Roman" w:hAnsi="Times New Roman"/>
          <w:spacing w:val="-4"/>
          <w:lang w:val="en-GB" w:bidi="ar-EG"/>
        </w:rPr>
        <w:t>658 (WRC-15)</w:t>
      </w:r>
      <w:r w:rsidR="00AF3673" w:rsidRPr="0051177C">
        <w:rPr>
          <w:rFonts w:ascii="Times New Roman" w:hAnsi="Times New Roman" w:hint="cs"/>
          <w:b w:val="0"/>
          <w:bCs w:val="0"/>
          <w:spacing w:val="-4"/>
          <w:rtl/>
          <w:lang w:val="en-GB" w:bidi="ar-EG"/>
        </w:rPr>
        <w:t>،</w:t>
      </w:r>
      <w:r w:rsidR="00AF3673">
        <w:rPr>
          <w:rFonts w:hint="cs"/>
          <w:b w:val="0"/>
          <w:bCs w:val="0"/>
          <w:rtl/>
          <w:lang w:val="en-GB" w:bidi="ar-EG"/>
        </w:rPr>
        <w:t xml:space="preserve"> أن التقاسم غير ممكن</w:t>
      </w:r>
      <w:r w:rsidR="008B109A">
        <w:rPr>
          <w:rFonts w:hint="cs"/>
          <w:b w:val="0"/>
          <w:bCs w:val="0"/>
          <w:rtl/>
          <w:lang w:val="en-GB" w:bidi="ar-EG"/>
        </w:rPr>
        <w:t>.</w:t>
      </w:r>
    </w:p>
    <w:p w14:paraId="6DE57841" w14:textId="77777777" w:rsidR="003A76F6" w:rsidRDefault="00FA240A">
      <w:pPr>
        <w:pStyle w:val="Proposal"/>
      </w:pPr>
      <w:r>
        <w:t>SUP</w:t>
      </w:r>
      <w:r>
        <w:tab/>
        <w:t>IAP/11A7/2</w:t>
      </w:r>
    </w:p>
    <w:p w14:paraId="1743518C" w14:textId="77777777" w:rsidR="00FC1116" w:rsidRPr="004763BC" w:rsidRDefault="00FA240A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القرار </w:t>
      </w:r>
      <w:r w:rsidRPr="00A8077C">
        <w:rPr>
          <w:rStyle w:val="href"/>
        </w:rPr>
        <w:t>659</w:t>
      </w:r>
      <w:r w:rsidRPr="004763BC">
        <w:t> (WRC</w:t>
      </w:r>
      <w:r w:rsidRPr="004763BC">
        <w:noBreakHyphen/>
        <w:t>15)</w:t>
      </w:r>
    </w:p>
    <w:p w14:paraId="0C9C2C1F" w14:textId="6383F87D" w:rsidR="00FC1116" w:rsidRDefault="00FA240A" w:rsidP="00FC1116">
      <w:pPr>
        <w:pStyle w:val="Restitle"/>
        <w:rPr>
          <w:color w:val="000000"/>
          <w:rtl/>
        </w:rPr>
      </w:pPr>
      <w:r w:rsidRPr="004763BC">
        <w:rPr>
          <w:rFonts w:hint="cs"/>
          <w:color w:val="000000"/>
          <w:rtl/>
        </w:rPr>
        <w:t xml:space="preserve">دراسات لتلبية المتطلبات في خدمة </w:t>
      </w:r>
      <w:r w:rsidRPr="004763BC">
        <w:rPr>
          <w:color w:val="000000"/>
          <w:rtl/>
        </w:rPr>
        <w:t>العمليات الفضائية</w:t>
      </w:r>
      <w:r w:rsidRPr="004763BC">
        <w:rPr>
          <w:rFonts w:hint="cs"/>
          <w:color w:val="000000"/>
          <w:rtl/>
        </w:rPr>
        <w:t xml:space="preserve"> من أجل</w:t>
      </w:r>
      <w:r w:rsidRPr="004763BC">
        <w:rPr>
          <w:color w:val="000000"/>
          <w:rtl/>
        </w:rPr>
        <w:br/>
      </w:r>
      <w:proofErr w:type="spellStart"/>
      <w:r w:rsidRPr="004763BC">
        <w:rPr>
          <w:rFonts w:hint="cs"/>
          <w:color w:val="000000"/>
          <w:rtl/>
        </w:rPr>
        <w:t>السواتل</w:t>
      </w:r>
      <w:proofErr w:type="spellEnd"/>
      <w:r w:rsidRPr="004763BC">
        <w:rPr>
          <w:rFonts w:hint="cs"/>
          <w:color w:val="000000"/>
          <w:rtl/>
        </w:rPr>
        <w:t xml:space="preserve"> غير المستقرة بالنسبة إلى الأرض</w:t>
      </w:r>
      <w:r w:rsidRPr="004763BC">
        <w:rPr>
          <w:color w:val="000000"/>
          <w:rtl/>
        </w:rPr>
        <w:t xml:space="preserve"> </w:t>
      </w:r>
      <w:r w:rsidRPr="004763BC">
        <w:rPr>
          <w:rFonts w:hint="cs"/>
          <w:color w:val="000000"/>
          <w:rtl/>
        </w:rPr>
        <w:t xml:space="preserve">ذات </w:t>
      </w:r>
      <w:r w:rsidR="00E80965">
        <w:rPr>
          <w:rFonts w:hint="cs"/>
          <w:color w:val="000000"/>
          <w:rtl/>
        </w:rPr>
        <w:t xml:space="preserve">المهام </w:t>
      </w:r>
      <w:r w:rsidRPr="004763BC">
        <w:rPr>
          <w:rFonts w:hint="cs"/>
          <w:color w:val="000000"/>
          <w:rtl/>
        </w:rPr>
        <w:t>القصيرة المدة</w:t>
      </w:r>
    </w:p>
    <w:p w14:paraId="178DA3F3" w14:textId="19FFA913" w:rsidR="00FA240A" w:rsidRDefault="00FA240A" w:rsidP="0051177C">
      <w:pPr>
        <w:pStyle w:val="Reasons"/>
        <w:rPr>
          <w:b w:val="0"/>
          <w:bCs w:val="0"/>
          <w:rtl/>
          <w:lang w:val="en-GB" w:bidi="ar-EG"/>
        </w:rPr>
      </w:pPr>
      <w:r w:rsidRPr="00CB3B57">
        <w:rPr>
          <w:rtl/>
        </w:rPr>
        <w:t>الأسباب:</w:t>
      </w:r>
      <w:r w:rsidRPr="00CB3B57">
        <w:tab/>
      </w:r>
      <w:r w:rsidR="00F02B2C" w:rsidRPr="00CB3B57">
        <w:rPr>
          <w:rFonts w:hint="cs"/>
          <w:b w:val="0"/>
          <w:bCs w:val="0"/>
          <w:rtl/>
          <w:lang w:val="en-GB" w:bidi="ar-EG"/>
        </w:rPr>
        <w:t xml:space="preserve">أظهرت دراسات قطاع الدراسات الراديوية أن التقاسم بين الخدمات الحالية </w:t>
      </w:r>
      <w:proofErr w:type="spellStart"/>
      <w:r w:rsidR="00F02B2C" w:rsidRPr="00CB3B57">
        <w:rPr>
          <w:rFonts w:hint="cs"/>
          <w:b w:val="0"/>
          <w:bCs w:val="0"/>
          <w:rtl/>
          <w:lang w:val="en-GB" w:bidi="ar-EG"/>
        </w:rPr>
        <w:t>والسواتل</w:t>
      </w:r>
      <w:proofErr w:type="spellEnd"/>
      <w:r w:rsidR="00F02B2C" w:rsidRPr="00CB3B57">
        <w:rPr>
          <w:rFonts w:hint="cs"/>
          <w:b w:val="0"/>
          <w:bCs w:val="0"/>
          <w:rtl/>
          <w:lang w:val="en-GB" w:bidi="ar-EG"/>
        </w:rPr>
        <w:t xml:space="preserve"> غير المستقرة بالنسبة إلى الأرض ذات </w:t>
      </w:r>
      <w:r w:rsidR="00E80965" w:rsidRPr="00CB3B57">
        <w:rPr>
          <w:rFonts w:hint="cs"/>
          <w:b w:val="0"/>
          <w:bCs w:val="0"/>
          <w:rtl/>
          <w:lang w:val="en-GB" w:bidi="ar-EG"/>
        </w:rPr>
        <w:t xml:space="preserve">المهام </w:t>
      </w:r>
      <w:r w:rsidR="00F02B2C" w:rsidRPr="00CB3B57">
        <w:rPr>
          <w:rFonts w:hint="cs"/>
          <w:b w:val="0"/>
          <w:bCs w:val="0"/>
          <w:rtl/>
          <w:lang w:val="en-GB" w:bidi="ar-EG"/>
        </w:rPr>
        <w:t xml:space="preserve">القصيرة المدة </w:t>
      </w:r>
      <w:r w:rsidR="00DF0403" w:rsidRPr="00CB3B57">
        <w:rPr>
          <w:rFonts w:hint="cs"/>
          <w:b w:val="0"/>
          <w:bCs w:val="0"/>
          <w:rtl/>
          <w:lang w:val="en-GB" w:bidi="ar-EG"/>
        </w:rPr>
        <w:t>غير ممكن</w:t>
      </w:r>
      <w:bookmarkStart w:id="4" w:name="_GoBack"/>
      <w:bookmarkEnd w:id="4"/>
      <w:r w:rsidR="00DF0403" w:rsidRPr="00CB3B57">
        <w:rPr>
          <w:rFonts w:hint="cs"/>
          <w:b w:val="0"/>
          <w:bCs w:val="0"/>
          <w:rtl/>
          <w:lang w:val="en-GB" w:bidi="ar-EG"/>
        </w:rPr>
        <w:t xml:space="preserve"> في نطاقات التردد </w:t>
      </w:r>
      <w:r w:rsidR="00D80A3D" w:rsidRPr="00CB3B57">
        <w:rPr>
          <w:rFonts w:hint="cs"/>
          <w:b w:val="0"/>
          <w:bCs w:val="0"/>
          <w:rtl/>
          <w:lang w:val="en-GB" w:bidi="ar-EG"/>
        </w:rPr>
        <w:t xml:space="preserve">المشمولة بهذا </w:t>
      </w:r>
      <w:r w:rsidR="00DF0403" w:rsidRPr="00CB3B57">
        <w:rPr>
          <w:rFonts w:hint="cs"/>
          <w:b w:val="0"/>
          <w:bCs w:val="0"/>
          <w:rtl/>
          <w:lang w:val="en-GB" w:bidi="ar-EG"/>
        </w:rPr>
        <w:t>القرار. و</w:t>
      </w:r>
      <w:r w:rsidR="000A0D5F" w:rsidRPr="00CB3B57">
        <w:rPr>
          <w:rFonts w:hint="cs"/>
          <w:b w:val="0"/>
          <w:bCs w:val="0"/>
          <w:rtl/>
          <w:lang w:val="en-GB" w:bidi="ar-EG"/>
        </w:rPr>
        <w:t xml:space="preserve">لم تعد ثمة حاجة للقرار، إذ اكتمل </w:t>
      </w:r>
      <w:r w:rsidR="00DF0403" w:rsidRPr="00CB3B57">
        <w:rPr>
          <w:rFonts w:hint="cs"/>
          <w:b w:val="0"/>
          <w:bCs w:val="0"/>
          <w:rtl/>
          <w:lang w:val="en-GB" w:bidi="ar-EG"/>
        </w:rPr>
        <w:t>العمل.</w:t>
      </w:r>
    </w:p>
    <w:p w14:paraId="481A3CDA" w14:textId="1176CDBE" w:rsidR="00D80A3D" w:rsidRPr="00D80A3D" w:rsidRDefault="00D80A3D" w:rsidP="00FC3CE4">
      <w:pPr>
        <w:spacing w:before="600"/>
        <w:jc w:val="center"/>
        <w:rPr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D80A3D" w:rsidRPr="00D80A3D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6C7F" w14:textId="77777777" w:rsidR="00EA5D25" w:rsidRDefault="00EA5D25" w:rsidP="002919E1">
      <w:r>
        <w:separator/>
      </w:r>
    </w:p>
    <w:p w14:paraId="17003D4C" w14:textId="77777777" w:rsidR="00EA5D25" w:rsidRDefault="00EA5D25" w:rsidP="002919E1"/>
    <w:p w14:paraId="7F3C5B6E" w14:textId="77777777" w:rsidR="00EA5D25" w:rsidRDefault="00EA5D25" w:rsidP="002919E1"/>
    <w:p w14:paraId="498C8E76" w14:textId="77777777" w:rsidR="00EA5D25" w:rsidRDefault="00EA5D25"/>
  </w:endnote>
  <w:endnote w:type="continuationSeparator" w:id="0">
    <w:p w14:paraId="725EE5E8" w14:textId="77777777" w:rsidR="00EA5D25" w:rsidRDefault="00EA5D25" w:rsidP="002919E1">
      <w:r>
        <w:continuationSeparator/>
      </w:r>
    </w:p>
    <w:p w14:paraId="3DA6F63C" w14:textId="77777777" w:rsidR="00EA5D25" w:rsidRDefault="00EA5D25" w:rsidP="002919E1"/>
    <w:p w14:paraId="49412680" w14:textId="77777777" w:rsidR="00EA5D25" w:rsidRDefault="00EA5D25" w:rsidP="002919E1"/>
    <w:p w14:paraId="636EDA02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AC79" w14:textId="7852C00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E423C">
      <w:rPr>
        <w:noProof/>
      </w:rPr>
      <w:t>P:\ARA\ITU-R\CONF-R\CMR19\000\011ADD07A.docx</w:t>
    </w:r>
    <w:r>
      <w:fldChar w:fldCharType="end"/>
    </w:r>
    <w:proofErr w:type="gramStart"/>
    <w:r w:rsidRPr="00A809E8">
      <w:t xml:space="preserve">   (</w:t>
    </w:r>
    <w:proofErr w:type="gramEnd"/>
    <w:r w:rsidR="00A372FA">
      <w:t>460752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27C3" w14:textId="6BF48D95" w:rsidR="00281F5F" w:rsidRPr="008927F5" w:rsidRDefault="00FA240A" w:rsidP="00FA240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E423C">
      <w:rPr>
        <w:noProof/>
      </w:rPr>
      <w:t>P:\ARA\ITU-R\CONF-R\CMR19\000\011ADD07A.docx</w:t>
    </w:r>
    <w:r>
      <w:fldChar w:fldCharType="end"/>
    </w:r>
    <w:proofErr w:type="gramStart"/>
    <w:r w:rsidRPr="00A809E8">
      <w:t xml:space="preserve">   (</w:t>
    </w:r>
    <w:proofErr w:type="gramEnd"/>
    <w:r>
      <w:t>460752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F6BD" w14:textId="77777777" w:rsidR="00EA5D25" w:rsidRDefault="00EA5D25" w:rsidP="002919E1">
      <w:r>
        <w:t>___________________</w:t>
      </w:r>
    </w:p>
  </w:footnote>
  <w:footnote w:type="continuationSeparator" w:id="0">
    <w:p w14:paraId="1C2BAE47" w14:textId="77777777" w:rsidR="00EA5D25" w:rsidRDefault="00EA5D25" w:rsidP="002919E1">
      <w:r>
        <w:continuationSeparator/>
      </w:r>
    </w:p>
    <w:p w14:paraId="52C9A82B" w14:textId="77777777" w:rsidR="00EA5D25" w:rsidRDefault="00EA5D25" w:rsidP="002919E1"/>
    <w:p w14:paraId="1D455350" w14:textId="77777777" w:rsidR="00EA5D25" w:rsidRDefault="00EA5D25" w:rsidP="002919E1"/>
    <w:p w14:paraId="0799E7CD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C56D2" w14:textId="77777777" w:rsidR="00281F5F" w:rsidRDefault="00281F5F" w:rsidP="002919E1"/>
  <w:p w14:paraId="3E1BBD3C" w14:textId="77777777" w:rsidR="00281F5F" w:rsidRDefault="00281F5F" w:rsidP="002919E1"/>
  <w:p w14:paraId="493785E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D83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8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563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E2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8A0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6C80"/>
    <w:rsid w:val="00040C94"/>
    <w:rsid w:val="000425FC"/>
    <w:rsid w:val="00044D43"/>
    <w:rsid w:val="00046844"/>
    <w:rsid w:val="00051907"/>
    <w:rsid w:val="000666D0"/>
    <w:rsid w:val="00075A3F"/>
    <w:rsid w:val="000A0D5F"/>
    <w:rsid w:val="000A1B16"/>
    <w:rsid w:val="000B3896"/>
    <w:rsid w:val="000B5404"/>
    <w:rsid w:val="000C7AAE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0031"/>
    <w:rsid w:val="001903B2"/>
    <w:rsid w:val="001A229A"/>
    <w:rsid w:val="001B0F78"/>
    <w:rsid w:val="001B2DCE"/>
    <w:rsid w:val="001B5953"/>
    <w:rsid w:val="001D746E"/>
    <w:rsid w:val="001E190C"/>
    <w:rsid w:val="001E51EE"/>
    <w:rsid w:val="001E54F6"/>
    <w:rsid w:val="001E5A8C"/>
    <w:rsid w:val="002006A0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5ED7"/>
    <w:rsid w:val="002D5F64"/>
    <w:rsid w:val="002D6BB4"/>
    <w:rsid w:val="002D6FBF"/>
    <w:rsid w:val="002E48BF"/>
    <w:rsid w:val="002E61C2"/>
    <w:rsid w:val="002F3E46"/>
    <w:rsid w:val="00301B31"/>
    <w:rsid w:val="00311E3F"/>
    <w:rsid w:val="00314B1E"/>
    <w:rsid w:val="0033737F"/>
    <w:rsid w:val="00353652"/>
    <w:rsid w:val="003569E1"/>
    <w:rsid w:val="00373A96"/>
    <w:rsid w:val="003815E2"/>
    <w:rsid w:val="00381FAD"/>
    <w:rsid w:val="00382A66"/>
    <w:rsid w:val="003923B1"/>
    <w:rsid w:val="003965FE"/>
    <w:rsid w:val="003A76F6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177C"/>
    <w:rsid w:val="005166A4"/>
    <w:rsid w:val="005169F4"/>
    <w:rsid w:val="005210D1"/>
    <w:rsid w:val="00523146"/>
    <w:rsid w:val="00523275"/>
    <w:rsid w:val="00531DC7"/>
    <w:rsid w:val="0053206D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4A2F"/>
    <w:rsid w:val="007B1FCA"/>
    <w:rsid w:val="007C2C12"/>
    <w:rsid w:val="007C3CFA"/>
    <w:rsid w:val="007C7603"/>
    <w:rsid w:val="007E0E8B"/>
    <w:rsid w:val="007E6847"/>
    <w:rsid w:val="007E6B0A"/>
    <w:rsid w:val="007F08CA"/>
    <w:rsid w:val="007F4296"/>
    <w:rsid w:val="007F7FC3"/>
    <w:rsid w:val="00800776"/>
    <w:rsid w:val="00810482"/>
    <w:rsid w:val="00817568"/>
    <w:rsid w:val="008204AC"/>
    <w:rsid w:val="008261C2"/>
    <w:rsid w:val="00830D96"/>
    <w:rsid w:val="00844DE0"/>
    <w:rsid w:val="00854CE5"/>
    <w:rsid w:val="0085569D"/>
    <w:rsid w:val="00855B59"/>
    <w:rsid w:val="0085774F"/>
    <w:rsid w:val="008614B8"/>
    <w:rsid w:val="008657CB"/>
    <w:rsid w:val="00865949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109A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9F13D9"/>
    <w:rsid w:val="009F33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2FA"/>
    <w:rsid w:val="00A375BD"/>
    <w:rsid w:val="00A40B2C"/>
    <w:rsid w:val="00A42709"/>
    <w:rsid w:val="00A42ADC"/>
    <w:rsid w:val="00A47611"/>
    <w:rsid w:val="00A66D2B"/>
    <w:rsid w:val="00A809E8"/>
    <w:rsid w:val="00A870AD"/>
    <w:rsid w:val="00A90843"/>
    <w:rsid w:val="00A95371"/>
    <w:rsid w:val="00A9645C"/>
    <w:rsid w:val="00AB2A33"/>
    <w:rsid w:val="00AC1275"/>
    <w:rsid w:val="00AC7395"/>
    <w:rsid w:val="00AD162B"/>
    <w:rsid w:val="00AD690F"/>
    <w:rsid w:val="00AD69DD"/>
    <w:rsid w:val="00AE6B26"/>
    <w:rsid w:val="00AF3673"/>
    <w:rsid w:val="00AF3EFA"/>
    <w:rsid w:val="00AF41D1"/>
    <w:rsid w:val="00AF799C"/>
    <w:rsid w:val="00B01623"/>
    <w:rsid w:val="00B033DF"/>
    <w:rsid w:val="00B039AD"/>
    <w:rsid w:val="00B07CEE"/>
    <w:rsid w:val="00B12661"/>
    <w:rsid w:val="00B16045"/>
    <w:rsid w:val="00B1714C"/>
    <w:rsid w:val="00B257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4C2"/>
    <w:rsid w:val="00B86C44"/>
    <w:rsid w:val="00B9727C"/>
    <w:rsid w:val="00BA2DA3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3B57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0A3D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0403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0965"/>
    <w:rsid w:val="00E833BC"/>
    <w:rsid w:val="00E8580E"/>
    <w:rsid w:val="00E97E21"/>
    <w:rsid w:val="00EA1B76"/>
    <w:rsid w:val="00EA5D25"/>
    <w:rsid w:val="00EA77D7"/>
    <w:rsid w:val="00EC09B9"/>
    <w:rsid w:val="00ED048C"/>
    <w:rsid w:val="00EE4BB1"/>
    <w:rsid w:val="00EE60E9"/>
    <w:rsid w:val="00EF38AF"/>
    <w:rsid w:val="00F00143"/>
    <w:rsid w:val="00F02B2C"/>
    <w:rsid w:val="00F055F8"/>
    <w:rsid w:val="00F10CB4"/>
    <w:rsid w:val="00F11B3D"/>
    <w:rsid w:val="00F146AC"/>
    <w:rsid w:val="00F14763"/>
    <w:rsid w:val="00F14D76"/>
    <w:rsid w:val="00F16212"/>
    <w:rsid w:val="00F16602"/>
    <w:rsid w:val="00F2451F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240A"/>
    <w:rsid w:val="00FB0753"/>
    <w:rsid w:val="00FB5CC8"/>
    <w:rsid w:val="00FC2CD0"/>
    <w:rsid w:val="00FC3CE4"/>
    <w:rsid w:val="00FD0594"/>
    <w:rsid w:val="00FE423C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D7C9D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R16-WRC19-C-0011!A7!MSW-A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3C9B-B321-4592-822F-B1BB63D2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3C981-6BCF-4745-955B-3A782DECD908}">
  <ds:schemaRefs>
    <ds:schemaRef ds:uri="32a1a8c5-2265-4ebc-b7a0-2071e2c5c9bb"/>
    <ds:schemaRef ds:uri="http://purl.org/dc/elements/1.1/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7C12F5-089B-4514-B9EB-BE3ABF80A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0A248-35C7-4992-9382-CFBF0A4A5F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F26F7F-0D44-4846-8312-8BF3172E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433</Words>
  <Characters>2314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R16-WRC19-C-0011!A7!MSW-A</vt:lpstr>
    </vt:vector>
  </TitlesOfParts>
  <Manager>General Secretariat - Pool</Manager>
  <Company>International Telecommunication Union (ITU)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R16-WRC19-C-0011!A7!MSW-A</dc:title>
  <dc:creator>Documents Proposals Manager (DPM)</dc:creator>
  <cp:keywords>DPM_v2019.9.20.1_prod</cp:keywords>
  <cp:lastModifiedBy>Riz, Imad</cp:lastModifiedBy>
  <cp:revision>9</cp:revision>
  <cp:lastPrinted>2019-10-15T09:14:00Z</cp:lastPrinted>
  <dcterms:created xsi:type="dcterms:W3CDTF">2019-09-27T14:43:00Z</dcterms:created>
  <dcterms:modified xsi:type="dcterms:W3CDTF">2019-10-15T09:16:00Z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