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BB1D82" w:rsidRPr="00303044" w14:paraId="6E3F1A1E" w14:textId="77777777" w:rsidTr="007009AA">
        <w:trPr>
          <w:cantSplit/>
        </w:trPr>
        <w:tc>
          <w:tcPr>
            <w:tcW w:w="6911" w:type="dxa"/>
          </w:tcPr>
          <w:p w14:paraId="6FA42A3E" w14:textId="77777777" w:rsidR="00BB1D82" w:rsidRPr="00303044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30304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30304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30304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30304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30304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95" w:type="dxa"/>
          </w:tcPr>
          <w:p w14:paraId="07F572BB" w14:textId="77777777" w:rsidR="00BB1D82" w:rsidRPr="00303044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r w:rsidRPr="0030304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4BBD620" wp14:editId="251256E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03044" w14:paraId="53ACDB40" w14:textId="77777777" w:rsidTr="007009A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D9D4DB" w14:textId="77777777" w:rsidR="00BB1D82" w:rsidRPr="00303044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14:paraId="10C79507" w14:textId="77777777" w:rsidR="00BB1D82" w:rsidRPr="00303044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303044" w14:paraId="3D846916" w14:textId="77777777" w:rsidTr="007009A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63F873" w14:textId="77777777" w:rsidR="00BB1D82" w:rsidRPr="00303044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14:paraId="7B3F1137" w14:textId="77777777" w:rsidR="00BB1D82" w:rsidRPr="00303044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303044" w14:paraId="1B2AAFBC" w14:textId="77777777" w:rsidTr="007009AA">
        <w:trPr>
          <w:cantSplit/>
        </w:trPr>
        <w:tc>
          <w:tcPr>
            <w:tcW w:w="6911" w:type="dxa"/>
          </w:tcPr>
          <w:p w14:paraId="1BC03F72" w14:textId="77777777" w:rsidR="00BB1D82" w:rsidRPr="00303044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0304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95" w:type="dxa"/>
          </w:tcPr>
          <w:p w14:paraId="394EB2B6" w14:textId="77777777" w:rsidR="00BB1D82" w:rsidRPr="0030304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03044">
              <w:rPr>
                <w:rFonts w:ascii="Verdana" w:hAnsi="Verdana"/>
                <w:b/>
                <w:sz w:val="20"/>
                <w:lang w:val="fr-CH"/>
              </w:rPr>
              <w:t>Addendum 9 au</w:t>
            </w:r>
            <w:r w:rsidRPr="00303044">
              <w:rPr>
                <w:rFonts w:ascii="Verdana" w:hAnsi="Verdana"/>
                <w:b/>
                <w:sz w:val="20"/>
                <w:lang w:val="fr-CH"/>
              </w:rPr>
              <w:br/>
              <w:t>Document 11(Add.24)</w:t>
            </w:r>
            <w:r w:rsidR="00BB1D82" w:rsidRPr="0030304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0304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303044" w14:paraId="3A63EE6B" w14:textId="77777777" w:rsidTr="007009AA">
        <w:trPr>
          <w:cantSplit/>
        </w:trPr>
        <w:tc>
          <w:tcPr>
            <w:tcW w:w="6911" w:type="dxa"/>
          </w:tcPr>
          <w:p w14:paraId="4FA47AF0" w14:textId="77777777" w:rsidR="00690C7B" w:rsidRPr="0030304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95" w:type="dxa"/>
          </w:tcPr>
          <w:p w14:paraId="740D3981" w14:textId="46D0723C" w:rsidR="00690C7B" w:rsidRPr="00303044" w:rsidRDefault="001A1F88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03044">
              <w:rPr>
                <w:rFonts w:ascii="Verdana" w:hAnsi="Verdana"/>
                <w:b/>
                <w:sz w:val="20"/>
                <w:lang w:val="fr-CH"/>
              </w:rPr>
              <w:t>13</w:t>
            </w:r>
            <w:r w:rsidR="00690C7B" w:rsidRPr="00303044">
              <w:rPr>
                <w:rFonts w:ascii="Verdana" w:hAnsi="Verdana"/>
                <w:b/>
                <w:sz w:val="20"/>
                <w:lang w:val="fr-CH"/>
              </w:rPr>
              <w:t xml:space="preserve"> septembre 2019</w:t>
            </w:r>
          </w:p>
        </w:tc>
      </w:tr>
      <w:tr w:rsidR="00690C7B" w:rsidRPr="00303044" w14:paraId="558EEEE4" w14:textId="77777777" w:rsidTr="007009AA">
        <w:trPr>
          <w:cantSplit/>
        </w:trPr>
        <w:tc>
          <w:tcPr>
            <w:tcW w:w="6911" w:type="dxa"/>
          </w:tcPr>
          <w:p w14:paraId="26BE4FB8" w14:textId="77777777" w:rsidR="00690C7B" w:rsidRPr="00303044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95" w:type="dxa"/>
          </w:tcPr>
          <w:p w14:paraId="6E051F4E" w14:textId="79BC8C3E" w:rsidR="00690C7B" w:rsidRPr="0030304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0304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7009AA" w:rsidRPr="00303044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303044" w14:paraId="3DC9E0E0" w14:textId="77777777" w:rsidTr="007009AA">
        <w:trPr>
          <w:cantSplit/>
        </w:trPr>
        <w:tc>
          <w:tcPr>
            <w:tcW w:w="10206" w:type="dxa"/>
            <w:gridSpan w:val="2"/>
          </w:tcPr>
          <w:p w14:paraId="676F8EE5" w14:textId="77777777" w:rsidR="00690C7B" w:rsidRPr="0030304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303044" w14:paraId="0C9DCFB1" w14:textId="77777777" w:rsidTr="007009AA">
        <w:trPr>
          <w:cantSplit/>
        </w:trPr>
        <w:tc>
          <w:tcPr>
            <w:tcW w:w="10206" w:type="dxa"/>
            <w:gridSpan w:val="2"/>
          </w:tcPr>
          <w:p w14:paraId="04C4CA9E" w14:textId="01EF3118" w:rsidR="00690C7B" w:rsidRPr="00303044" w:rsidRDefault="005B762C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303044">
              <w:rPr>
                <w:lang w:val="fr-CH"/>
              </w:rPr>
              <w:t>É</w:t>
            </w:r>
            <w:r w:rsidR="00690C7B" w:rsidRPr="00303044">
              <w:rPr>
                <w:lang w:val="fr-CH"/>
              </w:rPr>
              <w:t>tats Membres de la Commission interaméricaine des télécommunications (CITEL)</w:t>
            </w:r>
          </w:p>
        </w:tc>
      </w:tr>
      <w:tr w:rsidR="00690C7B" w:rsidRPr="00303044" w14:paraId="24BAAA0E" w14:textId="77777777" w:rsidTr="007009AA">
        <w:trPr>
          <w:cantSplit/>
        </w:trPr>
        <w:tc>
          <w:tcPr>
            <w:tcW w:w="10206" w:type="dxa"/>
            <w:gridSpan w:val="2"/>
          </w:tcPr>
          <w:p w14:paraId="1D3566EF" w14:textId="18FD994A" w:rsidR="00690C7B" w:rsidRPr="00303044" w:rsidRDefault="001A1F88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303044">
              <w:rPr>
                <w:lang w:val="fr-CH"/>
              </w:rPr>
              <w:t>PROPOSITIONS POUR LES TRAVAUX DE LA CONFéRENCE</w:t>
            </w:r>
          </w:p>
        </w:tc>
      </w:tr>
      <w:tr w:rsidR="00690C7B" w:rsidRPr="00303044" w14:paraId="1FF863AC" w14:textId="77777777" w:rsidTr="007009AA">
        <w:trPr>
          <w:cantSplit/>
        </w:trPr>
        <w:tc>
          <w:tcPr>
            <w:tcW w:w="10206" w:type="dxa"/>
            <w:gridSpan w:val="2"/>
          </w:tcPr>
          <w:p w14:paraId="281A9CA6" w14:textId="77777777" w:rsidR="00690C7B" w:rsidRPr="00303044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303044" w14:paraId="0ACD6A89" w14:textId="77777777" w:rsidTr="007009AA">
        <w:trPr>
          <w:cantSplit/>
        </w:trPr>
        <w:tc>
          <w:tcPr>
            <w:tcW w:w="10206" w:type="dxa"/>
            <w:gridSpan w:val="2"/>
          </w:tcPr>
          <w:p w14:paraId="17148F62" w14:textId="77777777" w:rsidR="00690C7B" w:rsidRPr="00303044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303044">
              <w:t>Point 10 de l'ordre du jour</w:t>
            </w:r>
          </w:p>
        </w:tc>
      </w:tr>
    </w:tbl>
    <w:bookmarkEnd w:id="4"/>
    <w:p w14:paraId="5E4D1158" w14:textId="2C5B5333" w:rsidR="001C0E40" w:rsidRPr="00303044" w:rsidRDefault="00505C71" w:rsidP="005B762C">
      <w:pPr>
        <w:rPr>
          <w:lang w:val="fr-CH"/>
        </w:rPr>
      </w:pPr>
      <w:r w:rsidRPr="00303044">
        <w:rPr>
          <w:lang w:val="fr-CH"/>
        </w:rPr>
        <w:t>10</w:t>
      </w:r>
      <w:r w:rsidRPr="00303044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</w:t>
      </w:r>
      <w:r w:rsidR="007E5A8F" w:rsidRPr="00303044">
        <w:rPr>
          <w:lang w:val="fr-CH"/>
        </w:rPr>
        <w:t>.</w:t>
      </w:r>
    </w:p>
    <w:p w14:paraId="79CBCA7B" w14:textId="5803FD24" w:rsidR="008174F6" w:rsidRPr="00303044" w:rsidRDefault="008174F6" w:rsidP="008174F6">
      <w:pPr>
        <w:pStyle w:val="Headingb"/>
        <w:rPr>
          <w:lang w:val="fr-CH"/>
        </w:rPr>
      </w:pPr>
      <w:r w:rsidRPr="00303044">
        <w:rPr>
          <w:lang w:val="fr-CH"/>
        </w:rPr>
        <w:t>Introduction</w:t>
      </w:r>
    </w:p>
    <w:p w14:paraId="2C1334CE" w14:textId="56A3B1C4" w:rsidR="008174F6" w:rsidRPr="00303044" w:rsidRDefault="008174F6" w:rsidP="008174F6">
      <w:pPr>
        <w:rPr>
          <w:lang w:val="fr-CH"/>
        </w:rPr>
      </w:pPr>
      <w:r w:rsidRPr="00303044">
        <w:rPr>
          <w:lang w:val="fr-CH"/>
        </w:rPr>
        <w:t>La présente contribution a pour objet de proposer un nouveau point de l'ordre du jour concernant les</w:t>
      </w:r>
      <w:r w:rsidR="00F12BFE" w:rsidRPr="00303044">
        <w:rPr>
          <w:lang w:val="fr-CH"/>
        </w:rPr>
        <w:t xml:space="preserve"> liaisons de connexion du SFS non OSG</w:t>
      </w:r>
      <w:r w:rsidRPr="00303044">
        <w:rPr>
          <w:lang w:val="fr-CH"/>
        </w:rPr>
        <w:t xml:space="preserve"> </w:t>
      </w:r>
      <w:r w:rsidR="00F12BFE" w:rsidRPr="00303044">
        <w:rPr>
          <w:lang w:val="fr-CH"/>
        </w:rPr>
        <w:t>dans les bandes</w:t>
      </w:r>
      <w:r w:rsidRPr="00303044">
        <w:rPr>
          <w:lang w:val="fr-CH"/>
        </w:rPr>
        <w:t xml:space="preserve"> 71-76 GHz et 81-86 GHz.</w:t>
      </w:r>
    </w:p>
    <w:p w14:paraId="4D9F4CC3" w14:textId="29CA8D79" w:rsidR="003A583E" w:rsidRPr="00303044" w:rsidRDefault="001A1F88" w:rsidP="005B762C">
      <w:pPr>
        <w:pStyle w:val="Headingb"/>
        <w:rPr>
          <w:lang w:val="fr-CH"/>
        </w:rPr>
      </w:pPr>
      <w:r w:rsidRPr="00303044">
        <w:rPr>
          <w:lang w:val="fr-CH"/>
        </w:rPr>
        <w:t>Discussion</w:t>
      </w:r>
    </w:p>
    <w:p w14:paraId="3FCCBA49" w14:textId="0D4F0074" w:rsidR="001A1F88" w:rsidRPr="00303044" w:rsidRDefault="001A1F88" w:rsidP="005B762C">
      <w:pPr>
        <w:rPr>
          <w:lang w:val="fr-CH"/>
        </w:rPr>
      </w:pPr>
      <w:r w:rsidRPr="00303044">
        <w:rPr>
          <w:lang w:val="fr-CH"/>
        </w:rPr>
        <w:t xml:space="preserve">La CMR-97 a adopté le numéro </w:t>
      </w:r>
      <w:r w:rsidRPr="00303044">
        <w:rPr>
          <w:b/>
          <w:bCs/>
          <w:lang w:val="fr-CH"/>
        </w:rPr>
        <w:t>5.523A</w:t>
      </w:r>
      <w:r w:rsidRPr="00303044">
        <w:rPr>
          <w:lang w:val="fr-CH"/>
        </w:rPr>
        <w:t xml:space="preserve"> du RR, </w:t>
      </w:r>
      <w:r w:rsidR="00317A59" w:rsidRPr="00303044">
        <w:rPr>
          <w:lang w:val="fr-CH"/>
        </w:rPr>
        <w:t>aux termes duquel</w:t>
      </w:r>
      <w:r w:rsidRPr="00303044">
        <w:rPr>
          <w:lang w:val="fr-CH"/>
        </w:rPr>
        <w:t xml:space="preserve"> l'utilisation de certaines bandes de fréquences par des réseaux géostationnaires et des réseaux non géostationnaires du service fixe par satellite</w:t>
      </w:r>
      <w:r w:rsidR="004263C2" w:rsidRPr="00303044">
        <w:rPr>
          <w:lang w:val="fr-CH"/>
        </w:rPr>
        <w:t xml:space="preserve"> (SFS)</w:t>
      </w:r>
      <w:r w:rsidRPr="00303044">
        <w:rPr>
          <w:lang w:val="fr-CH"/>
        </w:rPr>
        <w:t xml:space="preserve"> est soumise à l'application des dispositions du numéro </w:t>
      </w:r>
      <w:r w:rsidRPr="00303044">
        <w:rPr>
          <w:b/>
          <w:bCs/>
          <w:lang w:val="fr-CH"/>
        </w:rPr>
        <w:t>9.11A</w:t>
      </w:r>
      <w:r w:rsidR="00331194" w:rsidRPr="00303044">
        <w:rPr>
          <w:lang w:val="fr-CH"/>
        </w:rPr>
        <w:t xml:space="preserve">, </w:t>
      </w:r>
      <w:r w:rsidRPr="00303044">
        <w:rPr>
          <w:lang w:val="fr-CH"/>
        </w:rPr>
        <w:t xml:space="preserve">et le numéro </w:t>
      </w:r>
      <w:r w:rsidRPr="00303044">
        <w:rPr>
          <w:b/>
          <w:bCs/>
          <w:lang w:val="fr-CH"/>
        </w:rPr>
        <w:t>22.2</w:t>
      </w:r>
      <w:r w:rsidRPr="00303044">
        <w:rPr>
          <w:lang w:val="fr-CH"/>
        </w:rPr>
        <w:t xml:space="preserve"> ne s'applique pas.</w:t>
      </w:r>
    </w:p>
    <w:p w14:paraId="2C135BFC" w14:textId="77777777" w:rsidR="001A1F88" w:rsidRPr="00303044" w:rsidRDefault="001A1F88" w:rsidP="005B762C">
      <w:pPr>
        <w:rPr>
          <w:lang w:val="fr-CH"/>
        </w:rPr>
      </w:pPr>
      <w:r w:rsidRPr="00303044">
        <w:rPr>
          <w:lang w:val="fr-CH"/>
        </w:rPr>
        <w:t xml:space="preserve">En vertu de cette décision de la CMR, l'exploitation de systèmes à satellites non OSG est autorisée dans les bandes visées au numéro </w:t>
      </w:r>
      <w:r w:rsidRPr="00303044">
        <w:rPr>
          <w:b/>
          <w:bCs/>
          <w:lang w:val="fr-CH"/>
        </w:rPr>
        <w:t>5.523A</w:t>
      </w:r>
      <w:r w:rsidRPr="00303044">
        <w:rPr>
          <w:lang w:val="fr-CH"/>
        </w:rPr>
        <w:t>, sous réserve d'une coordination selon le principe «premier arrivé, premier servi» vis-à-vis des réseaux à satellite OSG.</w:t>
      </w:r>
    </w:p>
    <w:p w14:paraId="043B44E3" w14:textId="70CE6306" w:rsidR="001A1F88" w:rsidRPr="00303044" w:rsidRDefault="001A1F88" w:rsidP="005B762C">
      <w:pPr>
        <w:rPr>
          <w:lang w:val="fr-CH"/>
        </w:rPr>
      </w:pPr>
      <w:r w:rsidRPr="00303044">
        <w:rPr>
          <w:lang w:val="fr-CH"/>
        </w:rPr>
        <w:t xml:space="preserve">La CMR-97 a en outre fixé des limites provisoires de puissance surfacique équivalente (epfd) et de puissance surfacique équivalente cumulative applicables aux systèmes à satellites non OSG exploités dans certaines bandes de fréquences. La CMR-2000 a fixé des limites d'epfd définitives et a étendu les gammes de fréquences auxquelles celles-ci devaient s'appliquer. Un système à satellites non OSG qui respecte les limites d'epfd dans les bandes de fréquences concernées est réputé conforme au numéro </w:t>
      </w:r>
      <w:r w:rsidRPr="00303044">
        <w:rPr>
          <w:b/>
          <w:bCs/>
          <w:lang w:val="fr-CH"/>
        </w:rPr>
        <w:t>22.2</w:t>
      </w:r>
      <w:r w:rsidRPr="00303044">
        <w:rPr>
          <w:lang w:val="fr-CH"/>
        </w:rPr>
        <w:t xml:space="preserve"> du RR vis-à-vis de tout réseau à satellite OSG, indépendamment de la date de priorité.</w:t>
      </w:r>
    </w:p>
    <w:p w14:paraId="58A8D69B" w14:textId="1C7245CA" w:rsidR="00300E74" w:rsidRPr="00303044" w:rsidRDefault="00300E74" w:rsidP="00B44651">
      <w:pPr>
        <w:keepNext/>
        <w:keepLines/>
        <w:rPr>
          <w:lang w:val="fr-CH"/>
        </w:rPr>
      </w:pPr>
      <w:r w:rsidRPr="00303044">
        <w:rPr>
          <w:lang w:val="fr-CH"/>
        </w:rPr>
        <w:lastRenderedPageBreak/>
        <w:t xml:space="preserve">Dans la perspective de la CMR-19, des études ont été menées sur des méthodes </w:t>
      </w:r>
      <w:r w:rsidR="00205D34" w:rsidRPr="00303044">
        <w:rPr>
          <w:lang w:val="fr-CH"/>
        </w:rPr>
        <w:t>de partage</w:t>
      </w:r>
      <w:r w:rsidR="00375F6D" w:rsidRPr="00303044">
        <w:rPr>
          <w:lang w:val="fr-CH"/>
        </w:rPr>
        <w:t xml:space="preserve"> d'une même bande de fréquences entre des </w:t>
      </w:r>
      <w:r w:rsidR="0014202E" w:rsidRPr="00303044">
        <w:rPr>
          <w:lang w:val="fr-CH"/>
        </w:rPr>
        <w:t>systèmes</w:t>
      </w:r>
      <w:r w:rsidR="00375F6D" w:rsidRPr="00303044">
        <w:rPr>
          <w:lang w:val="fr-CH"/>
        </w:rPr>
        <w:t xml:space="preserve"> OSG et non OSG. La CMR-19 envisagera de prendre les mesures réglementaires pertinentes </w:t>
      </w:r>
      <w:r w:rsidR="00255613" w:rsidRPr="00303044">
        <w:rPr>
          <w:lang w:val="fr-CH"/>
        </w:rPr>
        <w:t>à l'égard d</w:t>
      </w:r>
      <w:r w:rsidR="00375F6D" w:rsidRPr="00303044">
        <w:rPr>
          <w:lang w:val="fr-CH"/>
        </w:rPr>
        <w:t xml:space="preserve">es systèmes à satellites non OSG </w:t>
      </w:r>
      <w:r w:rsidR="00B50B31" w:rsidRPr="00303044">
        <w:rPr>
          <w:lang w:val="fr-CH"/>
        </w:rPr>
        <w:t>dans la gamme</w:t>
      </w:r>
      <w:r w:rsidR="005969A1" w:rsidRPr="00303044">
        <w:rPr>
          <w:lang w:val="fr-CH"/>
        </w:rPr>
        <w:t xml:space="preserve"> de fréquences</w:t>
      </w:r>
      <w:r w:rsidR="00375F6D" w:rsidRPr="00303044">
        <w:rPr>
          <w:lang w:val="fr-CH"/>
        </w:rPr>
        <w:t xml:space="preserve"> 37-51,4 GHz</w:t>
      </w:r>
      <w:r w:rsidR="00B03DDA" w:rsidRPr="00303044">
        <w:rPr>
          <w:lang w:val="fr-CH"/>
        </w:rPr>
        <w:t xml:space="preserve">, en adoptant des </w:t>
      </w:r>
      <w:r w:rsidR="000D07E2" w:rsidRPr="00303044">
        <w:rPr>
          <w:lang w:val="fr-CH"/>
        </w:rPr>
        <w:t>critères</w:t>
      </w:r>
      <w:r w:rsidR="00B03DDA" w:rsidRPr="00303044">
        <w:rPr>
          <w:lang w:val="fr-CH"/>
        </w:rPr>
        <w:t xml:space="preserve"> cumulatifs </w:t>
      </w:r>
      <w:r w:rsidR="000D07E2" w:rsidRPr="00303044">
        <w:rPr>
          <w:lang w:val="fr-CH"/>
        </w:rPr>
        <w:t xml:space="preserve">à ne pas dépasser par </w:t>
      </w:r>
      <w:r w:rsidR="00B03DDA" w:rsidRPr="00303044">
        <w:rPr>
          <w:lang w:val="fr-CH"/>
        </w:rPr>
        <w:t>les systèmes non OSG</w:t>
      </w:r>
      <w:r w:rsidR="004263C2" w:rsidRPr="00303044">
        <w:rPr>
          <w:lang w:val="fr-CH"/>
        </w:rPr>
        <w:t xml:space="preserve"> </w:t>
      </w:r>
      <w:r w:rsidR="00255613" w:rsidRPr="00303044">
        <w:rPr>
          <w:lang w:val="fr-CH"/>
        </w:rPr>
        <w:t xml:space="preserve">du SFS </w:t>
      </w:r>
      <w:r w:rsidR="004263C2" w:rsidRPr="00303044">
        <w:rPr>
          <w:lang w:val="fr-CH"/>
        </w:rPr>
        <w:t xml:space="preserve">afin de protéger les réseaux OSG </w:t>
      </w:r>
      <w:r w:rsidR="00255613" w:rsidRPr="00303044">
        <w:rPr>
          <w:lang w:val="fr-CH"/>
        </w:rPr>
        <w:t xml:space="preserve">du SFS </w:t>
      </w:r>
      <w:r w:rsidR="004263C2" w:rsidRPr="00303044">
        <w:rPr>
          <w:lang w:val="fr-CH"/>
        </w:rPr>
        <w:t>et</w:t>
      </w:r>
      <w:r w:rsidR="00255613" w:rsidRPr="00303044">
        <w:rPr>
          <w:lang w:val="fr-CH"/>
        </w:rPr>
        <w:t xml:space="preserve"> du</w:t>
      </w:r>
      <w:r w:rsidR="004263C2" w:rsidRPr="00303044">
        <w:rPr>
          <w:lang w:val="fr-CH"/>
        </w:rPr>
        <w:t xml:space="preserve"> </w:t>
      </w:r>
      <w:r w:rsidR="00255613" w:rsidRPr="00303044">
        <w:rPr>
          <w:lang w:val="fr-CH"/>
        </w:rPr>
        <w:t>service de radiodiffusion par satellite (</w:t>
      </w:r>
      <w:r w:rsidR="004263C2" w:rsidRPr="00303044">
        <w:rPr>
          <w:lang w:val="fr-CH"/>
        </w:rPr>
        <w:t>SRS</w:t>
      </w:r>
      <w:r w:rsidR="00255613" w:rsidRPr="00303044">
        <w:rPr>
          <w:lang w:val="fr-CH"/>
        </w:rPr>
        <w:t>)</w:t>
      </w:r>
      <w:r w:rsidR="004263C2" w:rsidRPr="00303044">
        <w:rPr>
          <w:lang w:val="fr-CH"/>
        </w:rPr>
        <w:t xml:space="preserve"> contre les brouillages.</w:t>
      </w:r>
    </w:p>
    <w:p w14:paraId="04509039" w14:textId="7B6C846B" w:rsidR="00E872F1" w:rsidRPr="00303044" w:rsidRDefault="00255613" w:rsidP="005B762C">
      <w:pPr>
        <w:rPr>
          <w:b/>
          <w:lang w:val="fr-CH"/>
        </w:rPr>
      </w:pPr>
      <w:r w:rsidRPr="00303044">
        <w:rPr>
          <w:lang w:val="fr-CH"/>
        </w:rPr>
        <w:t xml:space="preserve">Les bandes de fréquences </w:t>
      </w:r>
      <w:r w:rsidR="00CA09C4" w:rsidRPr="00303044">
        <w:rPr>
          <w:lang w:val="fr-CH"/>
        </w:rPr>
        <w:t xml:space="preserve">en ondes </w:t>
      </w:r>
      <w:r w:rsidR="00C74ECD" w:rsidRPr="00303044">
        <w:rPr>
          <w:lang w:val="fr-CH"/>
        </w:rPr>
        <w:t>millimétriques</w:t>
      </w:r>
      <w:r w:rsidR="00CA09C4" w:rsidRPr="00303044">
        <w:rPr>
          <w:lang w:val="fr-CH"/>
        </w:rPr>
        <w:t xml:space="preserve"> telles que celles des 71-76 et des 81-86 GHz sont particulièrement bien adaptées pour </w:t>
      </w:r>
      <w:r w:rsidR="003E2661" w:rsidRPr="00303044">
        <w:rPr>
          <w:lang w:val="fr-CH"/>
        </w:rPr>
        <w:t>offrir d</w:t>
      </w:r>
      <w:r w:rsidR="00CA09C4" w:rsidRPr="00303044">
        <w:rPr>
          <w:lang w:val="fr-CH"/>
        </w:rPr>
        <w:t xml:space="preserve">es </w:t>
      </w:r>
      <w:r w:rsidR="003E2661" w:rsidRPr="00303044">
        <w:rPr>
          <w:lang w:val="fr-CH"/>
        </w:rPr>
        <w:t xml:space="preserve">liaisons </w:t>
      </w:r>
      <w:r w:rsidR="00C74ECD" w:rsidRPr="00303044">
        <w:rPr>
          <w:lang w:val="fr-CH"/>
        </w:rPr>
        <w:t>de connexion</w:t>
      </w:r>
      <w:r w:rsidR="003E2661" w:rsidRPr="00303044">
        <w:rPr>
          <w:lang w:val="fr-CH"/>
        </w:rPr>
        <w:t xml:space="preserve"> d</w:t>
      </w:r>
      <w:r w:rsidR="00C936FB" w:rsidRPr="00303044">
        <w:rPr>
          <w:lang w:val="fr-CH"/>
        </w:rPr>
        <w:t>'</w:t>
      </w:r>
      <w:r w:rsidR="003E2661" w:rsidRPr="00303044">
        <w:rPr>
          <w:lang w:val="fr-CH"/>
        </w:rPr>
        <w:t xml:space="preserve">ultra-haute capacité aux systèmes non OSG du SFS à grande constellation utilisant des liaisons de service large bande dans d'autres </w:t>
      </w:r>
      <w:r w:rsidR="00ED60AF" w:rsidRPr="00303044">
        <w:rPr>
          <w:lang w:val="fr-CH"/>
        </w:rPr>
        <w:t>fréquences</w:t>
      </w:r>
      <w:r w:rsidR="003E2661" w:rsidRPr="00303044">
        <w:rPr>
          <w:lang w:val="fr-CH"/>
        </w:rPr>
        <w:t xml:space="preserve">. En outre, ces bandes de fréquences peuvent </w:t>
      </w:r>
      <w:r w:rsidR="003404BA" w:rsidRPr="00303044">
        <w:rPr>
          <w:lang w:val="fr-CH"/>
        </w:rPr>
        <w:t xml:space="preserve">éventuellement </w:t>
      </w:r>
      <w:r w:rsidR="003E2661" w:rsidRPr="00303044">
        <w:rPr>
          <w:lang w:val="fr-CH"/>
        </w:rPr>
        <w:t xml:space="preserve">convenir </w:t>
      </w:r>
      <w:r w:rsidR="00E80178" w:rsidRPr="00303044">
        <w:rPr>
          <w:lang w:val="fr-CH"/>
        </w:rPr>
        <w:t xml:space="preserve">aussi </w:t>
      </w:r>
      <w:r w:rsidR="003E2661" w:rsidRPr="00303044">
        <w:rPr>
          <w:lang w:val="fr-CH"/>
        </w:rPr>
        <w:t xml:space="preserve">aux liaisons large bande destinées aux consommateurs et aux clients des entreprises. </w:t>
      </w:r>
      <w:r w:rsidR="00D81A7C" w:rsidRPr="00303044">
        <w:rPr>
          <w:lang w:val="fr-CH"/>
        </w:rPr>
        <w:t xml:space="preserve">Les </w:t>
      </w:r>
      <w:r w:rsidR="00D4413A" w:rsidRPr="00303044">
        <w:rPr>
          <w:lang w:val="fr-CH"/>
        </w:rPr>
        <w:t xml:space="preserve">systèmes utilisant des </w:t>
      </w:r>
      <w:r w:rsidR="00872CC8" w:rsidRPr="00303044">
        <w:rPr>
          <w:lang w:val="fr-CH"/>
        </w:rPr>
        <w:t>fréquences</w:t>
      </w:r>
      <w:r w:rsidR="00D81A7C" w:rsidRPr="00303044">
        <w:rPr>
          <w:lang w:val="fr-CH"/>
        </w:rPr>
        <w:t xml:space="preserve"> </w:t>
      </w:r>
      <w:r w:rsidR="00F2084E" w:rsidRPr="00303044">
        <w:rPr>
          <w:lang w:val="fr-CH"/>
        </w:rPr>
        <w:t xml:space="preserve">millimétriques élevées </w:t>
      </w:r>
      <w:r w:rsidR="00D81A7C" w:rsidRPr="00303044">
        <w:rPr>
          <w:lang w:val="fr-CH"/>
        </w:rPr>
        <w:t xml:space="preserve">font donc actuellement l'objet d'essais, et </w:t>
      </w:r>
      <w:r w:rsidR="009661DA" w:rsidRPr="00303044">
        <w:rPr>
          <w:lang w:val="fr-CH"/>
        </w:rPr>
        <w:t>différents</w:t>
      </w:r>
      <w:r w:rsidR="00D81A7C" w:rsidRPr="00303044">
        <w:rPr>
          <w:lang w:val="fr-CH"/>
        </w:rPr>
        <w:t xml:space="preserve"> prototypes techniques sont en phase de maturation.</w:t>
      </w:r>
    </w:p>
    <w:p w14:paraId="653AB21E" w14:textId="72735758" w:rsidR="001A1F88" w:rsidRPr="00303044" w:rsidRDefault="00E872F1" w:rsidP="005B762C">
      <w:pPr>
        <w:rPr>
          <w:lang w:val="fr-CH"/>
        </w:rPr>
      </w:pPr>
      <w:r w:rsidRPr="00303044">
        <w:rPr>
          <w:lang w:val="fr-CH"/>
        </w:rPr>
        <w:t>Du fait que les bandes</w:t>
      </w:r>
      <w:r w:rsidR="00EC6F45" w:rsidRPr="00303044">
        <w:rPr>
          <w:lang w:val="fr-CH"/>
        </w:rPr>
        <w:t xml:space="preserve"> </w:t>
      </w:r>
      <w:r w:rsidR="00A74F2E" w:rsidRPr="00303044">
        <w:rPr>
          <w:lang w:val="fr-CH"/>
        </w:rPr>
        <w:t xml:space="preserve">des </w:t>
      </w:r>
      <w:r w:rsidRPr="00303044">
        <w:rPr>
          <w:lang w:val="fr-CH"/>
        </w:rPr>
        <w:t>71</w:t>
      </w:r>
      <w:r w:rsidR="000F2938" w:rsidRPr="00303044">
        <w:rPr>
          <w:lang w:val="fr-CH"/>
        </w:rPr>
        <w:t>/</w:t>
      </w:r>
      <w:r w:rsidRPr="00303044">
        <w:rPr>
          <w:lang w:val="fr-CH"/>
        </w:rPr>
        <w:t xml:space="preserve">81 GHz attribuées au SFS à titre primaire avec égalité des droits ne </w:t>
      </w:r>
      <w:r w:rsidR="00C37250" w:rsidRPr="00303044">
        <w:rPr>
          <w:lang w:val="fr-CH"/>
        </w:rPr>
        <w:t>font pas l'objet d'une réglementation particulière</w:t>
      </w:r>
      <w:r w:rsidRPr="00303044">
        <w:rPr>
          <w:lang w:val="fr-CH"/>
        </w:rPr>
        <w:t xml:space="preserve">, </w:t>
      </w:r>
      <w:r w:rsidR="00541580" w:rsidRPr="00303044">
        <w:rPr>
          <w:lang w:val="fr-CH"/>
        </w:rPr>
        <w:t>les opérateurs potentiels de systèmes à satellite</w:t>
      </w:r>
      <w:r w:rsidR="004400C8" w:rsidRPr="00303044">
        <w:rPr>
          <w:lang w:val="fr-CH"/>
        </w:rPr>
        <w:t>s non</w:t>
      </w:r>
      <w:r w:rsidR="000212FB" w:rsidRPr="00303044">
        <w:rPr>
          <w:lang w:val="fr-CH"/>
        </w:rPr>
        <w:t> </w:t>
      </w:r>
      <w:r w:rsidR="004400C8" w:rsidRPr="00303044">
        <w:rPr>
          <w:lang w:val="fr-CH"/>
        </w:rPr>
        <w:t>OSG</w:t>
      </w:r>
      <w:r w:rsidR="00541580" w:rsidRPr="00303044">
        <w:rPr>
          <w:lang w:val="fr-CH"/>
        </w:rPr>
        <w:t xml:space="preserve"> ne sont pas </w:t>
      </w:r>
      <w:r w:rsidR="00A61F02" w:rsidRPr="00303044">
        <w:rPr>
          <w:lang w:val="fr-CH"/>
        </w:rPr>
        <w:t>sûrs</w:t>
      </w:r>
      <w:r w:rsidR="00541580" w:rsidRPr="00303044">
        <w:rPr>
          <w:lang w:val="fr-CH"/>
        </w:rPr>
        <w:t xml:space="preserve"> de pouvoir employer une liaison de connexion </w:t>
      </w:r>
      <w:r w:rsidR="001E0760" w:rsidRPr="00303044">
        <w:rPr>
          <w:lang w:val="fr-CH"/>
        </w:rPr>
        <w:t xml:space="preserve">en ondes </w:t>
      </w:r>
      <w:r w:rsidR="004400C8" w:rsidRPr="00303044">
        <w:rPr>
          <w:lang w:val="fr-CH"/>
        </w:rPr>
        <w:t>millimétriques dans ces bandes. La CMR-</w:t>
      </w:r>
      <w:r w:rsidR="001E0760" w:rsidRPr="00303044">
        <w:rPr>
          <w:lang w:val="fr-CH"/>
        </w:rPr>
        <w:t>23</w:t>
      </w:r>
      <w:r w:rsidR="004400C8" w:rsidRPr="00303044">
        <w:rPr>
          <w:lang w:val="fr-CH"/>
        </w:rPr>
        <w:t xml:space="preserve"> devrait examiner cette question.</w:t>
      </w:r>
    </w:p>
    <w:p w14:paraId="7DBDEFB2" w14:textId="03172FB2" w:rsidR="000D267B" w:rsidRPr="00303044" w:rsidRDefault="000D267B" w:rsidP="005B762C">
      <w:pPr>
        <w:pStyle w:val="Headingb"/>
        <w:rPr>
          <w:lang w:val="fr-CH"/>
        </w:rPr>
      </w:pPr>
      <w:r w:rsidRPr="00303044">
        <w:rPr>
          <w:lang w:val="fr-CH"/>
        </w:rPr>
        <w:t>Propos</w:t>
      </w:r>
      <w:r w:rsidR="004400C8" w:rsidRPr="00303044">
        <w:rPr>
          <w:lang w:val="fr-CH"/>
        </w:rPr>
        <w:t>ition</w:t>
      </w:r>
    </w:p>
    <w:p w14:paraId="0730EA6C" w14:textId="346488B7" w:rsidR="00316278" w:rsidRPr="00303044" w:rsidRDefault="00B50B31" w:rsidP="005B762C">
      <w:pPr>
        <w:rPr>
          <w:lang w:val="fr-CH"/>
        </w:rPr>
      </w:pPr>
      <w:r w:rsidRPr="00303044">
        <w:rPr>
          <w:lang w:val="fr-CH"/>
        </w:rPr>
        <w:t>I</w:t>
      </w:r>
      <w:r w:rsidR="000D267B" w:rsidRPr="00303044">
        <w:rPr>
          <w:lang w:val="fr-CH"/>
        </w:rPr>
        <w:t xml:space="preserve">l n'existe pas dans la version </w:t>
      </w:r>
      <w:r w:rsidR="00D23D0F" w:rsidRPr="00303044">
        <w:rPr>
          <w:lang w:val="fr-CH"/>
        </w:rPr>
        <w:t xml:space="preserve">du RR </w:t>
      </w:r>
      <w:r w:rsidR="000D267B" w:rsidRPr="00303044">
        <w:rPr>
          <w:lang w:val="fr-CH"/>
        </w:rPr>
        <w:t>en vigueur de mécanisme définiss</w:t>
      </w:r>
      <w:r w:rsidR="00C66F03" w:rsidRPr="00303044">
        <w:rPr>
          <w:lang w:val="fr-CH"/>
        </w:rPr>
        <w:t>ant</w:t>
      </w:r>
      <w:r w:rsidR="000D267B" w:rsidRPr="00303044">
        <w:rPr>
          <w:lang w:val="fr-CH"/>
        </w:rPr>
        <w:t xml:space="preserve"> des procédures de coordination applicables </w:t>
      </w:r>
      <w:r w:rsidR="00316278" w:rsidRPr="00303044">
        <w:rPr>
          <w:lang w:val="fr-CH"/>
        </w:rPr>
        <w:t xml:space="preserve">entre des </w:t>
      </w:r>
      <w:r w:rsidR="000D267B" w:rsidRPr="00303044">
        <w:rPr>
          <w:lang w:val="fr-CH"/>
        </w:rPr>
        <w:t>systèmes non OSG</w:t>
      </w:r>
      <w:r w:rsidR="00316278" w:rsidRPr="00303044">
        <w:rPr>
          <w:lang w:val="fr-CH"/>
        </w:rPr>
        <w:t>,</w:t>
      </w:r>
      <w:r w:rsidR="000D267B" w:rsidRPr="00303044">
        <w:rPr>
          <w:lang w:val="fr-CH"/>
        </w:rPr>
        <w:t xml:space="preserve"> </w:t>
      </w:r>
      <w:r w:rsidR="00316278" w:rsidRPr="00303044">
        <w:rPr>
          <w:lang w:val="fr-CH"/>
        </w:rPr>
        <w:t xml:space="preserve">ni de méthode garantissant une coexistence satisfaisante avec </w:t>
      </w:r>
      <w:r w:rsidRPr="00303044">
        <w:rPr>
          <w:lang w:val="fr-CH"/>
        </w:rPr>
        <w:t>l</w:t>
      </w:r>
      <w:r w:rsidR="00316278" w:rsidRPr="00303044">
        <w:rPr>
          <w:lang w:val="fr-CH"/>
        </w:rPr>
        <w:t>es réseaux OSG</w:t>
      </w:r>
      <w:r w:rsidRPr="00303044">
        <w:rPr>
          <w:lang w:val="fr-CH"/>
        </w:rPr>
        <w:t>,</w:t>
      </w:r>
      <w:r w:rsidR="00316278" w:rsidRPr="00303044">
        <w:rPr>
          <w:lang w:val="fr-CH"/>
        </w:rPr>
        <w:t xml:space="preserve"> fonctionnant dans les bandes de fréquences actuellement attribuées au SFS</w:t>
      </w:r>
      <w:r w:rsidR="00096DF7" w:rsidRPr="00303044">
        <w:rPr>
          <w:lang w:val="fr-CH"/>
        </w:rPr>
        <w:t>,</w:t>
      </w:r>
      <w:r w:rsidR="00316278" w:rsidRPr="00303044">
        <w:rPr>
          <w:lang w:val="fr-CH"/>
        </w:rPr>
        <w:t xml:space="preserve"> </w:t>
      </w:r>
      <w:r w:rsidR="00096DF7" w:rsidRPr="00303044">
        <w:rPr>
          <w:lang w:val="fr-CH"/>
        </w:rPr>
        <w:t>qu'il s'agisse d</w:t>
      </w:r>
      <w:r w:rsidR="00316278" w:rsidRPr="00303044">
        <w:rPr>
          <w:lang w:val="fr-CH"/>
        </w:rPr>
        <w:t xml:space="preserve">es bandes 71-76 GHz (espace vers Terre) </w:t>
      </w:r>
      <w:r w:rsidR="00096DF7" w:rsidRPr="00303044">
        <w:rPr>
          <w:lang w:val="fr-CH"/>
        </w:rPr>
        <w:t>ou</w:t>
      </w:r>
      <w:r w:rsidR="00316278" w:rsidRPr="00303044">
        <w:rPr>
          <w:lang w:val="fr-CH"/>
        </w:rPr>
        <w:t xml:space="preserve"> 81</w:t>
      </w:r>
      <w:r w:rsidR="00096DF7" w:rsidRPr="00303044">
        <w:rPr>
          <w:lang w:val="fr-CH"/>
        </w:rPr>
        <w:noBreakHyphen/>
      </w:r>
      <w:r w:rsidR="00316278" w:rsidRPr="00303044">
        <w:rPr>
          <w:lang w:val="fr-CH"/>
        </w:rPr>
        <w:t>86</w:t>
      </w:r>
      <w:r w:rsidR="00096DF7" w:rsidRPr="00303044">
        <w:rPr>
          <w:lang w:val="fr-CH"/>
        </w:rPr>
        <w:t> </w:t>
      </w:r>
      <w:r w:rsidR="00316278" w:rsidRPr="00303044">
        <w:rPr>
          <w:lang w:val="fr-CH"/>
        </w:rPr>
        <w:t>GHz (Terre vers espace).</w:t>
      </w:r>
      <w:r w:rsidR="00381A58" w:rsidRPr="00303044">
        <w:rPr>
          <w:lang w:val="fr-CH"/>
        </w:rPr>
        <w:t xml:space="preserve"> Nous proposons </w:t>
      </w:r>
      <w:r w:rsidRPr="00303044">
        <w:rPr>
          <w:lang w:val="fr-CH"/>
        </w:rPr>
        <w:t>d'envisager l'élaboration de dispositions réglementaires concernant</w:t>
      </w:r>
      <w:r w:rsidR="00381A58" w:rsidRPr="00303044">
        <w:rPr>
          <w:lang w:val="fr-CH"/>
        </w:rPr>
        <w:t xml:space="preserve"> les liaisons de connexion des systèmes à satellites</w:t>
      </w:r>
      <w:r w:rsidRPr="00303044">
        <w:rPr>
          <w:lang w:val="fr-CH"/>
        </w:rPr>
        <w:t xml:space="preserve"> non géostationnaires</w:t>
      </w:r>
      <w:r w:rsidR="00381A58" w:rsidRPr="00303044">
        <w:rPr>
          <w:lang w:val="fr-CH"/>
        </w:rPr>
        <w:t xml:space="preserve"> du SFS </w:t>
      </w:r>
      <w:r w:rsidR="000106EF" w:rsidRPr="00303044">
        <w:rPr>
          <w:lang w:val="fr-CH"/>
        </w:rPr>
        <w:t xml:space="preserve">dans </w:t>
      </w:r>
      <w:r w:rsidR="00381A58" w:rsidRPr="00303044">
        <w:rPr>
          <w:lang w:val="fr-CH"/>
        </w:rPr>
        <w:t>les bandes de fréquences 71</w:t>
      </w:r>
      <w:r w:rsidR="00556102" w:rsidRPr="00303044">
        <w:rPr>
          <w:lang w:val="fr-CH"/>
        </w:rPr>
        <w:noBreakHyphen/>
      </w:r>
      <w:r w:rsidR="00381A58" w:rsidRPr="00303044">
        <w:rPr>
          <w:lang w:val="fr-CH"/>
        </w:rPr>
        <w:t xml:space="preserve">76 GHz (espace vers Terre, ainsi qu'une proposition de nouvelle attribution </w:t>
      </w:r>
      <w:r w:rsidRPr="00303044">
        <w:rPr>
          <w:lang w:val="fr-CH"/>
        </w:rPr>
        <w:t>dans le sens</w:t>
      </w:r>
      <w:r w:rsidR="00381A58" w:rsidRPr="00303044">
        <w:rPr>
          <w:lang w:val="fr-CH"/>
        </w:rPr>
        <w:t xml:space="preserve"> Terre vers espace) et 81-86 GHz (Terre vers espace).</w:t>
      </w:r>
    </w:p>
    <w:p w14:paraId="19B32373" w14:textId="4F5426B7" w:rsidR="000D267B" w:rsidRPr="00303044" w:rsidRDefault="009052AD" w:rsidP="005B762C">
      <w:pPr>
        <w:rPr>
          <w:lang w:val="fr-CH"/>
        </w:rPr>
      </w:pPr>
      <w:r w:rsidRPr="00303044">
        <w:rPr>
          <w:lang w:val="fr-CH"/>
        </w:rPr>
        <w:t xml:space="preserve">Il convient de noter que plusieurs administrations envisagent actuellement de recourir à ces bandes pour les liaisons </w:t>
      </w:r>
      <w:r w:rsidR="00B003D4" w:rsidRPr="00303044">
        <w:rPr>
          <w:lang w:val="fr-CH"/>
        </w:rPr>
        <w:t xml:space="preserve">à haute densité </w:t>
      </w:r>
      <w:r w:rsidRPr="00303044">
        <w:rPr>
          <w:lang w:val="fr-CH"/>
        </w:rPr>
        <w:t>du service fixe</w:t>
      </w:r>
      <w:r w:rsidR="004C24D0" w:rsidRPr="00303044">
        <w:rPr>
          <w:lang w:val="fr-CH"/>
        </w:rPr>
        <w:t xml:space="preserve">. Ces bandes peuvent jouer un rôle </w:t>
      </w:r>
      <w:r w:rsidR="00F7040B" w:rsidRPr="00303044">
        <w:rPr>
          <w:lang w:val="fr-CH"/>
        </w:rPr>
        <w:t>majeur</w:t>
      </w:r>
      <w:r w:rsidR="004C24D0" w:rsidRPr="00303044">
        <w:rPr>
          <w:lang w:val="fr-CH"/>
        </w:rPr>
        <w:t xml:space="preserve"> dans le développement de la 5G en facilitant le</w:t>
      </w:r>
      <w:r w:rsidR="00E82953" w:rsidRPr="00303044">
        <w:rPr>
          <w:lang w:val="fr-CH"/>
        </w:rPr>
        <w:t>s</w:t>
      </w:r>
      <w:r w:rsidR="005F47F6" w:rsidRPr="00303044">
        <w:rPr>
          <w:lang w:val="fr-CH"/>
        </w:rPr>
        <w:t xml:space="preserve"> </w:t>
      </w:r>
      <w:r w:rsidR="00E82953" w:rsidRPr="00303044">
        <w:rPr>
          <w:lang w:val="fr-CH"/>
        </w:rPr>
        <w:t xml:space="preserve">liaisons de raccordement </w:t>
      </w:r>
      <w:r w:rsidR="005F47F6" w:rsidRPr="00303044">
        <w:rPr>
          <w:lang w:val="fr-CH"/>
        </w:rPr>
        <w:t xml:space="preserve">et d'autres </w:t>
      </w:r>
      <w:r w:rsidR="00DF163D" w:rsidRPr="00303044">
        <w:rPr>
          <w:lang w:val="fr-CH"/>
        </w:rPr>
        <w:t>emplois</w:t>
      </w:r>
      <w:r w:rsidR="008A1C5C" w:rsidRPr="00303044">
        <w:rPr>
          <w:lang w:val="fr-CH"/>
        </w:rPr>
        <w:t xml:space="preserve"> </w:t>
      </w:r>
      <w:r w:rsidR="00D25BAA" w:rsidRPr="00303044">
        <w:rPr>
          <w:lang w:val="fr-CH"/>
        </w:rPr>
        <w:t xml:space="preserve">du service fixe. </w:t>
      </w:r>
      <w:r w:rsidR="00F7040B" w:rsidRPr="00303044">
        <w:rPr>
          <w:lang w:val="fr-CH"/>
        </w:rPr>
        <w:t xml:space="preserve">S'il est important de protéger les liaisons existantes, il faut également offrir au service fixe des perspectives de croissance future dans ces bandes car la demande de </w:t>
      </w:r>
      <w:r w:rsidR="00C5236B" w:rsidRPr="00303044">
        <w:rPr>
          <w:lang w:val="fr-CH"/>
        </w:rPr>
        <w:t xml:space="preserve">liaisons de raccordement </w:t>
      </w:r>
      <w:r w:rsidR="00F7040B" w:rsidRPr="00303044">
        <w:rPr>
          <w:lang w:val="fr-CH"/>
        </w:rPr>
        <w:t xml:space="preserve">et d'autres services connexes </w:t>
      </w:r>
      <w:r w:rsidR="003764CA" w:rsidRPr="00303044">
        <w:rPr>
          <w:lang w:val="fr-CH"/>
        </w:rPr>
        <w:t>est en augmentation</w:t>
      </w:r>
      <w:r w:rsidR="00F7040B" w:rsidRPr="00303044">
        <w:rPr>
          <w:lang w:val="fr-CH"/>
        </w:rPr>
        <w:t>.</w:t>
      </w:r>
    </w:p>
    <w:p w14:paraId="7350AEFA" w14:textId="77777777" w:rsidR="0015203F" w:rsidRPr="00303044" w:rsidRDefault="0015203F" w:rsidP="005B76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03044">
        <w:rPr>
          <w:lang w:val="fr-CH"/>
        </w:rPr>
        <w:br w:type="page"/>
      </w:r>
    </w:p>
    <w:p w14:paraId="79559A5D" w14:textId="77777777" w:rsidR="00314430" w:rsidRPr="00303044" w:rsidRDefault="00505C71" w:rsidP="005B762C">
      <w:pPr>
        <w:pStyle w:val="Proposal"/>
        <w:rPr>
          <w:lang w:val="fr-CH"/>
        </w:rPr>
      </w:pPr>
      <w:r w:rsidRPr="00303044">
        <w:rPr>
          <w:lang w:val="fr-CH"/>
        </w:rPr>
        <w:lastRenderedPageBreak/>
        <w:t>ADD</w:t>
      </w:r>
      <w:r w:rsidRPr="00303044">
        <w:rPr>
          <w:lang w:val="fr-CH"/>
        </w:rPr>
        <w:tab/>
        <w:t>IAP/11A24A9/1</w:t>
      </w:r>
    </w:p>
    <w:p w14:paraId="640FD134" w14:textId="1A5051AC" w:rsidR="00314430" w:rsidRPr="00303044" w:rsidRDefault="00505C71" w:rsidP="005B762C">
      <w:pPr>
        <w:pStyle w:val="ResNo"/>
        <w:rPr>
          <w:lang w:val="fr-CH"/>
        </w:rPr>
      </w:pPr>
      <w:r w:rsidRPr="00303044">
        <w:rPr>
          <w:lang w:val="fr-CH"/>
        </w:rPr>
        <w:t>Projet de nouvelle Résolution [IAP</w:t>
      </w:r>
      <w:r w:rsidR="00374C48" w:rsidRPr="00303044">
        <w:rPr>
          <w:lang w:val="fr-CH"/>
        </w:rPr>
        <w:t>/10(I)-2023] (</w:t>
      </w:r>
      <w:r w:rsidR="00483FB7" w:rsidRPr="00303044">
        <w:rPr>
          <w:lang w:val="fr-CH"/>
        </w:rPr>
        <w:t>CMR</w:t>
      </w:r>
      <w:r w:rsidR="00374C48" w:rsidRPr="00303044">
        <w:rPr>
          <w:lang w:val="fr-CH"/>
        </w:rPr>
        <w:noBreakHyphen/>
        <w:t>19)</w:t>
      </w:r>
    </w:p>
    <w:p w14:paraId="554D835B" w14:textId="03AC9304" w:rsidR="001179E1" w:rsidRPr="00303044" w:rsidRDefault="00483FB7" w:rsidP="005B762C">
      <w:pPr>
        <w:pStyle w:val="Restitle"/>
        <w:rPr>
          <w:lang w:val="fr-CH"/>
        </w:rPr>
      </w:pPr>
      <w:r w:rsidRPr="00303044">
        <w:rPr>
          <w:lang w:val="fr-CH"/>
        </w:rPr>
        <w:t>Ordre du jour de la Conférence mondiale</w:t>
      </w:r>
      <w:r w:rsidR="001179E1" w:rsidRPr="00303044">
        <w:rPr>
          <w:lang w:val="fr-CH"/>
        </w:rPr>
        <w:t xml:space="preserve"> </w:t>
      </w:r>
      <w:r w:rsidRPr="00303044">
        <w:rPr>
          <w:lang w:val="fr-CH"/>
        </w:rPr>
        <w:t xml:space="preserve">des radiocommunications de </w:t>
      </w:r>
      <w:r w:rsidR="001179E1" w:rsidRPr="00303044">
        <w:rPr>
          <w:lang w:val="fr-CH"/>
        </w:rPr>
        <w:t>2023</w:t>
      </w:r>
    </w:p>
    <w:p w14:paraId="19B52EF3" w14:textId="676EA22C" w:rsidR="001179E1" w:rsidRPr="00303044" w:rsidRDefault="00483FB7" w:rsidP="005B762C">
      <w:pPr>
        <w:pStyle w:val="Normalaftertitle"/>
        <w:rPr>
          <w:lang w:val="fr-CH"/>
        </w:rPr>
      </w:pPr>
      <w:r w:rsidRPr="00303044">
        <w:rPr>
          <w:lang w:val="fr-CH"/>
        </w:rPr>
        <w:t>La Conférence mondiale des radiocommunications</w:t>
      </w:r>
      <w:r w:rsidR="001179E1" w:rsidRPr="00303044">
        <w:rPr>
          <w:lang w:val="fr-CH"/>
        </w:rPr>
        <w:t xml:space="preserve"> (</w:t>
      </w:r>
      <w:r w:rsidRPr="00303044">
        <w:rPr>
          <w:lang w:val="fr-CH"/>
        </w:rPr>
        <w:t>C</w:t>
      </w:r>
      <w:r w:rsidR="001179E1" w:rsidRPr="00303044">
        <w:rPr>
          <w:lang w:val="fr-CH"/>
        </w:rPr>
        <w:t>harm</w:t>
      </w:r>
      <w:r w:rsidR="00B50B31" w:rsidRPr="00303044">
        <w:rPr>
          <w:lang w:val="fr-CH"/>
        </w:rPr>
        <w:t xml:space="preserve"> </w:t>
      </w:r>
      <w:r w:rsidR="001179E1" w:rsidRPr="00303044">
        <w:rPr>
          <w:lang w:val="fr-CH"/>
        </w:rPr>
        <w:t>el-</w:t>
      </w:r>
      <w:r w:rsidR="00A74F2E" w:rsidRPr="00303044">
        <w:rPr>
          <w:lang w:val="fr-CH"/>
        </w:rPr>
        <w:t>C</w:t>
      </w:r>
      <w:r w:rsidR="001179E1" w:rsidRPr="00303044">
        <w:rPr>
          <w:lang w:val="fr-CH"/>
        </w:rPr>
        <w:t>heikh, 2019),</w:t>
      </w:r>
    </w:p>
    <w:p w14:paraId="56D6E18A" w14:textId="2F8403E3" w:rsidR="001179E1" w:rsidRPr="00303044" w:rsidRDefault="00B50B31" w:rsidP="005B762C">
      <w:pPr>
        <w:pStyle w:val="Normalaftertitle"/>
        <w:rPr>
          <w:lang w:val="fr-CH"/>
        </w:rPr>
      </w:pPr>
      <w:r w:rsidRPr="00303044">
        <w:rPr>
          <w:lang w:val="fr-CH"/>
        </w:rPr>
        <w:t>...</w:t>
      </w:r>
    </w:p>
    <w:p w14:paraId="2AC46C71" w14:textId="77777777" w:rsidR="001179E1" w:rsidRPr="00303044" w:rsidRDefault="001179E1" w:rsidP="005B762C">
      <w:pPr>
        <w:pStyle w:val="Call"/>
        <w:rPr>
          <w:lang w:val="fr-CH"/>
        </w:rPr>
      </w:pPr>
      <w:r w:rsidRPr="00303044">
        <w:rPr>
          <w:lang w:val="fr-CH"/>
        </w:rPr>
        <w:t>décide de formuler l'avis suivant</w:t>
      </w:r>
    </w:p>
    <w:p w14:paraId="4C80F99C" w14:textId="41D01F20" w:rsidR="001179E1" w:rsidRPr="00303044" w:rsidRDefault="001179E1" w:rsidP="005B762C">
      <w:pPr>
        <w:rPr>
          <w:lang w:val="fr-CH"/>
        </w:rPr>
      </w:pPr>
      <w:r w:rsidRPr="00303044">
        <w:rPr>
          <w:lang w:val="fr-CH"/>
        </w:rPr>
        <w:t>les points ci-après devraient être inscrits à l'ordre du jour de la CMR-23:</w:t>
      </w:r>
    </w:p>
    <w:p w14:paraId="0AF4BCF7" w14:textId="5BC8828C" w:rsidR="001179E1" w:rsidRPr="00303044" w:rsidRDefault="00B50B31" w:rsidP="005B762C">
      <w:pPr>
        <w:rPr>
          <w:lang w:val="fr-CH"/>
        </w:rPr>
      </w:pPr>
      <w:r w:rsidRPr="00303044">
        <w:rPr>
          <w:lang w:val="fr-CH"/>
        </w:rPr>
        <w:t>...</w:t>
      </w:r>
    </w:p>
    <w:p w14:paraId="6A01FF15" w14:textId="1659E53D" w:rsidR="001179E1" w:rsidRPr="00303044" w:rsidRDefault="000E13E8" w:rsidP="005B762C">
      <w:pPr>
        <w:rPr>
          <w:lang w:val="fr-CH"/>
        </w:rPr>
      </w:pPr>
      <w:r w:rsidRPr="00303044">
        <w:rPr>
          <w:lang w:val="fr-CH"/>
        </w:rPr>
        <w:t>1</w:t>
      </w:r>
      <w:r w:rsidR="00EC33F1" w:rsidRPr="00303044">
        <w:rPr>
          <w:lang w:val="fr-CH"/>
        </w:rPr>
        <w:tab/>
      </w:r>
      <w:r w:rsidR="00DF2FC7" w:rsidRPr="00303044">
        <w:rPr>
          <w:lang w:val="fr-CH"/>
        </w:rPr>
        <w:t>au regard</w:t>
      </w:r>
      <w:r w:rsidR="001179E1" w:rsidRPr="00303044">
        <w:rPr>
          <w:lang w:val="fr-CH"/>
        </w:rPr>
        <w:t xml:space="preserve"> des propositions des administrations et du Rapport de la Réunion de préparation à la Conférence</w:t>
      </w:r>
      <w:r w:rsidR="00DF2FC7" w:rsidRPr="00303044">
        <w:rPr>
          <w:lang w:val="fr-CH"/>
        </w:rPr>
        <w:t>,</w:t>
      </w:r>
      <w:r w:rsidR="001179E1" w:rsidRPr="00303044">
        <w:rPr>
          <w:lang w:val="fr-CH"/>
        </w:rPr>
        <w:t xml:space="preserve"> et compte tenu des résultats de la CMR-19, examiner les points suivants et prendre les mesures appropriées:</w:t>
      </w:r>
    </w:p>
    <w:p w14:paraId="2F4DFDE2" w14:textId="2B9389B0" w:rsidR="00314430" w:rsidRPr="00303044" w:rsidRDefault="00B50B31" w:rsidP="005B762C">
      <w:pPr>
        <w:rPr>
          <w:lang w:val="fr-CH"/>
        </w:rPr>
      </w:pPr>
      <w:r w:rsidRPr="00303044">
        <w:rPr>
          <w:lang w:val="fr-CH"/>
        </w:rPr>
        <w:t>...</w:t>
      </w:r>
    </w:p>
    <w:p w14:paraId="28C39EF8" w14:textId="5661B59B" w:rsidR="001179E1" w:rsidRPr="00303044" w:rsidRDefault="001179E1" w:rsidP="005B762C">
      <w:pPr>
        <w:rPr>
          <w:bCs/>
          <w:lang w:val="fr-CH"/>
        </w:rPr>
      </w:pPr>
      <w:r w:rsidRPr="00303044">
        <w:rPr>
          <w:lang w:val="fr-CH"/>
        </w:rPr>
        <w:t>2</w:t>
      </w:r>
      <w:r w:rsidRPr="00303044">
        <w:rPr>
          <w:lang w:val="fr-CH"/>
        </w:rPr>
        <w:tab/>
        <w:t>[</w:t>
      </w:r>
      <w:r w:rsidR="00B50B31" w:rsidRPr="00303044">
        <w:rPr>
          <w:lang w:val="fr-CH"/>
        </w:rPr>
        <w:t>E-Band NGSO</w:t>
      </w:r>
      <w:r w:rsidRPr="00303044">
        <w:rPr>
          <w:lang w:val="fr-CH"/>
        </w:rPr>
        <w:t>]</w:t>
      </w:r>
      <w:r w:rsidR="00F2043A" w:rsidRPr="00303044">
        <w:rPr>
          <w:lang w:val="fr-CH"/>
        </w:rPr>
        <w:t xml:space="preserve"> </w:t>
      </w:r>
      <w:r w:rsidR="002E14FF" w:rsidRPr="00303044">
        <w:rPr>
          <w:lang w:val="fr-CH"/>
        </w:rPr>
        <w:t xml:space="preserve">envisager </w:t>
      </w:r>
      <w:r w:rsidR="00B50B31" w:rsidRPr="00303044">
        <w:rPr>
          <w:lang w:val="fr-CH"/>
        </w:rPr>
        <w:t>l'élaboration de dispositions réglementaires concernant</w:t>
      </w:r>
      <w:r w:rsidR="002E14FF" w:rsidRPr="00303044">
        <w:rPr>
          <w:lang w:val="fr-CH"/>
        </w:rPr>
        <w:t xml:space="preserve"> les liaisons de connexion des systèmes à satellites non géostationnaires </w:t>
      </w:r>
      <w:r w:rsidR="00B50B31" w:rsidRPr="00303044">
        <w:rPr>
          <w:lang w:val="fr-CH"/>
        </w:rPr>
        <w:t xml:space="preserve">du service fixe par satellite </w:t>
      </w:r>
      <w:r w:rsidR="003049D7" w:rsidRPr="00303044">
        <w:rPr>
          <w:lang w:val="fr-CH"/>
        </w:rPr>
        <w:t xml:space="preserve">dans </w:t>
      </w:r>
      <w:r w:rsidR="002E14FF" w:rsidRPr="00303044">
        <w:rPr>
          <w:lang w:val="fr-CH"/>
        </w:rPr>
        <w:t>les bandes de fréquences 71-76 GHz</w:t>
      </w:r>
      <w:r w:rsidR="000106EF" w:rsidRPr="00303044">
        <w:rPr>
          <w:lang w:val="fr-CH"/>
        </w:rPr>
        <w:t xml:space="preserve"> (espace vers Terre, ainsi qu'une proposition de nouvelle attribution </w:t>
      </w:r>
      <w:r w:rsidR="00813CC8" w:rsidRPr="00303044">
        <w:rPr>
          <w:lang w:val="fr-CH"/>
        </w:rPr>
        <w:t>dans le sens</w:t>
      </w:r>
      <w:r w:rsidR="000106EF" w:rsidRPr="00303044">
        <w:rPr>
          <w:lang w:val="fr-CH"/>
        </w:rPr>
        <w:t xml:space="preserve"> Terre vers espace) et 81-86 GHz (Terre vers espace), conformément à la </w:t>
      </w:r>
      <w:r w:rsidRPr="00303044">
        <w:rPr>
          <w:lang w:val="fr-CH"/>
        </w:rPr>
        <w:t>R</w:t>
      </w:r>
      <w:r w:rsidR="000106EF" w:rsidRPr="00303044">
        <w:rPr>
          <w:lang w:val="fr-CH"/>
        </w:rPr>
        <w:t>é</w:t>
      </w:r>
      <w:r w:rsidRPr="00303044">
        <w:rPr>
          <w:lang w:val="fr-CH"/>
        </w:rPr>
        <w:t xml:space="preserve">solution </w:t>
      </w:r>
      <w:r w:rsidRPr="00303044">
        <w:rPr>
          <w:bCs/>
          <w:lang w:val="fr-CH"/>
        </w:rPr>
        <w:t>[IAP/10(I)/E-BAND] (</w:t>
      </w:r>
      <w:r w:rsidR="00F2043A" w:rsidRPr="00303044">
        <w:rPr>
          <w:bCs/>
          <w:lang w:val="fr-CH"/>
        </w:rPr>
        <w:t>CMR</w:t>
      </w:r>
      <w:r w:rsidRPr="00303044">
        <w:rPr>
          <w:bCs/>
          <w:lang w:val="fr-CH"/>
        </w:rPr>
        <w:noBreakHyphen/>
        <w:t>19);</w:t>
      </w:r>
    </w:p>
    <w:p w14:paraId="5E118A03" w14:textId="77777777" w:rsidR="00314430" w:rsidRPr="00303044" w:rsidRDefault="00314430" w:rsidP="005B762C">
      <w:pPr>
        <w:pStyle w:val="Reasons"/>
        <w:rPr>
          <w:lang w:val="fr-CH"/>
        </w:rPr>
      </w:pPr>
    </w:p>
    <w:p w14:paraId="61E876CB" w14:textId="77777777" w:rsidR="00314430" w:rsidRPr="00303044" w:rsidRDefault="00505C71" w:rsidP="005B762C">
      <w:pPr>
        <w:pStyle w:val="Proposal"/>
        <w:rPr>
          <w:lang w:val="fr-CH"/>
        </w:rPr>
      </w:pPr>
      <w:r w:rsidRPr="00303044">
        <w:rPr>
          <w:lang w:val="fr-CH"/>
        </w:rPr>
        <w:t>ADD</w:t>
      </w:r>
      <w:r w:rsidRPr="00303044">
        <w:rPr>
          <w:lang w:val="fr-CH"/>
        </w:rPr>
        <w:tab/>
        <w:t>IAP/11A24A9/2</w:t>
      </w:r>
    </w:p>
    <w:p w14:paraId="2E22448E" w14:textId="327E5025" w:rsidR="00314430" w:rsidRPr="00303044" w:rsidRDefault="00505C71" w:rsidP="005B762C">
      <w:pPr>
        <w:pStyle w:val="ResNo"/>
        <w:rPr>
          <w:lang w:val="fr-CH"/>
        </w:rPr>
      </w:pPr>
      <w:r w:rsidRPr="00303044">
        <w:rPr>
          <w:lang w:val="fr-CH"/>
        </w:rPr>
        <w:t>Projet de nouvelle Résolution [IAP</w:t>
      </w:r>
      <w:r w:rsidR="001179E1" w:rsidRPr="00303044">
        <w:rPr>
          <w:lang w:val="fr-CH"/>
        </w:rPr>
        <w:t>/10(I)/E-BAND] (</w:t>
      </w:r>
      <w:r w:rsidR="002670C8" w:rsidRPr="00303044">
        <w:rPr>
          <w:lang w:val="fr-CH"/>
        </w:rPr>
        <w:t>CMR</w:t>
      </w:r>
      <w:r w:rsidR="001179E1" w:rsidRPr="00303044">
        <w:rPr>
          <w:lang w:val="fr-CH"/>
        </w:rPr>
        <w:noBreakHyphen/>
        <w:t>19)</w:t>
      </w:r>
    </w:p>
    <w:p w14:paraId="63A8A671" w14:textId="6BD38603" w:rsidR="00172214" w:rsidRPr="00303044" w:rsidRDefault="00B15C1F" w:rsidP="005B762C">
      <w:pPr>
        <w:pStyle w:val="Restitle"/>
        <w:rPr>
          <w:lang w:val="fr-CH"/>
        </w:rPr>
      </w:pPr>
      <w:r w:rsidRPr="00303044">
        <w:rPr>
          <w:lang w:val="fr-CH"/>
        </w:rPr>
        <w:t>É</w:t>
      </w:r>
      <w:r w:rsidR="00172214" w:rsidRPr="00303044">
        <w:rPr>
          <w:lang w:val="fr-CH"/>
        </w:rPr>
        <w:t xml:space="preserve">tudes </w:t>
      </w:r>
      <w:r w:rsidR="00C81B4B" w:rsidRPr="00303044">
        <w:rPr>
          <w:lang w:val="fr-CH"/>
        </w:rPr>
        <w:t>sur l</w:t>
      </w:r>
      <w:r w:rsidR="00172214" w:rsidRPr="00303044">
        <w:rPr>
          <w:lang w:val="fr-CH"/>
        </w:rPr>
        <w:t xml:space="preserve">es questions techniques et opérationnelles et </w:t>
      </w:r>
      <w:r w:rsidR="00DA5B8A" w:rsidRPr="00303044">
        <w:rPr>
          <w:lang w:val="fr-CH"/>
        </w:rPr>
        <w:t>l</w:t>
      </w:r>
      <w:r w:rsidR="00172214" w:rsidRPr="00303044">
        <w:rPr>
          <w:lang w:val="fr-CH"/>
        </w:rPr>
        <w:t>es dispositions réglementaires relatives aux</w:t>
      </w:r>
      <w:r w:rsidR="00784162" w:rsidRPr="00303044">
        <w:rPr>
          <w:lang w:val="fr-CH"/>
        </w:rPr>
        <w:t xml:space="preserve"> liaisons de connexion des</w:t>
      </w:r>
      <w:r w:rsidR="00172214" w:rsidRPr="00303044">
        <w:rPr>
          <w:lang w:val="fr-CH"/>
        </w:rPr>
        <w:t xml:space="preserve"> systèmes à satellites non géostationnaires du service fixe par satellite dans les bandes de fréquences </w:t>
      </w:r>
      <w:r w:rsidR="00C55B87" w:rsidRPr="00303044">
        <w:rPr>
          <w:lang w:val="fr-CH"/>
        </w:rPr>
        <w:t xml:space="preserve">71-76 GHz (espace vers Terre, ainsi qu'une proposition de nouvelle attribution </w:t>
      </w:r>
      <w:r w:rsidR="00DA5B8A" w:rsidRPr="00303044">
        <w:rPr>
          <w:lang w:val="fr-CH"/>
        </w:rPr>
        <w:t>dans le sens</w:t>
      </w:r>
      <w:r w:rsidR="00C55B87" w:rsidRPr="00303044">
        <w:rPr>
          <w:lang w:val="fr-CH"/>
        </w:rPr>
        <w:t xml:space="preserve"> Terre vers espace) et 81-86 GHz (Terre vers espace)</w:t>
      </w:r>
    </w:p>
    <w:p w14:paraId="7A2C16CF" w14:textId="3EFBDF9E" w:rsidR="00172214" w:rsidRPr="00303044" w:rsidRDefault="00D64AD2" w:rsidP="005B762C">
      <w:pPr>
        <w:pStyle w:val="Normalaftertitle"/>
        <w:rPr>
          <w:lang w:val="fr-CH"/>
        </w:rPr>
      </w:pPr>
      <w:r w:rsidRPr="00303044">
        <w:rPr>
          <w:lang w:val="fr-CH"/>
        </w:rPr>
        <w:t>La Conférence mondiale des radiocommunications (Charm</w:t>
      </w:r>
      <w:r w:rsidR="00B15C1F" w:rsidRPr="00303044">
        <w:rPr>
          <w:lang w:val="fr-CH"/>
        </w:rPr>
        <w:t xml:space="preserve"> </w:t>
      </w:r>
      <w:r w:rsidRPr="00303044">
        <w:rPr>
          <w:lang w:val="fr-CH"/>
        </w:rPr>
        <w:t>el-</w:t>
      </w:r>
      <w:r w:rsidR="00ED2D0E" w:rsidRPr="00303044">
        <w:rPr>
          <w:lang w:val="fr-CH"/>
        </w:rPr>
        <w:t>C</w:t>
      </w:r>
      <w:r w:rsidRPr="00303044">
        <w:rPr>
          <w:lang w:val="fr-CH"/>
        </w:rPr>
        <w:t>heikh, 2019),</w:t>
      </w:r>
    </w:p>
    <w:p w14:paraId="0873F000" w14:textId="5D2FCCD3" w:rsidR="00172214" w:rsidRPr="00303044" w:rsidRDefault="00172214" w:rsidP="005B762C">
      <w:pPr>
        <w:pStyle w:val="Call"/>
        <w:rPr>
          <w:lang w:val="fr-CH"/>
        </w:rPr>
      </w:pPr>
      <w:r w:rsidRPr="00303044">
        <w:rPr>
          <w:lang w:val="fr-CH"/>
        </w:rPr>
        <w:t>consid</w:t>
      </w:r>
      <w:r w:rsidR="00C431C7" w:rsidRPr="00303044">
        <w:rPr>
          <w:lang w:val="fr-CH"/>
        </w:rPr>
        <w:t>é</w:t>
      </w:r>
      <w:r w:rsidRPr="00303044">
        <w:rPr>
          <w:lang w:val="fr-CH"/>
        </w:rPr>
        <w:t>r</w:t>
      </w:r>
      <w:r w:rsidR="00C431C7" w:rsidRPr="00303044">
        <w:rPr>
          <w:lang w:val="fr-CH"/>
        </w:rPr>
        <w:t>ant</w:t>
      </w:r>
    </w:p>
    <w:p w14:paraId="3CCB8875" w14:textId="19F6DBD5" w:rsidR="00262412" w:rsidRPr="00303044" w:rsidRDefault="00172214" w:rsidP="005B762C">
      <w:pPr>
        <w:rPr>
          <w:iCs/>
          <w:lang w:val="fr-CH"/>
        </w:rPr>
      </w:pPr>
      <w:r w:rsidRPr="00303044">
        <w:rPr>
          <w:i/>
          <w:lang w:val="fr-CH"/>
        </w:rPr>
        <w:t>a)</w:t>
      </w:r>
      <w:r w:rsidRPr="00303044">
        <w:rPr>
          <w:i/>
          <w:lang w:val="fr-CH"/>
        </w:rPr>
        <w:tab/>
      </w:r>
      <w:r w:rsidR="00262412" w:rsidRPr="00303044">
        <w:rPr>
          <w:iCs/>
          <w:lang w:val="fr-CH"/>
        </w:rPr>
        <w:t xml:space="preserve">que les systèmes à satellites </w:t>
      </w:r>
      <w:r w:rsidR="00B51A31" w:rsidRPr="00303044">
        <w:rPr>
          <w:iCs/>
          <w:lang w:val="fr-CH"/>
        </w:rPr>
        <w:t xml:space="preserve">sont de plus en plus souvent employés pour fournir des services large bande et font partie des solutions </w:t>
      </w:r>
      <w:r w:rsidR="000C6D42" w:rsidRPr="00303044">
        <w:rPr>
          <w:iCs/>
          <w:lang w:val="fr-CH"/>
        </w:rPr>
        <w:t>permettant d'offrir</w:t>
      </w:r>
      <w:r w:rsidR="00B51A31" w:rsidRPr="00303044">
        <w:rPr>
          <w:iCs/>
          <w:lang w:val="fr-CH"/>
        </w:rPr>
        <w:t xml:space="preserve"> un accès au large bande;</w:t>
      </w:r>
    </w:p>
    <w:p w14:paraId="2AA9F985" w14:textId="172FB988" w:rsidR="00B51A31" w:rsidRPr="00303044" w:rsidRDefault="00172214" w:rsidP="005B762C">
      <w:pPr>
        <w:rPr>
          <w:i/>
          <w:lang w:val="fr-CH"/>
        </w:rPr>
      </w:pPr>
      <w:r w:rsidRPr="00303044">
        <w:rPr>
          <w:i/>
          <w:lang w:val="fr-CH"/>
        </w:rPr>
        <w:t>b)</w:t>
      </w:r>
      <w:r w:rsidRPr="00303044">
        <w:rPr>
          <w:i/>
          <w:lang w:val="fr-CH"/>
        </w:rPr>
        <w:tab/>
      </w:r>
      <w:r w:rsidR="00B15C1F" w:rsidRPr="00303044">
        <w:rPr>
          <w:iCs/>
          <w:lang w:val="fr-CH"/>
        </w:rPr>
        <w:t>que de</w:t>
      </w:r>
      <w:r w:rsidR="007E1213" w:rsidRPr="00303044">
        <w:rPr>
          <w:iCs/>
          <w:lang w:val="fr-CH"/>
        </w:rPr>
        <w:t>s</w:t>
      </w:r>
      <w:r w:rsidR="00B51A31" w:rsidRPr="00303044">
        <w:rPr>
          <w:iCs/>
          <w:lang w:val="fr-CH"/>
        </w:rPr>
        <w:t xml:space="preserve"> technologies de nouvelle génération </w:t>
      </w:r>
      <w:r w:rsidR="00B15C1F" w:rsidRPr="00303044">
        <w:rPr>
          <w:iCs/>
          <w:lang w:val="fr-CH"/>
        </w:rPr>
        <w:t>pour le</w:t>
      </w:r>
      <w:r w:rsidR="00B51A31" w:rsidRPr="00303044">
        <w:rPr>
          <w:iCs/>
          <w:lang w:val="fr-CH"/>
        </w:rPr>
        <w:t xml:space="preserve"> service fixe par satellite</w:t>
      </w:r>
      <w:r w:rsidR="00B15C1F" w:rsidRPr="00303044">
        <w:rPr>
          <w:iCs/>
          <w:lang w:val="fr-CH"/>
        </w:rPr>
        <w:t xml:space="preserve"> (SFS) sont nécessaires</w:t>
      </w:r>
      <w:r w:rsidR="00B07DA0" w:rsidRPr="00303044">
        <w:rPr>
          <w:iCs/>
          <w:lang w:val="fr-CH"/>
        </w:rPr>
        <w:t xml:space="preserve"> </w:t>
      </w:r>
      <w:r w:rsidR="00845091" w:rsidRPr="00303044">
        <w:rPr>
          <w:iCs/>
          <w:lang w:val="fr-CH"/>
        </w:rPr>
        <w:t xml:space="preserve">pour offrir des débits </w:t>
      </w:r>
      <w:r w:rsidR="00FC38E0" w:rsidRPr="00303044">
        <w:rPr>
          <w:iCs/>
          <w:lang w:val="fr-CH"/>
        </w:rPr>
        <w:t>de</w:t>
      </w:r>
      <w:r w:rsidR="00845091" w:rsidRPr="00303044">
        <w:rPr>
          <w:iCs/>
          <w:lang w:val="fr-CH"/>
        </w:rPr>
        <w:t xml:space="preserve"> plusieurs térabits afin de répondre aux </w:t>
      </w:r>
      <w:r w:rsidR="001919F1" w:rsidRPr="00303044">
        <w:rPr>
          <w:iCs/>
          <w:lang w:val="fr-CH"/>
        </w:rPr>
        <w:t>exigences élevées</w:t>
      </w:r>
      <w:r w:rsidR="00845091" w:rsidRPr="00303044">
        <w:rPr>
          <w:iCs/>
          <w:lang w:val="fr-CH"/>
        </w:rPr>
        <w:t xml:space="preserve"> des applications en temps réel, </w:t>
      </w:r>
      <w:r w:rsidR="00B15C1F" w:rsidRPr="00303044">
        <w:rPr>
          <w:iCs/>
          <w:lang w:val="fr-CH"/>
        </w:rPr>
        <w:t>qui</w:t>
      </w:r>
      <w:r w:rsidR="00845091" w:rsidRPr="00303044">
        <w:rPr>
          <w:iCs/>
          <w:lang w:val="fr-CH"/>
        </w:rPr>
        <w:t xml:space="preserve"> </w:t>
      </w:r>
      <w:r w:rsidR="00EC1DFC" w:rsidRPr="00303044">
        <w:rPr>
          <w:iCs/>
          <w:lang w:val="fr-CH"/>
        </w:rPr>
        <w:t>peuvent</w:t>
      </w:r>
      <w:r w:rsidR="00845091" w:rsidRPr="00303044">
        <w:rPr>
          <w:iCs/>
          <w:lang w:val="fr-CH"/>
        </w:rPr>
        <w:t xml:space="preserve"> être prises en charge par des systèmes </w:t>
      </w:r>
      <w:r w:rsidR="00B15C1F" w:rsidRPr="00303044">
        <w:rPr>
          <w:iCs/>
          <w:lang w:val="fr-CH"/>
        </w:rPr>
        <w:t xml:space="preserve">du </w:t>
      </w:r>
      <w:r w:rsidR="00845091" w:rsidRPr="00303044">
        <w:rPr>
          <w:iCs/>
          <w:lang w:val="fr-CH"/>
        </w:rPr>
        <w:t xml:space="preserve">SFS </w:t>
      </w:r>
      <w:r w:rsidR="00AA5442" w:rsidRPr="00303044">
        <w:rPr>
          <w:iCs/>
          <w:lang w:val="fr-CH"/>
        </w:rPr>
        <w:t>exploitant</w:t>
      </w:r>
      <w:r w:rsidR="00845091" w:rsidRPr="00303044">
        <w:rPr>
          <w:iCs/>
          <w:lang w:val="fr-CH"/>
        </w:rPr>
        <w:t xml:space="preserve"> de grandes constellations</w:t>
      </w:r>
      <w:r w:rsidR="00D335A2" w:rsidRPr="00303044">
        <w:rPr>
          <w:iCs/>
          <w:lang w:val="fr-CH"/>
        </w:rPr>
        <w:t xml:space="preserve"> de satellites non géostationnaires (non OSG);</w:t>
      </w:r>
    </w:p>
    <w:p w14:paraId="6EC9A018" w14:textId="3800CB80" w:rsidR="00172214" w:rsidRPr="00303044" w:rsidRDefault="00172214" w:rsidP="005B762C">
      <w:pPr>
        <w:rPr>
          <w:lang w:val="fr-CH"/>
        </w:rPr>
      </w:pPr>
      <w:r w:rsidRPr="00303044">
        <w:rPr>
          <w:i/>
          <w:lang w:val="fr-CH"/>
        </w:rPr>
        <w:t>c)</w:t>
      </w:r>
      <w:r w:rsidRPr="00303044">
        <w:rPr>
          <w:i/>
          <w:lang w:val="fr-CH"/>
        </w:rPr>
        <w:tab/>
      </w:r>
      <w:r w:rsidR="00D335A2" w:rsidRPr="00303044">
        <w:rPr>
          <w:iCs/>
          <w:lang w:val="fr-CH"/>
        </w:rPr>
        <w:t>qu</w:t>
      </w:r>
      <w:r w:rsidR="004A45A0" w:rsidRPr="00303044">
        <w:rPr>
          <w:iCs/>
          <w:lang w:val="fr-CH"/>
        </w:rPr>
        <w:t>'en raison de leurs</w:t>
      </w:r>
      <w:r w:rsidR="00D335A2" w:rsidRPr="00303044">
        <w:rPr>
          <w:iCs/>
          <w:lang w:val="fr-CH"/>
        </w:rPr>
        <w:t xml:space="preserve"> caractéristiques</w:t>
      </w:r>
      <w:r w:rsidR="004A45A0" w:rsidRPr="00303044">
        <w:rPr>
          <w:iCs/>
          <w:lang w:val="fr-CH"/>
        </w:rPr>
        <w:t>,</w:t>
      </w:r>
      <w:r w:rsidR="00D335A2" w:rsidRPr="00303044">
        <w:rPr>
          <w:iCs/>
          <w:lang w:val="fr-CH"/>
        </w:rPr>
        <w:t xml:space="preserve"> ces liaisons </w:t>
      </w:r>
      <w:r w:rsidR="004A45A0" w:rsidRPr="00303044">
        <w:rPr>
          <w:iCs/>
          <w:lang w:val="fr-CH"/>
        </w:rPr>
        <w:t xml:space="preserve">de connexion à haute capacité destinées aux systèmes </w:t>
      </w:r>
      <w:r w:rsidR="00AD197D" w:rsidRPr="00303044">
        <w:rPr>
          <w:iCs/>
          <w:lang w:val="fr-CH"/>
        </w:rPr>
        <w:t xml:space="preserve">du SFS non OSG à grande constellation nécessitent des </w:t>
      </w:r>
      <w:r w:rsidR="004A45A0" w:rsidRPr="00303044">
        <w:rPr>
          <w:iCs/>
          <w:lang w:val="fr-CH"/>
        </w:rPr>
        <w:t xml:space="preserve">antennes </w:t>
      </w:r>
      <w:r w:rsidR="009D1900" w:rsidRPr="00303044">
        <w:rPr>
          <w:iCs/>
          <w:lang w:val="fr-CH"/>
        </w:rPr>
        <w:t xml:space="preserve">très </w:t>
      </w:r>
      <w:r w:rsidR="009D1900" w:rsidRPr="00303044">
        <w:rPr>
          <w:iCs/>
          <w:lang w:val="fr-CH"/>
        </w:rPr>
        <w:lastRenderedPageBreak/>
        <w:t xml:space="preserve">directives </w:t>
      </w:r>
      <w:r w:rsidR="00310C88" w:rsidRPr="00303044">
        <w:rPr>
          <w:iCs/>
          <w:lang w:val="fr-CH"/>
        </w:rPr>
        <w:t>aussi bien</w:t>
      </w:r>
      <w:r w:rsidR="009D1900" w:rsidRPr="00303044">
        <w:rPr>
          <w:iCs/>
          <w:lang w:val="fr-CH"/>
        </w:rPr>
        <w:t xml:space="preserve"> sur le</w:t>
      </w:r>
      <w:r w:rsidR="00320367" w:rsidRPr="00303044">
        <w:rPr>
          <w:iCs/>
          <w:lang w:val="fr-CH"/>
        </w:rPr>
        <w:t>s</w:t>
      </w:r>
      <w:r w:rsidR="009D1900" w:rsidRPr="00303044">
        <w:rPr>
          <w:iCs/>
          <w:lang w:val="fr-CH"/>
        </w:rPr>
        <w:t xml:space="preserve"> satellite</w:t>
      </w:r>
      <w:r w:rsidR="00320367" w:rsidRPr="00303044">
        <w:rPr>
          <w:iCs/>
          <w:lang w:val="fr-CH"/>
        </w:rPr>
        <w:t>s</w:t>
      </w:r>
      <w:r w:rsidR="009D1900" w:rsidRPr="00303044">
        <w:rPr>
          <w:iCs/>
          <w:lang w:val="fr-CH"/>
        </w:rPr>
        <w:t xml:space="preserve"> </w:t>
      </w:r>
      <w:r w:rsidR="00310C88" w:rsidRPr="00303044">
        <w:rPr>
          <w:iCs/>
          <w:lang w:val="fr-CH"/>
        </w:rPr>
        <w:t>que</w:t>
      </w:r>
      <w:r w:rsidR="009D1900" w:rsidRPr="00303044">
        <w:rPr>
          <w:iCs/>
          <w:lang w:val="fr-CH"/>
        </w:rPr>
        <w:t xml:space="preserve"> sur les stations </w:t>
      </w:r>
      <w:r w:rsidR="00310C88" w:rsidRPr="00303044">
        <w:rPr>
          <w:iCs/>
          <w:lang w:val="fr-CH"/>
        </w:rPr>
        <w:t>terriennes</w:t>
      </w:r>
      <w:r w:rsidR="009D1900" w:rsidRPr="00303044">
        <w:rPr>
          <w:iCs/>
          <w:lang w:val="fr-CH"/>
        </w:rPr>
        <w:t xml:space="preserve">, </w:t>
      </w:r>
      <w:r w:rsidR="00310C88" w:rsidRPr="00303044">
        <w:rPr>
          <w:iCs/>
          <w:lang w:val="fr-CH"/>
        </w:rPr>
        <w:t xml:space="preserve">et qu'en conséquence il pourrait être nécessaire de </w:t>
      </w:r>
      <w:r w:rsidR="00AD197D" w:rsidRPr="00303044">
        <w:rPr>
          <w:iCs/>
          <w:lang w:val="fr-CH"/>
        </w:rPr>
        <w:t>prévoir des modalités</w:t>
      </w:r>
      <w:r w:rsidR="00310C88" w:rsidRPr="00303044">
        <w:rPr>
          <w:iCs/>
          <w:lang w:val="fr-CH"/>
        </w:rPr>
        <w:t xml:space="preserve"> de partage de</w:t>
      </w:r>
      <w:r w:rsidR="00AD197D" w:rsidRPr="00303044">
        <w:rPr>
          <w:iCs/>
          <w:lang w:val="fr-CH"/>
        </w:rPr>
        <w:t>s</w:t>
      </w:r>
      <w:r w:rsidR="00310C88" w:rsidRPr="00303044">
        <w:rPr>
          <w:iCs/>
          <w:lang w:val="fr-CH"/>
        </w:rPr>
        <w:t xml:space="preserve"> fréquences, </w:t>
      </w:r>
      <w:r w:rsidR="00ED074C" w:rsidRPr="00303044">
        <w:rPr>
          <w:iCs/>
          <w:lang w:val="fr-CH"/>
        </w:rPr>
        <w:t xml:space="preserve">et </w:t>
      </w:r>
      <w:r w:rsidR="00310C88" w:rsidRPr="00303044">
        <w:rPr>
          <w:iCs/>
          <w:lang w:val="fr-CH"/>
        </w:rPr>
        <w:t>notamment</w:t>
      </w:r>
      <w:r w:rsidR="00ED074C" w:rsidRPr="00303044">
        <w:rPr>
          <w:iCs/>
          <w:lang w:val="fr-CH"/>
        </w:rPr>
        <w:t xml:space="preserve"> d'envisager</w:t>
      </w:r>
      <w:r w:rsidR="000466F0" w:rsidRPr="00303044">
        <w:rPr>
          <w:iCs/>
          <w:lang w:val="fr-CH"/>
        </w:rPr>
        <w:t xml:space="preserve"> dans certains cas</w:t>
      </w:r>
      <w:r w:rsidR="00ED074C" w:rsidRPr="00303044">
        <w:rPr>
          <w:iCs/>
          <w:lang w:val="fr-CH"/>
        </w:rPr>
        <w:t xml:space="preserve"> </w:t>
      </w:r>
      <w:r w:rsidR="007B6D95" w:rsidRPr="00303044">
        <w:rPr>
          <w:iCs/>
          <w:lang w:val="fr-CH"/>
        </w:rPr>
        <w:t xml:space="preserve">une </w:t>
      </w:r>
      <w:r w:rsidR="00ED074C" w:rsidRPr="00303044">
        <w:rPr>
          <w:iCs/>
          <w:lang w:val="fr-CH"/>
        </w:rPr>
        <w:t xml:space="preserve">exploitation </w:t>
      </w:r>
      <w:r w:rsidR="000466F0" w:rsidRPr="00303044">
        <w:rPr>
          <w:iCs/>
          <w:lang w:val="fr-CH"/>
        </w:rPr>
        <w:t xml:space="preserve">en bandes inversées, </w:t>
      </w:r>
      <w:r w:rsidR="001850F2" w:rsidRPr="00303044">
        <w:rPr>
          <w:iCs/>
          <w:lang w:val="fr-CH"/>
        </w:rPr>
        <w:t>et de déterminer s'il est possible de remplacer le numéro </w:t>
      </w:r>
      <w:r w:rsidR="001850F2" w:rsidRPr="00303044">
        <w:rPr>
          <w:b/>
          <w:bCs/>
          <w:iCs/>
          <w:lang w:val="fr-CH"/>
        </w:rPr>
        <w:t>22.2</w:t>
      </w:r>
      <w:r w:rsidR="001850F2" w:rsidRPr="00303044">
        <w:rPr>
          <w:iCs/>
          <w:lang w:val="fr-CH"/>
        </w:rPr>
        <w:t xml:space="preserve"> par un autre mécanisme de partage entre systèmes OSG et non OSG dans </w:t>
      </w:r>
      <w:r w:rsidR="00AD197D" w:rsidRPr="00303044">
        <w:rPr>
          <w:iCs/>
          <w:lang w:val="fr-CH"/>
        </w:rPr>
        <w:t>tout ou partie</w:t>
      </w:r>
      <w:r w:rsidR="001850F2" w:rsidRPr="00303044">
        <w:rPr>
          <w:iCs/>
          <w:lang w:val="fr-CH"/>
        </w:rPr>
        <w:t xml:space="preserve"> des bandes </w:t>
      </w:r>
      <w:r w:rsidR="001850F2" w:rsidRPr="00303044">
        <w:rPr>
          <w:lang w:val="fr-CH"/>
        </w:rPr>
        <w:t>71-76 GHz et 81-86 GHz;</w:t>
      </w:r>
    </w:p>
    <w:p w14:paraId="4D5FB407" w14:textId="23D78D1E" w:rsidR="00261FC5" w:rsidRPr="00303044" w:rsidRDefault="00172214" w:rsidP="005B762C">
      <w:pPr>
        <w:rPr>
          <w:iCs/>
          <w:lang w:val="fr-CH"/>
        </w:rPr>
      </w:pPr>
      <w:r w:rsidRPr="00303044">
        <w:rPr>
          <w:i/>
          <w:lang w:val="fr-CH"/>
        </w:rPr>
        <w:t>d)</w:t>
      </w:r>
      <w:r w:rsidRPr="00303044">
        <w:rPr>
          <w:i/>
          <w:lang w:val="fr-CH"/>
        </w:rPr>
        <w:tab/>
      </w:r>
      <w:r w:rsidR="00261FC5" w:rsidRPr="00303044">
        <w:rPr>
          <w:iCs/>
          <w:lang w:val="fr-CH"/>
        </w:rPr>
        <w:t>que les systèmes non OSG se trouvent encore à des stades précoces de leur conception, ce qui offre la possibilité de réfléchir à des conditions de partage équitable de ces bandes;</w:t>
      </w:r>
    </w:p>
    <w:p w14:paraId="1ACF0E98" w14:textId="1C398B88" w:rsidR="00172214" w:rsidRPr="00303044" w:rsidRDefault="00172214" w:rsidP="005B762C">
      <w:pPr>
        <w:rPr>
          <w:i/>
          <w:lang w:val="fr-CH"/>
        </w:rPr>
      </w:pPr>
      <w:r w:rsidRPr="00303044">
        <w:rPr>
          <w:i/>
          <w:lang w:val="fr-CH"/>
        </w:rPr>
        <w:t>e)</w:t>
      </w:r>
      <w:r w:rsidRPr="00303044">
        <w:rPr>
          <w:i/>
          <w:lang w:val="fr-CH"/>
        </w:rPr>
        <w:tab/>
      </w:r>
      <w:r w:rsidR="00AD197D" w:rsidRPr="00303044">
        <w:rPr>
          <w:iCs/>
          <w:lang w:val="fr-CH"/>
        </w:rPr>
        <w:t>qu'il existe des</w:t>
      </w:r>
      <w:r w:rsidR="0064093F" w:rsidRPr="00303044">
        <w:rPr>
          <w:iCs/>
          <w:lang w:val="fr-CH"/>
        </w:rPr>
        <w:t xml:space="preserve"> réseaux OSG </w:t>
      </w:r>
      <w:r w:rsidR="000A3BDF" w:rsidRPr="00303044">
        <w:rPr>
          <w:iCs/>
          <w:lang w:val="fr-CH"/>
        </w:rPr>
        <w:t>qui sont actuellement exploités ou qu'il est prévu d'exploiter</w:t>
      </w:r>
      <w:r w:rsidR="002522DB" w:rsidRPr="00303044">
        <w:rPr>
          <w:iCs/>
          <w:lang w:val="fr-CH"/>
        </w:rPr>
        <w:t xml:space="preserve"> dans ces bandes</w:t>
      </w:r>
      <w:r w:rsidR="000A3BDF" w:rsidRPr="00303044">
        <w:rPr>
          <w:iCs/>
          <w:lang w:val="fr-CH"/>
        </w:rPr>
        <w:t xml:space="preserve"> de fréquences</w:t>
      </w:r>
      <w:r w:rsidR="002522DB" w:rsidRPr="00303044">
        <w:rPr>
          <w:iCs/>
          <w:lang w:val="fr-CH"/>
        </w:rPr>
        <w:t xml:space="preserve">, </w:t>
      </w:r>
      <w:r w:rsidR="00AB5D45" w:rsidRPr="00303044">
        <w:rPr>
          <w:iCs/>
          <w:lang w:val="fr-CH"/>
        </w:rPr>
        <w:t>et</w:t>
      </w:r>
      <w:r w:rsidR="002522DB" w:rsidRPr="00303044">
        <w:rPr>
          <w:iCs/>
          <w:lang w:val="fr-CH"/>
        </w:rPr>
        <w:t xml:space="preserve"> que certaines administrations envisagent de déployer des liaisons </w:t>
      </w:r>
      <w:r w:rsidR="00B003D4" w:rsidRPr="00303044">
        <w:rPr>
          <w:iCs/>
          <w:lang w:val="fr-CH"/>
        </w:rPr>
        <w:t xml:space="preserve">à haute densité </w:t>
      </w:r>
      <w:r w:rsidR="006479B6" w:rsidRPr="00303044">
        <w:rPr>
          <w:iCs/>
          <w:lang w:val="fr-CH"/>
        </w:rPr>
        <w:t>du</w:t>
      </w:r>
      <w:r w:rsidR="00B003D4" w:rsidRPr="00303044">
        <w:rPr>
          <w:iCs/>
          <w:lang w:val="fr-CH"/>
        </w:rPr>
        <w:t xml:space="preserve"> service fixe </w:t>
      </w:r>
      <w:r w:rsidR="00AB5D45" w:rsidRPr="00303044">
        <w:rPr>
          <w:iCs/>
          <w:lang w:val="fr-CH"/>
        </w:rPr>
        <w:t>dans ces mêmes bandes;</w:t>
      </w:r>
    </w:p>
    <w:p w14:paraId="146FA54E" w14:textId="118BAD0B" w:rsidR="00172214" w:rsidRPr="00303044" w:rsidRDefault="00172214" w:rsidP="005B762C">
      <w:pPr>
        <w:rPr>
          <w:i/>
          <w:lang w:val="fr-CH"/>
        </w:rPr>
      </w:pPr>
      <w:r w:rsidRPr="00303044">
        <w:rPr>
          <w:i/>
          <w:lang w:val="fr-CH"/>
        </w:rPr>
        <w:t>f)</w:t>
      </w:r>
      <w:r w:rsidRPr="00303044">
        <w:rPr>
          <w:i/>
          <w:lang w:val="fr-CH"/>
        </w:rPr>
        <w:tab/>
      </w:r>
      <w:r w:rsidR="00AB5D45" w:rsidRPr="00303044">
        <w:rPr>
          <w:lang w:val="fr-CH"/>
        </w:rPr>
        <w:t xml:space="preserve">qu'il est nécessaire </w:t>
      </w:r>
      <w:r w:rsidR="00AF6908" w:rsidRPr="00303044">
        <w:rPr>
          <w:lang w:val="fr-CH"/>
        </w:rPr>
        <w:t xml:space="preserve">de mener des études pour déterminer s'il est possible, et à quelles conditions, de </w:t>
      </w:r>
      <w:r w:rsidR="007A27E0" w:rsidRPr="00303044">
        <w:rPr>
          <w:lang w:val="fr-CH"/>
        </w:rPr>
        <w:t xml:space="preserve">faire en sorte que </w:t>
      </w:r>
      <w:r w:rsidR="00AF6908" w:rsidRPr="00303044">
        <w:rPr>
          <w:lang w:val="fr-CH"/>
        </w:rPr>
        <w:t xml:space="preserve">les systèmes à satellites non OSG </w:t>
      </w:r>
      <w:r w:rsidR="00F03A6C" w:rsidRPr="00303044">
        <w:rPr>
          <w:lang w:val="fr-CH"/>
        </w:rPr>
        <w:t xml:space="preserve">du SFS </w:t>
      </w:r>
      <w:r w:rsidR="007A27E0" w:rsidRPr="00303044">
        <w:rPr>
          <w:lang w:val="fr-CH"/>
        </w:rPr>
        <w:t xml:space="preserve">partagent </w:t>
      </w:r>
      <w:r w:rsidR="0066656C" w:rsidRPr="00303044">
        <w:rPr>
          <w:lang w:val="fr-CH"/>
        </w:rPr>
        <w:t>l</w:t>
      </w:r>
      <w:r w:rsidR="00AF6908" w:rsidRPr="00303044">
        <w:rPr>
          <w:lang w:val="fr-CH"/>
        </w:rPr>
        <w:t>es bandes de fréquences</w:t>
      </w:r>
      <w:r w:rsidR="0066656C" w:rsidRPr="00303044">
        <w:rPr>
          <w:lang w:val="fr-CH"/>
        </w:rPr>
        <w:t xml:space="preserve"> </w:t>
      </w:r>
      <w:r w:rsidR="007A27E0" w:rsidRPr="00303044">
        <w:rPr>
          <w:lang w:val="fr-CH"/>
        </w:rPr>
        <w:t>71-76 GHz (espace vers Terre) et 81-86 GHz (Terre vers espace)</w:t>
      </w:r>
      <w:r w:rsidR="004C0CB4" w:rsidRPr="00303044">
        <w:rPr>
          <w:lang w:val="fr-CH"/>
        </w:rPr>
        <w:t xml:space="preserve"> </w:t>
      </w:r>
      <w:r w:rsidR="007A27E0" w:rsidRPr="00303044">
        <w:rPr>
          <w:lang w:val="fr-CH"/>
        </w:rPr>
        <w:t xml:space="preserve">pour </w:t>
      </w:r>
      <w:r w:rsidR="00F03A6C" w:rsidRPr="00303044">
        <w:rPr>
          <w:lang w:val="fr-CH"/>
        </w:rPr>
        <w:t>d</w:t>
      </w:r>
      <w:r w:rsidR="007A27E0" w:rsidRPr="00303044">
        <w:rPr>
          <w:lang w:val="fr-CH"/>
        </w:rPr>
        <w:t>es liaisons de connexion</w:t>
      </w:r>
      <w:r w:rsidR="00F03A6C" w:rsidRPr="00303044">
        <w:rPr>
          <w:lang w:val="fr-CH"/>
        </w:rPr>
        <w:t>,</w:t>
      </w:r>
      <w:r w:rsidR="007A27E0" w:rsidRPr="00303044">
        <w:rPr>
          <w:lang w:val="fr-CH"/>
        </w:rPr>
        <w:t xml:space="preserve"> avec des liaisons OSG et avec d'autres systèmes à satellites </w:t>
      </w:r>
      <w:r w:rsidR="00516C22" w:rsidRPr="00303044">
        <w:rPr>
          <w:lang w:val="fr-CH"/>
        </w:rPr>
        <w:t xml:space="preserve">non OSG </w:t>
      </w:r>
      <w:r w:rsidR="007A27E0" w:rsidRPr="00303044">
        <w:rPr>
          <w:lang w:val="fr-CH"/>
        </w:rPr>
        <w:t>du SFS;</w:t>
      </w:r>
    </w:p>
    <w:p w14:paraId="1A254AC6" w14:textId="6617D491" w:rsidR="00172214" w:rsidRPr="00303044" w:rsidRDefault="00172214" w:rsidP="005B762C">
      <w:pPr>
        <w:rPr>
          <w:iCs/>
          <w:lang w:val="fr-CH"/>
        </w:rPr>
      </w:pPr>
      <w:r w:rsidRPr="00303044">
        <w:rPr>
          <w:i/>
          <w:iCs/>
          <w:lang w:val="fr-CH"/>
        </w:rPr>
        <w:t>g)</w:t>
      </w:r>
      <w:r w:rsidRPr="00303044">
        <w:rPr>
          <w:i/>
          <w:iCs/>
          <w:lang w:val="fr-CH"/>
        </w:rPr>
        <w:tab/>
      </w:r>
      <w:r w:rsidR="007A27E0" w:rsidRPr="00303044">
        <w:rPr>
          <w:lang w:val="fr-CH"/>
        </w:rPr>
        <w:t xml:space="preserve">qu'il est nécessaire de mener des études pour déterminer s'il est possible, et à quelles conditions, </w:t>
      </w:r>
      <w:r w:rsidR="00F03A6C" w:rsidRPr="00303044">
        <w:rPr>
          <w:lang w:val="fr-CH"/>
        </w:rPr>
        <w:t>de faire</w:t>
      </w:r>
      <w:r w:rsidR="005B0499" w:rsidRPr="00303044">
        <w:rPr>
          <w:lang w:val="fr-CH"/>
        </w:rPr>
        <w:t xml:space="preserve"> une nouvelle attribution</w:t>
      </w:r>
      <w:r w:rsidR="00F61619" w:rsidRPr="00303044">
        <w:rPr>
          <w:lang w:val="fr-CH"/>
        </w:rPr>
        <w:t xml:space="preserve"> </w:t>
      </w:r>
      <w:r w:rsidR="005B0499" w:rsidRPr="00303044">
        <w:rPr>
          <w:lang w:val="fr-CH"/>
        </w:rPr>
        <w:t xml:space="preserve">au SFS (Terre vers espace) pour </w:t>
      </w:r>
      <w:r w:rsidR="00F03A6C" w:rsidRPr="00303044">
        <w:rPr>
          <w:lang w:val="fr-CH"/>
        </w:rPr>
        <w:t xml:space="preserve">exploiter </w:t>
      </w:r>
      <w:r w:rsidR="000D0D09" w:rsidRPr="00303044">
        <w:rPr>
          <w:lang w:val="fr-CH"/>
        </w:rPr>
        <w:t>d</w:t>
      </w:r>
      <w:r w:rsidR="005B0499" w:rsidRPr="00303044">
        <w:rPr>
          <w:lang w:val="fr-CH"/>
        </w:rPr>
        <w:t>es liaisons de connexion en bandes inversées</w:t>
      </w:r>
      <w:r w:rsidR="003C6EF0" w:rsidRPr="00303044">
        <w:rPr>
          <w:lang w:val="fr-CH"/>
        </w:rPr>
        <w:t xml:space="preserve"> </w:t>
      </w:r>
      <w:r w:rsidR="00F03A6C" w:rsidRPr="00303044">
        <w:rPr>
          <w:lang w:val="fr-CH"/>
        </w:rPr>
        <w:t>pour les</w:t>
      </w:r>
      <w:r w:rsidR="003C6EF0" w:rsidRPr="00303044">
        <w:rPr>
          <w:lang w:val="fr-CH"/>
        </w:rPr>
        <w:t xml:space="preserve"> systèmes à satellites </w:t>
      </w:r>
      <w:r w:rsidR="00CA193D" w:rsidRPr="00303044">
        <w:rPr>
          <w:lang w:val="fr-CH"/>
        </w:rPr>
        <w:t xml:space="preserve">non OSG </w:t>
      </w:r>
      <w:r w:rsidR="003C6EF0" w:rsidRPr="00303044">
        <w:rPr>
          <w:lang w:val="fr-CH"/>
        </w:rPr>
        <w:t xml:space="preserve">du SFS dans la bande de fréquences </w:t>
      </w:r>
      <w:r w:rsidRPr="00303044">
        <w:rPr>
          <w:iCs/>
          <w:lang w:val="fr-CH"/>
        </w:rPr>
        <w:t>71-76 GHz;</w:t>
      </w:r>
    </w:p>
    <w:p w14:paraId="23B25291" w14:textId="2BBECC5B" w:rsidR="00172214" w:rsidRPr="00303044" w:rsidRDefault="00172214" w:rsidP="005B762C">
      <w:pPr>
        <w:rPr>
          <w:iCs/>
          <w:lang w:val="fr-CH"/>
        </w:rPr>
      </w:pPr>
      <w:r w:rsidRPr="00303044">
        <w:rPr>
          <w:i/>
          <w:iCs/>
          <w:lang w:val="fr-CH"/>
        </w:rPr>
        <w:t>h)</w:t>
      </w:r>
      <w:r w:rsidRPr="00303044">
        <w:rPr>
          <w:i/>
          <w:iCs/>
          <w:lang w:val="fr-CH"/>
        </w:rPr>
        <w:tab/>
      </w:r>
      <w:r w:rsidR="009E521E" w:rsidRPr="00303044">
        <w:rPr>
          <w:lang w:val="fr-CH"/>
        </w:rPr>
        <w:t xml:space="preserve">que les bandes de fréquences </w:t>
      </w:r>
      <w:r w:rsidR="009E521E" w:rsidRPr="00303044">
        <w:rPr>
          <w:iCs/>
          <w:lang w:val="fr-CH"/>
        </w:rPr>
        <w:t>71-76</w:t>
      </w:r>
      <w:r w:rsidR="00BF061F" w:rsidRPr="00303044">
        <w:rPr>
          <w:lang w:val="fr-CH"/>
        </w:rPr>
        <w:t xml:space="preserve"> GHz</w:t>
      </w:r>
      <w:r w:rsidR="009E521E" w:rsidRPr="00303044">
        <w:rPr>
          <w:iCs/>
          <w:lang w:val="fr-CH"/>
        </w:rPr>
        <w:t xml:space="preserve"> et 81-86 GHz sont attribuées à différents services,</w:t>
      </w:r>
    </w:p>
    <w:p w14:paraId="0B1646D7" w14:textId="2450D8FD" w:rsidR="00172214" w:rsidRPr="00303044" w:rsidRDefault="009E521E" w:rsidP="005B762C">
      <w:pPr>
        <w:pStyle w:val="Call"/>
        <w:rPr>
          <w:lang w:val="fr-CH"/>
        </w:rPr>
      </w:pPr>
      <w:r w:rsidRPr="00303044">
        <w:rPr>
          <w:lang w:val="fr-CH"/>
        </w:rPr>
        <w:t>considérant en outre</w:t>
      </w:r>
    </w:p>
    <w:p w14:paraId="7070F6D2" w14:textId="69B69EEA" w:rsidR="00314430" w:rsidRPr="00303044" w:rsidRDefault="00172214" w:rsidP="005B762C">
      <w:pPr>
        <w:rPr>
          <w:lang w:val="fr-CH"/>
        </w:rPr>
      </w:pPr>
      <w:r w:rsidRPr="00303044">
        <w:rPr>
          <w:i/>
          <w:lang w:val="fr-CH"/>
        </w:rPr>
        <w:t>a)</w:t>
      </w:r>
      <w:r w:rsidRPr="00303044">
        <w:rPr>
          <w:i/>
          <w:lang w:val="fr-CH"/>
        </w:rPr>
        <w:tab/>
      </w:r>
      <w:r w:rsidR="00A31970" w:rsidRPr="00303044">
        <w:rPr>
          <w:iCs/>
          <w:lang w:val="fr-CH"/>
        </w:rPr>
        <w:t xml:space="preserve">que </w:t>
      </w:r>
      <w:r w:rsidR="009E521E" w:rsidRPr="00303044">
        <w:rPr>
          <w:lang w:val="fr-CH"/>
        </w:rPr>
        <w:t xml:space="preserve">les </w:t>
      </w:r>
      <w:r w:rsidRPr="00303044">
        <w:rPr>
          <w:lang w:val="fr-CH"/>
        </w:rPr>
        <w:t>Recomm</w:t>
      </w:r>
      <w:r w:rsidR="009E521E" w:rsidRPr="00303044">
        <w:rPr>
          <w:lang w:val="fr-CH"/>
        </w:rPr>
        <w:t>a</w:t>
      </w:r>
      <w:r w:rsidRPr="00303044">
        <w:rPr>
          <w:lang w:val="fr-CH"/>
        </w:rPr>
        <w:t xml:space="preserve">ndations </w:t>
      </w:r>
      <w:bookmarkStart w:id="5" w:name="_Hlk20204727"/>
      <w:r w:rsidR="009E521E" w:rsidRPr="00303044">
        <w:rPr>
          <w:lang w:val="fr-CH"/>
        </w:rPr>
        <w:t>UIT</w:t>
      </w:r>
      <w:r w:rsidRPr="00303044">
        <w:rPr>
          <w:lang w:val="fr-CH"/>
        </w:rPr>
        <w:t>-R</w:t>
      </w:r>
      <w:bookmarkEnd w:id="5"/>
      <w:r w:rsidRPr="00303044">
        <w:rPr>
          <w:lang w:val="fr-CH"/>
        </w:rPr>
        <w:t xml:space="preserve"> S.1323, </w:t>
      </w:r>
      <w:r w:rsidR="009E521E" w:rsidRPr="00303044">
        <w:rPr>
          <w:lang w:val="fr-CH"/>
        </w:rPr>
        <w:t>UIT-R</w:t>
      </w:r>
      <w:r w:rsidRPr="00303044">
        <w:rPr>
          <w:lang w:val="fr-CH"/>
        </w:rPr>
        <w:t xml:space="preserve"> S.1325, </w:t>
      </w:r>
      <w:r w:rsidR="009E521E" w:rsidRPr="00303044">
        <w:rPr>
          <w:lang w:val="fr-CH"/>
        </w:rPr>
        <w:t>UIT-R</w:t>
      </w:r>
      <w:r w:rsidRPr="00303044">
        <w:rPr>
          <w:lang w:val="fr-CH"/>
        </w:rPr>
        <w:t xml:space="preserve"> S.1328, </w:t>
      </w:r>
      <w:r w:rsidR="009E521E" w:rsidRPr="00303044">
        <w:rPr>
          <w:lang w:val="fr-CH"/>
        </w:rPr>
        <w:t>UIT-R</w:t>
      </w:r>
      <w:r w:rsidRPr="00303044">
        <w:rPr>
          <w:lang w:val="fr-CH"/>
        </w:rPr>
        <w:t xml:space="preserve"> S.1526</w:t>
      </w:r>
      <w:r w:rsidR="009E521E" w:rsidRPr="00303044">
        <w:rPr>
          <w:lang w:val="fr-CH"/>
        </w:rPr>
        <w:t xml:space="preserve"> et</w:t>
      </w:r>
      <w:r w:rsidRPr="00303044">
        <w:rPr>
          <w:lang w:val="fr-CH"/>
        </w:rPr>
        <w:t xml:space="preserve"> </w:t>
      </w:r>
      <w:r w:rsidR="009E521E" w:rsidRPr="00303044">
        <w:rPr>
          <w:lang w:val="fr-CH"/>
        </w:rPr>
        <w:t>UIT-R</w:t>
      </w:r>
      <w:r w:rsidRPr="00303044">
        <w:rPr>
          <w:lang w:val="fr-CH"/>
        </w:rPr>
        <w:t xml:space="preserve"> S.1529 </w:t>
      </w:r>
      <w:r w:rsidR="005D7916" w:rsidRPr="00303044">
        <w:rPr>
          <w:lang w:val="fr-CH"/>
        </w:rPr>
        <w:t>présente</w:t>
      </w:r>
      <w:r w:rsidR="00590A70" w:rsidRPr="00303044">
        <w:rPr>
          <w:lang w:val="fr-CH"/>
        </w:rPr>
        <w:t>nt</w:t>
      </w:r>
      <w:r w:rsidR="005D7916" w:rsidRPr="00303044">
        <w:rPr>
          <w:lang w:val="fr-CH"/>
        </w:rPr>
        <w:t xml:space="preserve"> les</w:t>
      </w:r>
      <w:r w:rsidR="009E521E" w:rsidRPr="00303044">
        <w:rPr>
          <w:lang w:val="fr-CH"/>
        </w:rPr>
        <w:t xml:space="preserve"> caractéristiques, </w:t>
      </w:r>
      <w:r w:rsidR="005D7916" w:rsidRPr="00303044">
        <w:rPr>
          <w:lang w:val="fr-CH"/>
        </w:rPr>
        <w:t>les</w:t>
      </w:r>
      <w:r w:rsidR="009E521E" w:rsidRPr="00303044">
        <w:rPr>
          <w:lang w:val="fr-CH"/>
        </w:rPr>
        <w:t xml:space="preserve"> besoins opérationnels et </w:t>
      </w:r>
      <w:r w:rsidR="005D7916" w:rsidRPr="00303044">
        <w:rPr>
          <w:lang w:val="fr-CH"/>
        </w:rPr>
        <w:t>les</w:t>
      </w:r>
      <w:r w:rsidR="009E521E" w:rsidRPr="00303044">
        <w:rPr>
          <w:lang w:val="fr-CH"/>
        </w:rPr>
        <w:t xml:space="preserve"> critères de protection des systèmes non OSG et OSG</w:t>
      </w:r>
      <w:r w:rsidR="00A31970" w:rsidRPr="00303044">
        <w:rPr>
          <w:lang w:val="fr-CH"/>
        </w:rPr>
        <w:t xml:space="preserve"> </w:t>
      </w:r>
      <w:r w:rsidR="004907B8" w:rsidRPr="00303044">
        <w:rPr>
          <w:lang w:val="fr-CH"/>
        </w:rPr>
        <w:t xml:space="preserve">du SFS </w:t>
      </w:r>
      <w:r w:rsidR="00A31970" w:rsidRPr="00303044">
        <w:rPr>
          <w:lang w:val="fr-CH"/>
        </w:rPr>
        <w:t>susceptibles de</w:t>
      </w:r>
      <w:r w:rsidR="009E521E" w:rsidRPr="00303044">
        <w:rPr>
          <w:lang w:val="fr-CH"/>
        </w:rPr>
        <w:t xml:space="preserve"> servir aux études de partage de fréquences;</w:t>
      </w:r>
    </w:p>
    <w:p w14:paraId="50C93331" w14:textId="69C0962D" w:rsidR="00172214" w:rsidRPr="00303044" w:rsidRDefault="00A84ED0" w:rsidP="005B762C">
      <w:pPr>
        <w:rPr>
          <w:iCs/>
          <w:lang w:val="fr-CH"/>
        </w:rPr>
      </w:pPr>
      <w:r w:rsidRPr="00303044">
        <w:rPr>
          <w:i/>
          <w:lang w:val="fr-CH"/>
        </w:rPr>
        <w:t>b)</w:t>
      </w:r>
      <w:r w:rsidRPr="00303044">
        <w:rPr>
          <w:i/>
          <w:lang w:val="fr-CH"/>
        </w:rPr>
        <w:tab/>
      </w:r>
      <w:r w:rsidR="002D4964" w:rsidRPr="00303044">
        <w:rPr>
          <w:iCs/>
          <w:lang w:val="fr-CH"/>
        </w:rPr>
        <w:t xml:space="preserve">que </w:t>
      </w:r>
      <w:r w:rsidR="00A31970" w:rsidRPr="00303044">
        <w:rPr>
          <w:iCs/>
          <w:lang w:val="fr-CH"/>
        </w:rPr>
        <w:t>la</w:t>
      </w:r>
      <w:r w:rsidRPr="00303044">
        <w:rPr>
          <w:iCs/>
          <w:lang w:val="fr-CH"/>
        </w:rPr>
        <w:t xml:space="preserve"> Recommandation UIT-R F.20</w:t>
      </w:r>
      <w:r w:rsidR="001D3D66" w:rsidRPr="00303044">
        <w:rPr>
          <w:iCs/>
          <w:lang w:val="fr-CH"/>
        </w:rPr>
        <w:t>0</w:t>
      </w:r>
      <w:r w:rsidRPr="00303044">
        <w:rPr>
          <w:iCs/>
          <w:lang w:val="fr-CH"/>
        </w:rPr>
        <w:t>6</w:t>
      </w:r>
      <w:r w:rsidR="00A31970" w:rsidRPr="00303044">
        <w:rPr>
          <w:iCs/>
          <w:lang w:val="fr-CH"/>
        </w:rPr>
        <w:t xml:space="preserve"> </w:t>
      </w:r>
      <w:r w:rsidR="005D7916" w:rsidRPr="00303044">
        <w:rPr>
          <w:iCs/>
          <w:lang w:val="fr-CH"/>
        </w:rPr>
        <w:t>porte sur</w:t>
      </w:r>
      <w:r w:rsidR="00A31970" w:rsidRPr="00303044">
        <w:rPr>
          <w:iCs/>
          <w:lang w:val="fr-CH"/>
        </w:rPr>
        <w:t xml:space="preserve"> les</w:t>
      </w:r>
      <w:r w:rsidRPr="00303044">
        <w:rPr>
          <w:iCs/>
          <w:lang w:val="fr-CH"/>
        </w:rPr>
        <w:t xml:space="preserve"> </w:t>
      </w:r>
      <w:r w:rsidR="00A31970" w:rsidRPr="00303044">
        <w:rPr>
          <w:iCs/>
          <w:lang w:val="fr-CH"/>
        </w:rPr>
        <w:t>d</w:t>
      </w:r>
      <w:r w:rsidRPr="00303044">
        <w:rPr>
          <w:iCs/>
          <w:lang w:val="fr-CH"/>
        </w:rPr>
        <w:t>ispositions des canaux radioélectriques et des blocs de fréquences radioélectriques pour les systèmes hertziens fixes fonctionnant dans les bandes 71-76 et 81-86 GHz</w:t>
      </w:r>
      <w:r w:rsidR="004C00F9" w:rsidRPr="00303044">
        <w:rPr>
          <w:iCs/>
          <w:lang w:val="fr-CH"/>
        </w:rPr>
        <w:t>;</w:t>
      </w:r>
    </w:p>
    <w:p w14:paraId="212FED96" w14:textId="149B3779" w:rsidR="00A84ED0" w:rsidRPr="00303044" w:rsidRDefault="00A84ED0" w:rsidP="005B762C">
      <w:pPr>
        <w:rPr>
          <w:iCs/>
          <w:lang w:val="fr-CH"/>
        </w:rPr>
      </w:pPr>
      <w:r w:rsidRPr="00303044">
        <w:rPr>
          <w:i/>
          <w:lang w:val="fr-CH"/>
        </w:rPr>
        <w:t>c)</w:t>
      </w:r>
      <w:r w:rsidRPr="00303044">
        <w:rPr>
          <w:i/>
          <w:lang w:val="fr-CH"/>
        </w:rPr>
        <w:tab/>
      </w:r>
      <w:r w:rsidR="00FA6E86" w:rsidRPr="00303044">
        <w:rPr>
          <w:iCs/>
          <w:lang w:val="fr-CH"/>
        </w:rPr>
        <w:t xml:space="preserve">que </w:t>
      </w:r>
      <w:r w:rsidR="00A31970" w:rsidRPr="00303044">
        <w:rPr>
          <w:iCs/>
          <w:lang w:val="fr-CH"/>
        </w:rPr>
        <w:t xml:space="preserve">la Recommandation UIT-R </w:t>
      </w:r>
      <w:r w:rsidRPr="00303044">
        <w:rPr>
          <w:iCs/>
          <w:lang w:val="fr-CH"/>
        </w:rPr>
        <w:t>M.2057-1</w:t>
      </w:r>
      <w:r w:rsidR="00A31970" w:rsidRPr="00303044">
        <w:rPr>
          <w:iCs/>
          <w:lang w:val="fr-CH"/>
        </w:rPr>
        <w:t xml:space="preserve"> présente les</w:t>
      </w:r>
      <w:r w:rsidRPr="00303044">
        <w:rPr>
          <w:iCs/>
          <w:lang w:val="fr-CH"/>
        </w:rPr>
        <w:t xml:space="preserve"> </w:t>
      </w:r>
      <w:r w:rsidR="00A31970" w:rsidRPr="00303044">
        <w:rPr>
          <w:iCs/>
          <w:lang w:val="fr-CH"/>
        </w:rPr>
        <w:t>c</w:t>
      </w:r>
      <w:r w:rsidRPr="00303044">
        <w:rPr>
          <w:iCs/>
          <w:lang w:val="fr-CH"/>
        </w:rPr>
        <w:t>aractéristiques des systèmes de radars pour automobiles fonctionnant dans la bande de fréquences 76-81 GHz pour les applications des systèmes de transport intelligents</w:t>
      </w:r>
      <w:r w:rsidR="004C00F9" w:rsidRPr="00303044">
        <w:rPr>
          <w:iCs/>
          <w:lang w:val="fr-CH"/>
        </w:rPr>
        <w:t>;</w:t>
      </w:r>
    </w:p>
    <w:p w14:paraId="2C8C6A70" w14:textId="6804DAE8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d)</w:t>
      </w:r>
      <w:r w:rsidRPr="00303044">
        <w:rPr>
          <w:i/>
          <w:lang w:val="fr-CH"/>
        </w:rPr>
        <w:tab/>
      </w:r>
      <w:r w:rsidR="008767FD" w:rsidRPr="00303044">
        <w:rPr>
          <w:iCs/>
          <w:lang w:val="fr-CH"/>
        </w:rPr>
        <w:t>que le groupe d'experts de l'UIT-R</w:t>
      </w:r>
      <w:r w:rsidR="00BF061F" w:rsidRPr="00303044">
        <w:rPr>
          <w:iCs/>
          <w:lang w:val="fr-CH"/>
        </w:rPr>
        <w:t xml:space="preserve"> définit actuellement les caractéristiques du SFS dans les bandes </w:t>
      </w:r>
      <w:r w:rsidR="00BF061F" w:rsidRPr="00303044">
        <w:rPr>
          <w:lang w:val="fr-CH"/>
        </w:rPr>
        <w:t>71-76 GHz et 81-86 GHz</w:t>
      </w:r>
      <w:r w:rsidR="00C0326F" w:rsidRPr="00303044">
        <w:rPr>
          <w:lang w:val="fr-CH"/>
        </w:rPr>
        <w:t xml:space="preserve"> afin d'établir des caractéristiques supplémentaires pour les futurs réseaux et systèmes </w:t>
      </w:r>
      <w:r w:rsidR="007627EA" w:rsidRPr="00303044">
        <w:rPr>
          <w:lang w:val="fr-CH"/>
        </w:rPr>
        <w:t xml:space="preserve">du </w:t>
      </w:r>
      <w:r w:rsidR="00C0326F" w:rsidRPr="00303044">
        <w:rPr>
          <w:lang w:val="fr-CH"/>
        </w:rPr>
        <w:t>SFS en ondes millimétriques élevées,</w:t>
      </w:r>
    </w:p>
    <w:p w14:paraId="21DC07C2" w14:textId="28299802" w:rsidR="00A84ED0" w:rsidRPr="00303044" w:rsidRDefault="00A84ED0" w:rsidP="005B762C">
      <w:pPr>
        <w:pStyle w:val="Call"/>
        <w:rPr>
          <w:lang w:val="fr-CH"/>
        </w:rPr>
      </w:pPr>
      <w:r w:rsidRPr="00303044">
        <w:rPr>
          <w:lang w:val="fr-CH"/>
        </w:rPr>
        <w:t>not</w:t>
      </w:r>
      <w:r w:rsidR="00C0326F" w:rsidRPr="00303044">
        <w:rPr>
          <w:lang w:val="fr-CH"/>
        </w:rPr>
        <w:t>ant</w:t>
      </w:r>
    </w:p>
    <w:p w14:paraId="11225261" w14:textId="6FF42ED5" w:rsidR="00A84ED0" w:rsidRPr="00303044" w:rsidRDefault="00A84ED0" w:rsidP="005B762C">
      <w:pPr>
        <w:rPr>
          <w:iCs/>
          <w:lang w:val="fr-CH"/>
        </w:rPr>
      </w:pPr>
      <w:r w:rsidRPr="00303044">
        <w:rPr>
          <w:i/>
          <w:lang w:val="fr-CH"/>
        </w:rPr>
        <w:t>a)</w:t>
      </w:r>
      <w:r w:rsidRPr="00303044">
        <w:rPr>
          <w:i/>
          <w:lang w:val="fr-CH"/>
        </w:rPr>
        <w:tab/>
      </w:r>
      <w:r w:rsidR="009E6AAE" w:rsidRPr="00303044">
        <w:rPr>
          <w:iCs/>
          <w:lang w:val="fr-CH"/>
        </w:rPr>
        <w:t xml:space="preserve">que </w:t>
      </w:r>
      <w:r w:rsidR="0000540A" w:rsidRPr="00303044">
        <w:rPr>
          <w:iCs/>
          <w:lang w:val="fr-CH"/>
        </w:rPr>
        <w:t>des renseignements de notification concernant des réseaux à satellite OSG et non</w:t>
      </w:r>
      <w:r w:rsidR="000923CA" w:rsidRPr="00303044">
        <w:rPr>
          <w:iCs/>
          <w:lang w:val="fr-CH"/>
        </w:rPr>
        <w:t> </w:t>
      </w:r>
      <w:r w:rsidR="0000540A" w:rsidRPr="00303044">
        <w:rPr>
          <w:iCs/>
          <w:lang w:val="fr-CH"/>
        </w:rPr>
        <w:t>OSG</w:t>
      </w:r>
      <w:r w:rsidR="003C6596" w:rsidRPr="00303044">
        <w:rPr>
          <w:iCs/>
          <w:lang w:val="fr-CH"/>
        </w:rPr>
        <w:t xml:space="preserve"> du SFS</w:t>
      </w:r>
      <w:r w:rsidR="0000540A" w:rsidRPr="00303044">
        <w:rPr>
          <w:iCs/>
          <w:lang w:val="fr-CH"/>
        </w:rPr>
        <w:t xml:space="preserve"> dans l</w:t>
      </w:r>
      <w:r w:rsidR="003E42BA" w:rsidRPr="00303044">
        <w:rPr>
          <w:iCs/>
          <w:lang w:val="fr-CH"/>
        </w:rPr>
        <w:t>es</w:t>
      </w:r>
      <w:r w:rsidR="0000540A" w:rsidRPr="00303044">
        <w:rPr>
          <w:iCs/>
          <w:lang w:val="fr-CH"/>
        </w:rPr>
        <w:t xml:space="preserve"> bande</w:t>
      </w:r>
      <w:r w:rsidR="003E42BA" w:rsidRPr="00303044">
        <w:rPr>
          <w:iCs/>
          <w:lang w:val="fr-CH"/>
        </w:rPr>
        <w:t>s</w:t>
      </w:r>
      <w:r w:rsidR="0000540A" w:rsidRPr="00303044">
        <w:rPr>
          <w:iCs/>
          <w:lang w:val="fr-CH"/>
        </w:rPr>
        <w:t xml:space="preserve"> de fréquences </w:t>
      </w:r>
      <w:r w:rsidR="0000540A" w:rsidRPr="00303044">
        <w:rPr>
          <w:lang w:val="fr-CH"/>
        </w:rPr>
        <w:t xml:space="preserve">71-76 </w:t>
      </w:r>
      <w:r w:rsidR="0000540A" w:rsidRPr="00303044">
        <w:rPr>
          <w:iCs/>
          <w:lang w:val="fr-CH"/>
        </w:rPr>
        <w:t xml:space="preserve">GHz (espace vers Terre) et </w:t>
      </w:r>
      <w:r w:rsidR="0000540A" w:rsidRPr="00303044">
        <w:rPr>
          <w:lang w:val="fr-CH"/>
        </w:rPr>
        <w:t>81</w:t>
      </w:r>
      <w:r w:rsidR="00CA729B" w:rsidRPr="00303044">
        <w:rPr>
          <w:lang w:val="fr-CH"/>
        </w:rPr>
        <w:noBreakHyphen/>
      </w:r>
      <w:r w:rsidR="0000540A" w:rsidRPr="00303044">
        <w:rPr>
          <w:lang w:val="fr-CH"/>
        </w:rPr>
        <w:t>86</w:t>
      </w:r>
      <w:r w:rsidR="00CA729B" w:rsidRPr="00303044">
        <w:rPr>
          <w:lang w:val="fr-CH"/>
        </w:rPr>
        <w:t> </w:t>
      </w:r>
      <w:r w:rsidR="0000540A" w:rsidRPr="00303044">
        <w:rPr>
          <w:lang w:val="fr-CH"/>
        </w:rPr>
        <w:t xml:space="preserve">GHz (Terre vers espace) </w:t>
      </w:r>
      <w:r w:rsidR="0000540A" w:rsidRPr="00303044">
        <w:rPr>
          <w:iCs/>
          <w:lang w:val="fr-CH"/>
        </w:rPr>
        <w:t xml:space="preserve">ont été </w:t>
      </w:r>
      <w:r w:rsidR="002B2C6C" w:rsidRPr="00303044">
        <w:rPr>
          <w:iCs/>
          <w:lang w:val="fr-CH"/>
        </w:rPr>
        <w:t xml:space="preserve">récemment </w:t>
      </w:r>
      <w:r w:rsidR="0000540A" w:rsidRPr="00303044">
        <w:rPr>
          <w:iCs/>
          <w:lang w:val="fr-CH"/>
        </w:rPr>
        <w:t>communiqués au Bureau des radiocommunications;</w:t>
      </w:r>
    </w:p>
    <w:p w14:paraId="6CBF0FDA" w14:textId="02B4A0FE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b)</w:t>
      </w:r>
      <w:r w:rsidRPr="00303044">
        <w:rPr>
          <w:i/>
          <w:lang w:val="fr-CH"/>
        </w:rPr>
        <w:tab/>
      </w:r>
      <w:r w:rsidR="002B2C6C" w:rsidRPr="00303044">
        <w:rPr>
          <w:lang w:val="fr-CH"/>
        </w:rPr>
        <w:t>que la bande de fréquences</w:t>
      </w:r>
      <w:r w:rsidRPr="00303044">
        <w:rPr>
          <w:lang w:val="fr-CH"/>
        </w:rPr>
        <w:t xml:space="preserve"> 71-76 GHz </w:t>
      </w:r>
      <w:r w:rsidR="002B2C6C" w:rsidRPr="00303044">
        <w:rPr>
          <w:lang w:val="fr-CH"/>
        </w:rPr>
        <w:t>est également attribuée aux services fixe et mobile à titre primaire</w:t>
      </w:r>
      <w:r w:rsidR="00531358" w:rsidRPr="00303044">
        <w:rPr>
          <w:lang w:val="fr-CH"/>
        </w:rPr>
        <w:t xml:space="preserve"> et qu'elle est </w:t>
      </w:r>
      <w:r w:rsidR="00E84D05" w:rsidRPr="00303044">
        <w:rPr>
          <w:lang w:val="fr-CH"/>
        </w:rPr>
        <w:t>largement utilisée</w:t>
      </w:r>
      <w:r w:rsidR="00531358" w:rsidRPr="00303044">
        <w:rPr>
          <w:lang w:val="fr-CH"/>
        </w:rPr>
        <w:t xml:space="preserve"> par </w:t>
      </w:r>
      <w:r w:rsidR="00B050E7" w:rsidRPr="00303044">
        <w:rPr>
          <w:lang w:val="fr-CH"/>
        </w:rPr>
        <w:t>d</w:t>
      </w:r>
      <w:r w:rsidR="00531358" w:rsidRPr="00303044">
        <w:rPr>
          <w:lang w:val="fr-CH"/>
        </w:rPr>
        <w:t>es applications du service fixe;</w:t>
      </w:r>
    </w:p>
    <w:p w14:paraId="78D01C5F" w14:textId="479BB879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c)</w:t>
      </w:r>
      <w:r w:rsidRPr="00303044">
        <w:rPr>
          <w:i/>
          <w:lang w:val="fr-CH"/>
        </w:rPr>
        <w:tab/>
      </w:r>
      <w:r w:rsidR="00531358" w:rsidRPr="00303044">
        <w:rPr>
          <w:lang w:val="fr-CH"/>
        </w:rPr>
        <w:t xml:space="preserve">que la bande de fréquences 74-76 GHz est également attribuée aux services de radiodiffusion et de radiodiffusion par satellite à titre primaire, ainsi qu'au service de </w:t>
      </w:r>
      <w:r w:rsidR="00FC1B69" w:rsidRPr="00303044">
        <w:rPr>
          <w:lang w:val="fr-CH"/>
        </w:rPr>
        <w:t xml:space="preserve">recherche spatiale dans </w:t>
      </w:r>
      <w:r w:rsidR="005A7487" w:rsidRPr="00303044">
        <w:rPr>
          <w:lang w:val="fr-CH"/>
        </w:rPr>
        <w:t>le sens</w:t>
      </w:r>
      <w:r w:rsidR="00FC1B69" w:rsidRPr="00303044">
        <w:rPr>
          <w:lang w:val="fr-CH"/>
        </w:rPr>
        <w:t xml:space="preserve"> espace vers Terre à titre secondaire;</w:t>
      </w:r>
    </w:p>
    <w:p w14:paraId="62DD6437" w14:textId="105CBD5D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lastRenderedPageBreak/>
        <w:t>d)</w:t>
      </w:r>
      <w:r w:rsidRPr="00303044">
        <w:rPr>
          <w:i/>
          <w:lang w:val="fr-CH"/>
        </w:rPr>
        <w:tab/>
      </w:r>
      <w:r w:rsidR="002105F1" w:rsidRPr="00303044">
        <w:rPr>
          <w:lang w:val="fr-CH"/>
        </w:rPr>
        <w:t xml:space="preserve">que dans la bande 74-76 GHz, les services fixe, mobile et de radiodiffusion ne doivent pas </w:t>
      </w:r>
      <w:r w:rsidR="00DB5781" w:rsidRPr="00303044">
        <w:rPr>
          <w:lang w:val="fr-CH"/>
        </w:rPr>
        <w:t>causer de brouillage</w:t>
      </w:r>
      <w:r w:rsidR="006F488D" w:rsidRPr="00303044">
        <w:rPr>
          <w:lang w:val="fr-CH"/>
        </w:rPr>
        <w:t>s</w:t>
      </w:r>
      <w:r w:rsidR="00DB5781" w:rsidRPr="00303044">
        <w:rPr>
          <w:lang w:val="fr-CH"/>
        </w:rPr>
        <w:t xml:space="preserve"> </w:t>
      </w:r>
      <w:r w:rsidR="007249C5" w:rsidRPr="00303044">
        <w:rPr>
          <w:lang w:val="fr-CH"/>
        </w:rPr>
        <w:t xml:space="preserve">préjudiciables </w:t>
      </w:r>
      <w:r w:rsidR="00DB5781" w:rsidRPr="00303044">
        <w:rPr>
          <w:lang w:val="fr-CH"/>
        </w:rPr>
        <w:t>aux stations du</w:t>
      </w:r>
      <w:r w:rsidR="002105F1" w:rsidRPr="00303044">
        <w:rPr>
          <w:lang w:val="fr-CH"/>
        </w:rPr>
        <w:t xml:space="preserve"> service </w:t>
      </w:r>
      <w:r w:rsidR="00DB5781" w:rsidRPr="00303044">
        <w:rPr>
          <w:lang w:val="fr-CH"/>
        </w:rPr>
        <w:t>fixe par satellite en vertu du numéro</w:t>
      </w:r>
      <w:r w:rsidRPr="00303044">
        <w:rPr>
          <w:lang w:val="fr-CH"/>
        </w:rPr>
        <w:t> </w:t>
      </w:r>
      <w:r w:rsidRPr="00303044">
        <w:rPr>
          <w:b/>
          <w:lang w:val="fr-CH"/>
        </w:rPr>
        <w:t>5.561</w:t>
      </w:r>
      <w:r w:rsidRPr="00303044">
        <w:rPr>
          <w:lang w:val="fr-CH"/>
        </w:rPr>
        <w:t>;</w:t>
      </w:r>
    </w:p>
    <w:p w14:paraId="625A8DFC" w14:textId="6A619063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e)</w:t>
      </w:r>
      <w:r w:rsidRPr="00303044">
        <w:rPr>
          <w:i/>
          <w:lang w:val="fr-CH"/>
        </w:rPr>
        <w:tab/>
      </w:r>
      <w:r w:rsidR="00976777" w:rsidRPr="00303044">
        <w:rPr>
          <w:lang w:val="fr-CH"/>
        </w:rPr>
        <w:t>que la bande de fréquences 81-86 GHz est également attribuée aux services fixe, mobile et de radioastronomie</w:t>
      </w:r>
      <w:r w:rsidR="0059595D" w:rsidRPr="00303044">
        <w:rPr>
          <w:lang w:val="fr-CH"/>
        </w:rPr>
        <w:t xml:space="preserve"> à titre primaire, ainsi qu'au service de recherche spatiale dans </w:t>
      </w:r>
      <w:r w:rsidR="00F40CD7" w:rsidRPr="00303044">
        <w:rPr>
          <w:lang w:val="fr-CH"/>
        </w:rPr>
        <w:t>le sens</w:t>
      </w:r>
      <w:r w:rsidR="0059595D" w:rsidRPr="00303044">
        <w:rPr>
          <w:lang w:val="fr-CH"/>
        </w:rPr>
        <w:t xml:space="preserve"> espace vers Terre à titre secondaire;</w:t>
      </w:r>
    </w:p>
    <w:p w14:paraId="4705EDFD" w14:textId="0B9012BB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f)</w:t>
      </w:r>
      <w:r w:rsidRPr="00303044">
        <w:rPr>
          <w:i/>
          <w:lang w:val="fr-CH"/>
        </w:rPr>
        <w:tab/>
      </w:r>
      <w:r w:rsidR="00417BFA" w:rsidRPr="00303044">
        <w:rPr>
          <w:lang w:val="fr-CH"/>
        </w:rPr>
        <w:t xml:space="preserve">que la </w:t>
      </w:r>
      <w:r w:rsidRPr="00303044">
        <w:rPr>
          <w:lang w:val="fr-CH"/>
        </w:rPr>
        <w:t>R</w:t>
      </w:r>
      <w:r w:rsidR="00417BFA" w:rsidRPr="00303044">
        <w:rPr>
          <w:lang w:val="fr-CH"/>
        </w:rPr>
        <w:t>é</w:t>
      </w:r>
      <w:r w:rsidRPr="00303044">
        <w:rPr>
          <w:lang w:val="fr-CH"/>
        </w:rPr>
        <w:t xml:space="preserve">solution </w:t>
      </w:r>
      <w:r w:rsidRPr="00303044">
        <w:rPr>
          <w:b/>
          <w:lang w:val="fr-CH"/>
        </w:rPr>
        <w:t>750 (R</w:t>
      </w:r>
      <w:r w:rsidR="00417BFA" w:rsidRPr="00303044">
        <w:rPr>
          <w:b/>
          <w:lang w:val="fr-CH"/>
        </w:rPr>
        <w:t>é</w:t>
      </w:r>
      <w:r w:rsidRPr="00303044">
        <w:rPr>
          <w:b/>
          <w:lang w:val="fr-CH"/>
        </w:rPr>
        <w:t>v.</w:t>
      </w:r>
      <w:r w:rsidR="00417BFA" w:rsidRPr="00303044">
        <w:rPr>
          <w:b/>
          <w:lang w:val="fr-CH"/>
        </w:rPr>
        <w:t>CMR</w:t>
      </w:r>
      <w:r w:rsidRPr="00303044">
        <w:rPr>
          <w:b/>
          <w:lang w:val="fr-CH"/>
        </w:rPr>
        <w:t>-[19])</w:t>
      </w:r>
      <w:r w:rsidRPr="00303044">
        <w:rPr>
          <w:lang w:val="fr-CH"/>
        </w:rPr>
        <w:t xml:space="preserve"> </w:t>
      </w:r>
      <w:r w:rsidR="00417BFA" w:rsidRPr="00303044">
        <w:rPr>
          <w:lang w:val="fr-CH"/>
        </w:rPr>
        <w:t>est applicable à la bande de fréquences</w:t>
      </w:r>
      <w:r w:rsidRPr="00303044">
        <w:rPr>
          <w:lang w:val="fr-CH"/>
        </w:rPr>
        <w:t xml:space="preserve"> 81</w:t>
      </w:r>
      <w:r w:rsidR="00417BFA" w:rsidRPr="00303044">
        <w:rPr>
          <w:lang w:val="fr-CH"/>
        </w:rPr>
        <w:noBreakHyphen/>
      </w:r>
      <w:r w:rsidRPr="00303044">
        <w:rPr>
          <w:lang w:val="fr-CH"/>
        </w:rPr>
        <w:t>86</w:t>
      </w:r>
      <w:r w:rsidR="00417BFA" w:rsidRPr="00303044">
        <w:rPr>
          <w:lang w:val="fr-CH"/>
        </w:rPr>
        <w:t> </w:t>
      </w:r>
      <w:r w:rsidRPr="00303044">
        <w:rPr>
          <w:lang w:val="fr-CH"/>
        </w:rPr>
        <w:t xml:space="preserve">GHz </w:t>
      </w:r>
      <w:r w:rsidR="00417BFA" w:rsidRPr="00303044">
        <w:rPr>
          <w:lang w:val="fr-CH"/>
        </w:rPr>
        <w:t xml:space="preserve">conformément au numéro </w:t>
      </w:r>
      <w:r w:rsidRPr="00303044">
        <w:rPr>
          <w:b/>
          <w:lang w:val="fr-CH"/>
        </w:rPr>
        <w:t>5.338A</w:t>
      </w:r>
      <w:r w:rsidRPr="00303044">
        <w:rPr>
          <w:lang w:val="fr-CH"/>
        </w:rPr>
        <w:t>;</w:t>
      </w:r>
    </w:p>
    <w:p w14:paraId="703127BF" w14:textId="3F05817D" w:rsidR="000D7156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g)</w:t>
      </w:r>
      <w:r w:rsidRPr="00303044">
        <w:rPr>
          <w:i/>
          <w:lang w:val="fr-CH"/>
        </w:rPr>
        <w:tab/>
      </w:r>
      <w:r w:rsidR="000D7156" w:rsidRPr="00303044">
        <w:rPr>
          <w:lang w:val="fr-CH"/>
        </w:rPr>
        <w:t xml:space="preserve">que la bande de fréquences </w:t>
      </w:r>
      <w:r w:rsidRPr="00303044">
        <w:rPr>
          <w:lang w:val="fr-CH"/>
        </w:rPr>
        <w:t xml:space="preserve">81-84 GHz </w:t>
      </w:r>
      <w:r w:rsidR="000D7156" w:rsidRPr="00303044">
        <w:rPr>
          <w:lang w:val="fr-CH"/>
        </w:rPr>
        <w:t xml:space="preserve">est également attribuée au service mobile par satellite dans </w:t>
      </w:r>
      <w:r w:rsidR="00954813" w:rsidRPr="00303044">
        <w:rPr>
          <w:lang w:val="fr-CH"/>
        </w:rPr>
        <w:t>le sens</w:t>
      </w:r>
      <w:r w:rsidR="000D7156" w:rsidRPr="00303044">
        <w:rPr>
          <w:lang w:val="fr-CH"/>
        </w:rPr>
        <w:t xml:space="preserve"> Terre vers espace à titre primaire;</w:t>
      </w:r>
    </w:p>
    <w:p w14:paraId="7C324329" w14:textId="3B4015E0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h)</w:t>
      </w:r>
      <w:r w:rsidRPr="00303044">
        <w:rPr>
          <w:i/>
          <w:lang w:val="fr-CH"/>
        </w:rPr>
        <w:tab/>
      </w:r>
      <w:r w:rsidR="000D7156" w:rsidRPr="00303044">
        <w:rPr>
          <w:lang w:val="fr-CH"/>
        </w:rPr>
        <w:t xml:space="preserve">que la bande de fréquences </w:t>
      </w:r>
      <w:r w:rsidRPr="00303044">
        <w:rPr>
          <w:lang w:val="fr-CH"/>
        </w:rPr>
        <w:t>81-81</w:t>
      </w:r>
      <w:r w:rsidR="00E839D7" w:rsidRPr="00303044">
        <w:rPr>
          <w:lang w:val="fr-CH"/>
        </w:rPr>
        <w:t>,</w:t>
      </w:r>
      <w:r w:rsidRPr="00303044">
        <w:rPr>
          <w:lang w:val="fr-CH"/>
        </w:rPr>
        <w:t xml:space="preserve">5 GHz </w:t>
      </w:r>
      <w:r w:rsidR="000D7156" w:rsidRPr="00303044">
        <w:rPr>
          <w:lang w:val="fr-CH"/>
        </w:rPr>
        <w:t xml:space="preserve">est également attribuée </w:t>
      </w:r>
      <w:r w:rsidR="00747056" w:rsidRPr="00303044">
        <w:rPr>
          <w:lang w:val="fr-CH"/>
        </w:rPr>
        <w:t>aux services d'amateur et d'amateur par satellite à titre secondaire,</w:t>
      </w:r>
    </w:p>
    <w:p w14:paraId="2F477368" w14:textId="697B23FF" w:rsidR="00A84ED0" w:rsidRPr="00303044" w:rsidRDefault="00A84ED0" w:rsidP="005B762C">
      <w:pPr>
        <w:pStyle w:val="Call"/>
        <w:rPr>
          <w:lang w:val="fr-CH"/>
        </w:rPr>
      </w:pPr>
      <w:r w:rsidRPr="00303044">
        <w:rPr>
          <w:lang w:val="fr-CH"/>
        </w:rPr>
        <w:t>reco</w:t>
      </w:r>
      <w:r w:rsidR="00747056" w:rsidRPr="00303044">
        <w:rPr>
          <w:lang w:val="fr-CH"/>
        </w:rPr>
        <w:t>nnaissant</w:t>
      </w:r>
    </w:p>
    <w:p w14:paraId="63232BD4" w14:textId="10A502C7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a)</w:t>
      </w:r>
      <w:r w:rsidRPr="00303044">
        <w:rPr>
          <w:i/>
          <w:lang w:val="fr-CH"/>
        </w:rPr>
        <w:tab/>
      </w:r>
      <w:r w:rsidR="00747056" w:rsidRPr="00303044">
        <w:rPr>
          <w:lang w:val="fr-CH"/>
        </w:rPr>
        <w:t>que la CMR-19</w:t>
      </w:r>
      <w:r w:rsidR="00747056" w:rsidRPr="00303044">
        <w:rPr>
          <w:rStyle w:val="FootnoteReference"/>
          <w:lang w:val="fr-CH"/>
        </w:rPr>
        <w:footnoteReference w:customMarkFollows="1" w:id="1"/>
        <w:t>i</w:t>
      </w:r>
      <w:r w:rsidR="00747056" w:rsidRPr="00303044">
        <w:rPr>
          <w:lang w:val="fr-CH"/>
        </w:rPr>
        <w:t xml:space="preserve"> a adopté des disposition</w:t>
      </w:r>
      <w:r w:rsidR="00465BBF" w:rsidRPr="00303044">
        <w:rPr>
          <w:lang w:val="fr-CH"/>
        </w:rPr>
        <w:t>s</w:t>
      </w:r>
      <w:r w:rsidR="00747056" w:rsidRPr="00303044">
        <w:rPr>
          <w:lang w:val="fr-CH"/>
        </w:rPr>
        <w:t xml:space="preserve"> visant à quantifier le numéro </w:t>
      </w:r>
      <w:r w:rsidR="00747056" w:rsidRPr="00303044">
        <w:rPr>
          <w:b/>
          <w:bCs/>
          <w:lang w:val="fr-CH"/>
        </w:rPr>
        <w:t>22.2</w:t>
      </w:r>
      <w:r w:rsidR="00747056" w:rsidRPr="00303044">
        <w:rPr>
          <w:lang w:val="fr-CH"/>
        </w:rPr>
        <w:t xml:space="preserve"> afin de protéger les réseaux </w:t>
      </w:r>
      <w:r w:rsidR="00587DA2" w:rsidRPr="00303044">
        <w:rPr>
          <w:lang w:val="fr-CH"/>
        </w:rPr>
        <w:t xml:space="preserve">à satellite OSG du SFS et du SRS </w:t>
      </w:r>
      <w:r w:rsidR="002C2006" w:rsidRPr="00303044">
        <w:rPr>
          <w:lang w:val="fr-CH"/>
        </w:rPr>
        <w:t>vis-à-vis des</w:t>
      </w:r>
      <w:r w:rsidR="00587DA2" w:rsidRPr="00303044">
        <w:rPr>
          <w:lang w:val="fr-CH"/>
        </w:rPr>
        <w:t xml:space="preserve"> systèmes à satellite</w:t>
      </w:r>
      <w:r w:rsidR="00B718BD" w:rsidRPr="00303044">
        <w:rPr>
          <w:lang w:val="fr-CH"/>
        </w:rPr>
        <w:t>s</w:t>
      </w:r>
      <w:r w:rsidR="00587DA2" w:rsidRPr="00303044">
        <w:rPr>
          <w:lang w:val="fr-CH"/>
        </w:rPr>
        <w:t xml:space="preserve"> non OSG du SFS dans la </w:t>
      </w:r>
      <w:r w:rsidR="0077479B" w:rsidRPr="00303044">
        <w:rPr>
          <w:lang w:val="fr-CH"/>
        </w:rPr>
        <w:t>gamme</w:t>
      </w:r>
      <w:r w:rsidR="00587DA2" w:rsidRPr="00303044">
        <w:rPr>
          <w:lang w:val="fr-CH"/>
        </w:rPr>
        <w:t xml:space="preserve"> de fréquences </w:t>
      </w:r>
      <w:r w:rsidRPr="00303044">
        <w:rPr>
          <w:lang w:val="fr-CH"/>
        </w:rPr>
        <w:t>37-51</w:t>
      </w:r>
      <w:r w:rsidR="0062379D" w:rsidRPr="00303044">
        <w:rPr>
          <w:lang w:val="fr-CH"/>
        </w:rPr>
        <w:t>,</w:t>
      </w:r>
      <w:r w:rsidRPr="00303044">
        <w:rPr>
          <w:lang w:val="fr-CH"/>
        </w:rPr>
        <w:t>4 GHz;</w:t>
      </w:r>
    </w:p>
    <w:p w14:paraId="5755560E" w14:textId="368C6460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b)</w:t>
      </w:r>
      <w:r w:rsidRPr="00303044">
        <w:rPr>
          <w:i/>
          <w:lang w:val="fr-CH"/>
        </w:rPr>
        <w:tab/>
      </w:r>
      <w:r w:rsidR="00587DA2" w:rsidRPr="00303044">
        <w:rPr>
          <w:lang w:val="fr-CH"/>
        </w:rPr>
        <w:t xml:space="preserve">que la Résolution </w:t>
      </w:r>
      <w:r w:rsidR="00F87D47" w:rsidRPr="00303044">
        <w:rPr>
          <w:b/>
          <w:lang w:val="fr-CH"/>
        </w:rPr>
        <w:t>[</w:t>
      </w:r>
      <w:r w:rsidR="00F87D47" w:rsidRPr="00303044">
        <w:rPr>
          <w:b/>
          <w:bCs/>
          <w:lang w:val="fr-CH"/>
        </w:rPr>
        <w:t>à déterminer</w:t>
      </w:r>
      <w:r w:rsidR="00F87D47" w:rsidRPr="00303044">
        <w:rPr>
          <w:b/>
          <w:lang w:val="fr-CH"/>
        </w:rPr>
        <w:t>] (CMR-19)</w:t>
      </w:r>
      <w:r w:rsidR="00F87D47" w:rsidRPr="00303044">
        <w:rPr>
          <w:lang w:val="fr-CH"/>
        </w:rPr>
        <w:t xml:space="preserve"> </w:t>
      </w:r>
      <w:r w:rsidR="00B16155" w:rsidRPr="00303044">
        <w:rPr>
          <w:lang w:val="fr-CH"/>
        </w:rPr>
        <w:t>indique les critères cumulatifs</w:t>
      </w:r>
      <w:r w:rsidR="005B1FAD" w:rsidRPr="00303044">
        <w:rPr>
          <w:lang w:val="fr-CH"/>
        </w:rPr>
        <w:t xml:space="preserve"> que les systèmes non OSG du SFS ne doivent pas dépasser </w:t>
      </w:r>
      <w:r w:rsidR="00B1119D" w:rsidRPr="00303044">
        <w:rPr>
          <w:lang w:val="fr-CH"/>
        </w:rPr>
        <w:t>afin de</w:t>
      </w:r>
      <w:r w:rsidR="005B1FAD" w:rsidRPr="00303044">
        <w:rPr>
          <w:lang w:val="fr-CH"/>
        </w:rPr>
        <w:t xml:space="preserve"> protége</w:t>
      </w:r>
      <w:bookmarkStart w:id="6" w:name="_GoBack"/>
      <w:bookmarkEnd w:id="6"/>
      <w:r w:rsidR="005B1FAD" w:rsidRPr="00303044">
        <w:rPr>
          <w:lang w:val="fr-CH"/>
        </w:rPr>
        <w:t xml:space="preserve">r les systèmes OSG du SFS et du SRS contre les brouillages dans la </w:t>
      </w:r>
      <w:r w:rsidR="00B1119D" w:rsidRPr="00303044">
        <w:rPr>
          <w:lang w:val="fr-CH"/>
        </w:rPr>
        <w:t>gamme</w:t>
      </w:r>
      <w:r w:rsidR="005B1FAD" w:rsidRPr="00303044">
        <w:rPr>
          <w:lang w:val="fr-CH"/>
        </w:rPr>
        <w:t xml:space="preserve"> de fréquences 37-51,4 GHz</w:t>
      </w:r>
      <w:r w:rsidRPr="00303044">
        <w:rPr>
          <w:lang w:val="fr-CH"/>
        </w:rPr>
        <w:t>;</w:t>
      </w:r>
    </w:p>
    <w:p w14:paraId="7FD34274" w14:textId="220219F4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c)</w:t>
      </w:r>
      <w:r w:rsidRPr="00303044">
        <w:rPr>
          <w:i/>
          <w:lang w:val="fr-CH"/>
        </w:rPr>
        <w:tab/>
      </w:r>
      <w:r w:rsidR="006546B6" w:rsidRPr="00303044">
        <w:rPr>
          <w:lang w:val="fr-CH"/>
        </w:rPr>
        <w:t>que la CMR-19</w:t>
      </w:r>
      <w:r w:rsidR="00D26214" w:rsidRPr="00303044">
        <w:rPr>
          <w:vertAlign w:val="superscript"/>
          <w:lang w:val="fr-CH"/>
        </w:rPr>
        <w:t>i</w:t>
      </w:r>
      <w:r w:rsidR="006546B6" w:rsidRPr="00303044">
        <w:rPr>
          <w:lang w:val="fr-CH"/>
        </w:rPr>
        <w:t xml:space="preserve"> </w:t>
      </w:r>
      <w:r w:rsidR="00C23249" w:rsidRPr="00303044">
        <w:rPr>
          <w:lang w:val="fr-CH"/>
        </w:rPr>
        <w:t xml:space="preserve">a </w:t>
      </w:r>
      <w:r w:rsidR="00B1119D" w:rsidRPr="00303044">
        <w:rPr>
          <w:lang w:val="fr-CH"/>
        </w:rPr>
        <w:t>incorporé par référence</w:t>
      </w:r>
      <w:r w:rsidR="00D26214" w:rsidRPr="00303044">
        <w:rPr>
          <w:lang w:val="fr-CH"/>
        </w:rPr>
        <w:t xml:space="preserve"> la </w:t>
      </w:r>
      <w:r w:rsidRPr="00303044">
        <w:rPr>
          <w:lang w:val="fr-CH"/>
        </w:rPr>
        <w:t>Recomm</w:t>
      </w:r>
      <w:r w:rsidR="00D26214" w:rsidRPr="00303044">
        <w:rPr>
          <w:lang w:val="fr-CH"/>
        </w:rPr>
        <w:t>a</w:t>
      </w:r>
      <w:r w:rsidRPr="00303044">
        <w:rPr>
          <w:lang w:val="fr-CH"/>
        </w:rPr>
        <w:t xml:space="preserve">ndation </w:t>
      </w:r>
      <w:r w:rsidR="00D26214" w:rsidRPr="00303044">
        <w:rPr>
          <w:lang w:val="fr-CH"/>
        </w:rPr>
        <w:t>UIT</w:t>
      </w:r>
      <w:r w:rsidRPr="00303044">
        <w:rPr>
          <w:lang w:val="fr-CH"/>
        </w:rPr>
        <w:t>-R. S.[50/40 GHZ SHARING METHODOLOGY] </w:t>
      </w:r>
      <w:r w:rsidR="00D26214" w:rsidRPr="00303044">
        <w:rPr>
          <w:lang w:val="fr-CH"/>
        </w:rPr>
        <w:t>pour définir la méthode et les critères de partage entre le</w:t>
      </w:r>
      <w:r w:rsidR="00B1119D" w:rsidRPr="00303044">
        <w:rPr>
          <w:lang w:val="fr-CH"/>
        </w:rPr>
        <w:t xml:space="preserve"> SFS </w:t>
      </w:r>
      <w:r w:rsidR="00D26214" w:rsidRPr="00303044">
        <w:rPr>
          <w:lang w:val="fr-CH"/>
        </w:rPr>
        <w:t>non</w:t>
      </w:r>
      <w:r w:rsidR="000923CA" w:rsidRPr="00303044">
        <w:rPr>
          <w:lang w:val="fr-CH"/>
        </w:rPr>
        <w:t> </w:t>
      </w:r>
      <w:r w:rsidR="00D26214" w:rsidRPr="00303044">
        <w:rPr>
          <w:lang w:val="fr-CH"/>
        </w:rPr>
        <w:t xml:space="preserve">OSG et les </w:t>
      </w:r>
      <w:r w:rsidR="00B1119D" w:rsidRPr="00303044">
        <w:rPr>
          <w:lang w:val="fr-CH"/>
        </w:rPr>
        <w:t>SFS</w:t>
      </w:r>
      <w:r w:rsidR="00D26214" w:rsidRPr="00303044">
        <w:rPr>
          <w:lang w:val="fr-CH"/>
        </w:rPr>
        <w:t xml:space="preserve"> OSG dans la </w:t>
      </w:r>
      <w:r w:rsidR="00B1119D" w:rsidRPr="00303044">
        <w:rPr>
          <w:lang w:val="fr-CH"/>
        </w:rPr>
        <w:t>gamme</w:t>
      </w:r>
      <w:r w:rsidR="00D26214" w:rsidRPr="00303044">
        <w:rPr>
          <w:lang w:val="fr-CH"/>
        </w:rPr>
        <w:t xml:space="preserve"> de fréquences </w:t>
      </w:r>
      <w:r w:rsidRPr="00303044">
        <w:rPr>
          <w:lang w:val="fr-CH"/>
        </w:rPr>
        <w:t>37-51</w:t>
      </w:r>
      <w:r w:rsidR="00D26214" w:rsidRPr="00303044">
        <w:rPr>
          <w:lang w:val="fr-CH"/>
        </w:rPr>
        <w:t>,</w:t>
      </w:r>
      <w:r w:rsidRPr="00303044">
        <w:rPr>
          <w:lang w:val="fr-CH"/>
        </w:rPr>
        <w:t>4 GHz;</w:t>
      </w:r>
    </w:p>
    <w:p w14:paraId="66A96781" w14:textId="181D7CF3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d)</w:t>
      </w:r>
      <w:r w:rsidRPr="00303044">
        <w:rPr>
          <w:i/>
          <w:lang w:val="fr-CH"/>
        </w:rPr>
        <w:tab/>
      </w:r>
      <w:r w:rsidR="00C21B7D" w:rsidRPr="00303044">
        <w:rPr>
          <w:lang w:val="fr-CH"/>
        </w:rPr>
        <w:t>que</w:t>
      </w:r>
      <w:r w:rsidRPr="00303044">
        <w:rPr>
          <w:lang w:val="fr-CH"/>
        </w:rPr>
        <w:t xml:space="preserve"> </w:t>
      </w:r>
      <w:r w:rsidR="00C21B7D" w:rsidRPr="00303044">
        <w:rPr>
          <w:lang w:val="fr-CH"/>
        </w:rPr>
        <w:t>le numéro</w:t>
      </w:r>
      <w:r w:rsidRPr="00303044">
        <w:rPr>
          <w:b/>
          <w:lang w:val="fr-CH"/>
        </w:rPr>
        <w:t xml:space="preserve"> 21.16</w:t>
      </w:r>
      <w:r w:rsidRPr="00303044">
        <w:rPr>
          <w:lang w:val="fr-CH"/>
        </w:rPr>
        <w:t xml:space="preserve"> </w:t>
      </w:r>
      <w:r w:rsidR="00F01B41" w:rsidRPr="00303044">
        <w:rPr>
          <w:lang w:val="fr-CH"/>
        </w:rPr>
        <w:t>ne fixe</w:t>
      </w:r>
      <w:r w:rsidR="00C21B7D" w:rsidRPr="00303044">
        <w:rPr>
          <w:lang w:val="fr-CH"/>
        </w:rPr>
        <w:t xml:space="preserve"> pas de limite </w:t>
      </w:r>
      <w:r w:rsidR="00EA374B" w:rsidRPr="00303044">
        <w:rPr>
          <w:lang w:val="fr-CH"/>
        </w:rPr>
        <w:t xml:space="preserve">de puissance surfacique aux satellites du SFS </w:t>
      </w:r>
      <w:r w:rsidR="009B191B" w:rsidRPr="00303044">
        <w:rPr>
          <w:lang w:val="fr-CH"/>
        </w:rPr>
        <w:t>pour protéger</w:t>
      </w:r>
      <w:r w:rsidR="00EA374B" w:rsidRPr="00303044">
        <w:rPr>
          <w:lang w:val="fr-CH"/>
        </w:rPr>
        <w:t xml:space="preserve"> les services fixe et mobile </w:t>
      </w:r>
      <w:r w:rsidR="00B1119D" w:rsidRPr="00303044">
        <w:rPr>
          <w:lang w:val="fr-CH"/>
        </w:rPr>
        <w:t>bénéficiant d'attributions</w:t>
      </w:r>
      <w:r w:rsidR="00EA374B" w:rsidRPr="00303044">
        <w:rPr>
          <w:lang w:val="fr-CH"/>
        </w:rPr>
        <w:t xml:space="preserve"> dans la bande </w:t>
      </w:r>
      <w:r w:rsidR="009F47C7" w:rsidRPr="00303044">
        <w:rPr>
          <w:lang w:val="fr-CH"/>
        </w:rPr>
        <w:t>de fréquences</w:t>
      </w:r>
      <w:r w:rsidR="000923CA" w:rsidRPr="00303044">
        <w:rPr>
          <w:lang w:val="fr-CH"/>
        </w:rPr>
        <w:t xml:space="preserve"> </w:t>
      </w:r>
      <w:r w:rsidRPr="00303044">
        <w:rPr>
          <w:lang w:val="fr-CH"/>
        </w:rPr>
        <w:t>71</w:t>
      </w:r>
      <w:r w:rsidR="00C61A95" w:rsidRPr="00303044">
        <w:rPr>
          <w:lang w:val="fr-CH"/>
        </w:rPr>
        <w:noBreakHyphen/>
      </w:r>
      <w:r w:rsidRPr="00303044">
        <w:rPr>
          <w:lang w:val="fr-CH"/>
        </w:rPr>
        <w:t>76</w:t>
      </w:r>
      <w:r w:rsidR="000923CA" w:rsidRPr="00303044">
        <w:rPr>
          <w:lang w:val="fr-CH"/>
        </w:rPr>
        <w:t> </w:t>
      </w:r>
      <w:r w:rsidRPr="00303044">
        <w:rPr>
          <w:lang w:val="fr-CH"/>
        </w:rPr>
        <w:t>GHz;</w:t>
      </w:r>
    </w:p>
    <w:p w14:paraId="0BF4BA60" w14:textId="176CFF24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e)</w:t>
      </w:r>
      <w:r w:rsidRPr="00303044">
        <w:rPr>
          <w:i/>
          <w:lang w:val="fr-CH"/>
        </w:rPr>
        <w:tab/>
      </w:r>
      <w:r w:rsidR="006B73B8" w:rsidRPr="00303044">
        <w:rPr>
          <w:lang w:val="fr-CH"/>
        </w:rPr>
        <w:t xml:space="preserve">que la bande de fréquences </w:t>
      </w:r>
      <w:r w:rsidRPr="00303044">
        <w:rPr>
          <w:lang w:val="fr-CH"/>
        </w:rPr>
        <w:t xml:space="preserve">86-92 GHz </w:t>
      </w:r>
      <w:r w:rsidR="006B73B8" w:rsidRPr="00303044">
        <w:rPr>
          <w:lang w:val="fr-CH"/>
        </w:rPr>
        <w:t xml:space="preserve">est attribuée à titre primaire </w:t>
      </w:r>
      <w:r w:rsidR="00C27554" w:rsidRPr="00303044">
        <w:rPr>
          <w:lang w:val="fr-CH"/>
        </w:rPr>
        <w:t>au</w:t>
      </w:r>
      <w:r w:rsidR="00C61A95" w:rsidRPr="00303044">
        <w:rPr>
          <w:lang w:val="fr-CH"/>
        </w:rPr>
        <w:t>x</w:t>
      </w:r>
      <w:r w:rsidR="00C27554" w:rsidRPr="00303044">
        <w:rPr>
          <w:lang w:val="fr-CH"/>
        </w:rPr>
        <w:t xml:space="preserve"> service</w:t>
      </w:r>
      <w:r w:rsidR="00C61A95" w:rsidRPr="00303044">
        <w:rPr>
          <w:lang w:val="fr-CH"/>
        </w:rPr>
        <w:t>s</w:t>
      </w:r>
      <w:r w:rsidR="00C27554" w:rsidRPr="00303044">
        <w:rPr>
          <w:lang w:val="fr-CH"/>
        </w:rPr>
        <w:t xml:space="preserve"> d'exploration de la Terre par satellite (passi</w:t>
      </w:r>
      <w:r w:rsidR="009F47C7" w:rsidRPr="00303044">
        <w:rPr>
          <w:lang w:val="fr-CH"/>
        </w:rPr>
        <w:t>ve</w:t>
      </w:r>
      <w:r w:rsidR="00C27554" w:rsidRPr="00303044">
        <w:rPr>
          <w:lang w:val="fr-CH"/>
        </w:rPr>
        <w:t>)</w:t>
      </w:r>
      <w:r w:rsidR="007A58DF" w:rsidRPr="00303044">
        <w:rPr>
          <w:lang w:val="fr-CH"/>
        </w:rPr>
        <w:t xml:space="preserve">, </w:t>
      </w:r>
      <w:r w:rsidR="009F47C7" w:rsidRPr="00303044">
        <w:rPr>
          <w:lang w:val="fr-CH"/>
        </w:rPr>
        <w:t>de</w:t>
      </w:r>
      <w:r w:rsidR="007A58DF" w:rsidRPr="00303044">
        <w:rPr>
          <w:lang w:val="fr-CH"/>
        </w:rPr>
        <w:t xml:space="preserve"> radioastronomie et de recherche spatiale (passi</w:t>
      </w:r>
      <w:r w:rsidR="009F47C7" w:rsidRPr="00303044">
        <w:rPr>
          <w:lang w:val="fr-CH"/>
        </w:rPr>
        <w:t>ve</w:t>
      </w:r>
      <w:r w:rsidR="007A58DF" w:rsidRPr="00303044">
        <w:rPr>
          <w:lang w:val="fr-CH"/>
        </w:rPr>
        <w:t xml:space="preserve">), </w:t>
      </w:r>
      <w:r w:rsidR="001340A0" w:rsidRPr="00303044">
        <w:rPr>
          <w:lang w:val="fr-CH"/>
        </w:rPr>
        <w:t xml:space="preserve">qui </w:t>
      </w:r>
      <w:r w:rsidR="007A58DF" w:rsidRPr="00303044">
        <w:rPr>
          <w:lang w:val="fr-CH"/>
        </w:rPr>
        <w:t>doivent être protégés;</w:t>
      </w:r>
    </w:p>
    <w:p w14:paraId="5F5B3649" w14:textId="09CA46CF" w:rsidR="00A84ED0" w:rsidRPr="00303044" w:rsidRDefault="00A84ED0" w:rsidP="005B762C">
      <w:pPr>
        <w:rPr>
          <w:lang w:val="fr-CH"/>
        </w:rPr>
      </w:pPr>
      <w:r w:rsidRPr="00303044">
        <w:rPr>
          <w:i/>
          <w:lang w:val="fr-CH"/>
        </w:rPr>
        <w:t>f)</w:t>
      </w:r>
      <w:r w:rsidRPr="00303044">
        <w:rPr>
          <w:i/>
          <w:lang w:val="fr-CH"/>
        </w:rPr>
        <w:tab/>
      </w:r>
      <w:r w:rsidR="00690329" w:rsidRPr="00303044">
        <w:rPr>
          <w:lang w:val="fr-CH"/>
        </w:rPr>
        <w:t>qu'aux termes du numéro</w:t>
      </w:r>
      <w:r w:rsidRPr="00303044">
        <w:rPr>
          <w:b/>
          <w:lang w:val="fr-CH"/>
        </w:rPr>
        <w:t xml:space="preserve"> 5.149</w:t>
      </w:r>
      <w:r w:rsidR="00690329" w:rsidRPr="00303044">
        <w:rPr>
          <w:lang w:val="fr-CH"/>
        </w:rPr>
        <w:t xml:space="preserve">, </w:t>
      </w:r>
      <w:r w:rsidR="00BA0518" w:rsidRPr="00303044">
        <w:rPr>
          <w:lang w:val="fr-CH"/>
        </w:rPr>
        <w:t>d</w:t>
      </w:r>
      <w:r w:rsidR="00AE2396" w:rsidRPr="00303044">
        <w:rPr>
          <w:lang w:val="fr-CH"/>
        </w:rPr>
        <w:t>es observations de radioastronomie sont effectuées dans la bande de fréquences 76-86 GHz, et qu'il pourrait être nécessaire d</w:t>
      </w:r>
      <w:r w:rsidR="004044CF" w:rsidRPr="00303044">
        <w:rPr>
          <w:lang w:val="fr-CH"/>
        </w:rPr>
        <w:t>e définir</w:t>
      </w:r>
      <w:r w:rsidR="00AE2396" w:rsidRPr="00303044">
        <w:rPr>
          <w:lang w:val="fr-CH"/>
        </w:rPr>
        <w:t xml:space="preserve"> des mesures d'atténuation à cet égard,</w:t>
      </w:r>
    </w:p>
    <w:p w14:paraId="221F6EF4" w14:textId="77777777" w:rsidR="008B4F1F" w:rsidRPr="00303044" w:rsidRDefault="008B4F1F" w:rsidP="005B762C">
      <w:pPr>
        <w:pStyle w:val="Call"/>
        <w:rPr>
          <w:lang w:val="fr-CH"/>
        </w:rPr>
      </w:pPr>
      <w:r w:rsidRPr="00303044">
        <w:rPr>
          <w:lang w:val="fr-CH"/>
        </w:rPr>
        <w:t>décide d'inviter l'UIT-R</w:t>
      </w:r>
    </w:p>
    <w:p w14:paraId="2AF04356" w14:textId="77777777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à mener, et à achever à temps pour la CMR-23:</w:t>
      </w:r>
    </w:p>
    <w:p w14:paraId="0E918583" w14:textId="1D2CB2CD" w:rsidR="00A84ED0" w:rsidRPr="00303044" w:rsidRDefault="008B4F1F" w:rsidP="005B762C">
      <w:pPr>
        <w:rPr>
          <w:lang w:val="fr-CH"/>
        </w:rPr>
      </w:pPr>
      <w:r w:rsidRPr="00303044">
        <w:rPr>
          <w:lang w:val="fr-CH"/>
        </w:rPr>
        <w:t>1</w:t>
      </w:r>
      <w:r w:rsidR="004C00F9" w:rsidRPr="00303044">
        <w:rPr>
          <w:lang w:val="fr-CH"/>
        </w:rPr>
        <w:tab/>
      </w:r>
      <w:r w:rsidR="00E7654C" w:rsidRPr="00303044">
        <w:rPr>
          <w:lang w:val="fr-CH"/>
        </w:rPr>
        <w:t>d</w:t>
      </w:r>
      <w:r w:rsidRPr="00303044">
        <w:rPr>
          <w:lang w:val="fr-CH"/>
        </w:rPr>
        <w:t>es études concernant les besoins de spectre supplémentaires pour le développement</w:t>
      </w:r>
      <w:r w:rsidR="00BA2FD6" w:rsidRPr="00303044">
        <w:rPr>
          <w:lang w:val="fr-CH"/>
        </w:rPr>
        <w:t xml:space="preserve"> de systèmes non OSG</w:t>
      </w:r>
      <w:r w:rsidRPr="00303044">
        <w:rPr>
          <w:lang w:val="fr-CH"/>
        </w:rPr>
        <w:t xml:space="preserve"> du service fixe par satellite</w:t>
      </w:r>
      <w:r w:rsidR="0040468D" w:rsidRPr="00303044">
        <w:rPr>
          <w:lang w:val="fr-CH"/>
        </w:rPr>
        <w:t xml:space="preserve"> dans les bandes de fréquences 71-76 GHz et 81</w:t>
      </w:r>
      <w:r w:rsidR="0040468D" w:rsidRPr="00303044">
        <w:rPr>
          <w:lang w:val="fr-CH"/>
        </w:rPr>
        <w:noBreakHyphen/>
        <w:t>86 GHz</w:t>
      </w:r>
      <w:r w:rsidRPr="00303044">
        <w:rPr>
          <w:lang w:val="fr-CH"/>
        </w:rPr>
        <w:t xml:space="preserve">, </w:t>
      </w:r>
      <w:r w:rsidR="00632825" w:rsidRPr="00303044">
        <w:rPr>
          <w:lang w:val="fr-CH"/>
        </w:rPr>
        <w:t>ainsi que les</w:t>
      </w:r>
      <w:r w:rsidRPr="00303044">
        <w:rPr>
          <w:lang w:val="fr-CH"/>
        </w:rPr>
        <w:t xml:space="preserve"> conditions techniques </w:t>
      </w:r>
      <w:r w:rsidR="00430F9C" w:rsidRPr="00303044">
        <w:rPr>
          <w:lang w:val="fr-CH"/>
        </w:rPr>
        <w:t xml:space="preserve">de leur </w:t>
      </w:r>
      <w:r w:rsidR="004044CF" w:rsidRPr="00303044">
        <w:rPr>
          <w:lang w:val="fr-CH"/>
        </w:rPr>
        <w:t>utilisation</w:t>
      </w:r>
      <w:r w:rsidR="00430F9C" w:rsidRPr="00303044">
        <w:rPr>
          <w:lang w:val="fr-CH"/>
        </w:rPr>
        <w:t xml:space="preserve"> </w:t>
      </w:r>
      <w:r w:rsidRPr="00303044">
        <w:rPr>
          <w:lang w:val="fr-CH"/>
        </w:rPr>
        <w:t>et la possibilité d'optimiser l'utilisation de ces bandes de fréquences en vue d'améliorer l'efficacité d'utilisation du spectre;</w:t>
      </w:r>
    </w:p>
    <w:p w14:paraId="6929FFF1" w14:textId="25B982CC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2</w:t>
      </w:r>
      <w:r w:rsidRPr="00303044">
        <w:rPr>
          <w:lang w:val="fr-CH"/>
        </w:rPr>
        <w:tab/>
      </w:r>
      <w:r w:rsidR="00E7654C" w:rsidRPr="00303044">
        <w:rPr>
          <w:lang w:val="fr-CH"/>
        </w:rPr>
        <w:t>d</w:t>
      </w:r>
      <w:r w:rsidR="00632825" w:rsidRPr="00303044">
        <w:rPr>
          <w:lang w:val="fr-CH"/>
        </w:rPr>
        <w:t xml:space="preserve">es études concernant les </w:t>
      </w:r>
      <w:r w:rsidR="007176A4" w:rsidRPr="00303044">
        <w:rPr>
          <w:lang w:val="fr-CH"/>
        </w:rPr>
        <w:t>questions</w:t>
      </w:r>
      <w:r w:rsidR="00632825" w:rsidRPr="00303044">
        <w:rPr>
          <w:lang w:val="fr-CH"/>
        </w:rPr>
        <w:t xml:space="preserve"> techniques et opérationnel</w:t>
      </w:r>
      <w:r w:rsidR="007176A4" w:rsidRPr="00303044">
        <w:rPr>
          <w:lang w:val="fr-CH"/>
        </w:rPr>
        <w:t>le</w:t>
      </w:r>
      <w:r w:rsidR="00632825" w:rsidRPr="00303044">
        <w:rPr>
          <w:lang w:val="fr-CH"/>
        </w:rPr>
        <w:t>s lié</w:t>
      </w:r>
      <w:r w:rsidR="007176A4" w:rsidRPr="00303044">
        <w:rPr>
          <w:lang w:val="fr-CH"/>
        </w:rPr>
        <w:t>e</w:t>
      </w:r>
      <w:r w:rsidR="00632825" w:rsidRPr="00303044">
        <w:rPr>
          <w:lang w:val="fr-CH"/>
        </w:rPr>
        <w:t xml:space="preserve">s à l'exploitation des liaisons de connexion pour les systèmes à satellites non OSG du SFS dans les bandes de fréquences 71-76 GHz (espace vers Terre, ainsi que la </w:t>
      </w:r>
      <w:r w:rsidR="007176A4" w:rsidRPr="00303044">
        <w:rPr>
          <w:lang w:val="fr-CH"/>
        </w:rPr>
        <w:t xml:space="preserve">possibilité de faire </w:t>
      </w:r>
      <w:r w:rsidR="00632825" w:rsidRPr="00303044">
        <w:rPr>
          <w:lang w:val="fr-CH"/>
        </w:rPr>
        <w:t xml:space="preserve">une nouvelle attribution </w:t>
      </w:r>
      <w:r w:rsidR="00632825" w:rsidRPr="00303044">
        <w:rPr>
          <w:lang w:val="fr-CH"/>
        </w:rPr>
        <w:lastRenderedPageBreak/>
        <w:t>pour l'exploitation de</w:t>
      </w:r>
      <w:r w:rsidR="00D02527" w:rsidRPr="00303044">
        <w:rPr>
          <w:lang w:val="fr-CH"/>
        </w:rPr>
        <w:t xml:space="preserve"> ces liaisons</w:t>
      </w:r>
      <w:r w:rsidR="00177252" w:rsidRPr="00303044">
        <w:rPr>
          <w:lang w:val="fr-CH"/>
        </w:rPr>
        <w:t xml:space="preserve"> en bandes inversées</w:t>
      </w:r>
      <w:r w:rsidR="005C013E" w:rsidRPr="00303044">
        <w:rPr>
          <w:lang w:val="fr-CH"/>
        </w:rPr>
        <w:t xml:space="preserve"> dans le sens Terre vers espace) et 81-86 GHz (Terre vers espace), et l'examen </w:t>
      </w:r>
      <w:r w:rsidR="003A1E98" w:rsidRPr="00303044">
        <w:rPr>
          <w:lang w:val="fr-CH"/>
        </w:rPr>
        <w:t>de dispositions réglementaires</w:t>
      </w:r>
      <w:r w:rsidR="005C013E" w:rsidRPr="00303044">
        <w:rPr>
          <w:lang w:val="fr-CH"/>
        </w:rPr>
        <w:t xml:space="preserve"> régissant, </w:t>
      </w:r>
      <w:r w:rsidR="003A1E98" w:rsidRPr="00303044">
        <w:rPr>
          <w:lang w:val="fr-CH"/>
        </w:rPr>
        <w:t>dans tout ou</w:t>
      </w:r>
      <w:r w:rsidR="005C013E" w:rsidRPr="00303044">
        <w:rPr>
          <w:lang w:val="fr-CH"/>
        </w:rPr>
        <w:t xml:space="preserve"> partie de ces bandes de fréquences, la coordination et le partage des fréquences entre</w:t>
      </w:r>
      <w:r w:rsidR="00C96460" w:rsidRPr="00303044">
        <w:rPr>
          <w:lang w:val="fr-CH"/>
        </w:rPr>
        <w:t xml:space="preserve"> d'une part</w:t>
      </w:r>
      <w:r w:rsidR="005C013E" w:rsidRPr="00303044">
        <w:rPr>
          <w:lang w:val="fr-CH"/>
        </w:rPr>
        <w:t xml:space="preserve"> </w:t>
      </w:r>
      <w:r w:rsidR="002D6A99" w:rsidRPr="00303044">
        <w:rPr>
          <w:lang w:val="fr-CH"/>
        </w:rPr>
        <w:t>d</w:t>
      </w:r>
      <w:r w:rsidR="005C013E" w:rsidRPr="00303044">
        <w:rPr>
          <w:lang w:val="fr-CH"/>
        </w:rPr>
        <w:t>es systèmes</w:t>
      </w:r>
      <w:r w:rsidR="000923CA" w:rsidRPr="00303044">
        <w:rPr>
          <w:lang w:val="fr-CH"/>
        </w:rPr>
        <w:t xml:space="preserve"> </w:t>
      </w:r>
      <w:r w:rsidR="005C013E" w:rsidRPr="00303044">
        <w:rPr>
          <w:lang w:val="fr-CH"/>
        </w:rPr>
        <w:t>non</w:t>
      </w:r>
      <w:r w:rsidR="000923CA" w:rsidRPr="00303044">
        <w:rPr>
          <w:lang w:val="fr-CH"/>
        </w:rPr>
        <w:t> </w:t>
      </w:r>
      <w:r w:rsidR="005C013E" w:rsidRPr="00303044">
        <w:rPr>
          <w:lang w:val="fr-CH"/>
        </w:rPr>
        <w:t>OSG et</w:t>
      </w:r>
      <w:r w:rsidR="00C96460" w:rsidRPr="00303044">
        <w:rPr>
          <w:lang w:val="fr-CH"/>
        </w:rPr>
        <w:t xml:space="preserve"> d'autre part</w:t>
      </w:r>
      <w:r w:rsidR="005C013E" w:rsidRPr="00303044">
        <w:rPr>
          <w:lang w:val="fr-CH"/>
        </w:rPr>
        <w:t xml:space="preserve"> les systèmes OSG ou d'autres systèmes non OSG du SFS, du </w:t>
      </w:r>
      <w:r w:rsidR="00105141" w:rsidRPr="00303044">
        <w:rPr>
          <w:lang w:val="fr-CH"/>
        </w:rPr>
        <w:t>service mobile par satellite (SMS)</w:t>
      </w:r>
      <w:r w:rsidR="005C013E" w:rsidRPr="00303044">
        <w:rPr>
          <w:lang w:val="fr-CH"/>
        </w:rPr>
        <w:t xml:space="preserve"> et du SR</w:t>
      </w:r>
      <w:r w:rsidR="00105141" w:rsidRPr="00303044">
        <w:rPr>
          <w:lang w:val="fr-CH"/>
        </w:rPr>
        <w:t xml:space="preserve">S </w:t>
      </w:r>
      <w:r w:rsidR="009748FF" w:rsidRPr="00303044">
        <w:rPr>
          <w:lang w:val="fr-CH"/>
        </w:rPr>
        <w:t xml:space="preserve">et </w:t>
      </w:r>
      <w:r w:rsidR="00105141" w:rsidRPr="00303044">
        <w:rPr>
          <w:lang w:val="fr-CH"/>
        </w:rPr>
        <w:t>leurs stations terriennes propres</w:t>
      </w:r>
      <w:r w:rsidR="003D6D13" w:rsidRPr="00303044">
        <w:rPr>
          <w:lang w:val="fr-CH"/>
        </w:rPr>
        <w:t xml:space="preserve">, </w:t>
      </w:r>
      <w:r w:rsidR="00A521B8" w:rsidRPr="00303044">
        <w:rPr>
          <w:lang w:val="fr-CH"/>
        </w:rPr>
        <w:t>en gardant à l'esprit que</w:t>
      </w:r>
      <w:r w:rsidR="003D6D13" w:rsidRPr="00303044">
        <w:rPr>
          <w:lang w:val="fr-CH"/>
        </w:rPr>
        <w:t xml:space="preserve"> ces utilisations </w:t>
      </w:r>
      <w:r w:rsidR="00A521B8" w:rsidRPr="00303044">
        <w:rPr>
          <w:lang w:val="fr-CH"/>
        </w:rPr>
        <w:t xml:space="preserve">vont </w:t>
      </w:r>
      <w:r w:rsidR="00CA7D7F" w:rsidRPr="00303044">
        <w:rPr>
          <w:lang w:val="fr-CH"/>
        </w:rPr>
        <w:t xml:space="preserve">s'accroître </w:t>
      </w:r>
      <w:r w:rsidR="00A521B8" w:rsidRPr="00303044">
        <w:rPr>
          <w:lang w:val="fr-CH"/>
        </w:rPr>
        <w:t xml:space="preserve">à l'avenir </w:t>
      </w:r>
      <w:r w:rsidR="003D6D13" w:rsidRPr="00303044">
        <w:rPr>
          <w:lang w:val="fr-CH"/>
        </w:rPr>
        <w:t xml:space="preserve">et </w:t>
      </w:r>
      <w:r w:rsidR="00A521B8" w:rsidRPr="00303044">
        <w:rPr>
          <w:lang w:val="fr-CH"/>
        </w:rPr>
        <w:t>qu'il est nécessaire</w:t>
      </w:r>
      <w:r w:rsidR="003D6D13" w:rsidRPr="00303044">
        <w:rPr>
          <w:lang w:val="fr-CH"/>
        </w:rPr>
        <w:t xml:space="preserve"> de garantir le</w:t>
      </w:r>
      <w:r w:rsidR="00C76CB1" w:rsidRPr="00303044">
        <w:rPr>
          <w:lang w:val="fr-CH"/>
        </w:rPr>
        <w:t>ur</w:t>
      </w:r>
      <w:r w:rsidR="003D6D13" w:rsidRPr="00303044">
        <w:rPr>
          <w:lang w:val="fr-CH"/>
        </w:rPr>
        <w:t xml:space="preserve"> protection;</w:t>
      </w:r>
    </w:p>
    <w:p w14:paraId="0B4CAACD" w14:textId="50D940CC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3</w:t>
      </w:r>
      <w:r w:rsidRPr="00303044">
        <w:rPr>
          <w:lang w:val="fr-CH"/>
        </w:rPr>
        <w:tab/>
      </w:r>
      <w:r w:rsidR="00E7654C" w:rsidRPr="00303044">
        <w:rPr>
          <w:lang w:val="fr-CH"/>
        </w:rPr>
        <w:t>d</w:t>
      </w:r>
      <w:r w:rsidR="00B80576" w:rsidRPr="00303044">
        <w:rPr>
          <w:lang w:val="fr-CH"/>
        </w:rPr>
        <w:t xml:space="preserve">es études </w:t>
      </w:r>
      <w:r w:rsidR="00D51180" w:rsidRPr="00303044">
        <w:rPr>
          <w:lang w:val="fr-CH"/>
        </w:rPr>
        <w:t>de</w:t>
      </w:r>
      <w:r w:rsidR="00B80576" w:rsidRPr="00303044">
        <w:rPr>
          <w:lang w:val="fr-CH"/>
        </w:rPr>
        <w:t xml:space="preserve"> partage et </w:t>
      </w:r>
      <w:r w:rsidR="00D51180" w:rsidRPr="00303044">
        <w:rPr>
          <w:lang w:val="fr-CH"/>
        </w:rPr>
        <w:t>de</w:t>
      </w:r>
      <w:r w:rsidR="00B80576" w:rsidRPr="00303044">
        <w:rPr>
          <w:lang w:val="fr-CH"/>
        </w:rPr>
        <w:t xml:space="preserve"> compatibilité entre les </w:t>
      </w:r>
      <w:r w:rsidR="00AE4672" w:rsidRPr="00303044">
        <w:rPr>
          <w:lang w:val="fr-CH"/>
        </w:rPr>
        <w:t xml:space="preserve">liaisons de </w:t>
      </w:r>
      <w:r w:rsidR="00B80576" w:rsidRPr="00303044">
        <w:rPr>
          <w:lang w:val="fr-CH"/>
        </w:rPr>
        <w:t>connexions des systèmes</w:t>
      </w:r>
      <w:r w:rsidR="00AE4672" w:rsidRPr="00303044">
        <w:rPr>
          <w:lang w:val="fr-CH"/>
        </w:rPr>
        <w:t xml:space="preserve"> à satellites</w:t>
      </w:r>
      <w:r w:rsidR="00B80576" w:rsidRPr="00303044">
        <w:rPr>
          <w:lang w:val="fr-CH"/>
        </w:rPr>
        <w:t xml:space="preserve"> non OSG du SFS dans les bandes de fréquences 71-76 GHz (espace vers Terre, ainsi qu'une nouvelle attribution possible pour l'exploitation en bandes inversées dans le sens Terre vers espace) et 81-86 GHz (Terre vers espace)</w:t>
      </w:r>
      <w:r w:rsidR="001B6B47" w:rsidRPr="00303044">
        <w:rPr>
          <w:lang w:val="fr-CH"/>
        </w:rPr>
        <w:t xml:space="preserve"> et d'autres services </w:t>
      </w:r>
      <w:r w:rsidR="00D757DD" w:rsidRPr="00303044">
        <w:rPr>
          <w:lang w:val="fr-CH"/>
        </w:rPr>
        <w:t>existants</w:t>
      </w:r>
      <w:r w:rsidR="001B6B47" w:rsidRPr="00303044">
        <w:rPr>
          <w:lang w:val="fr-CH"/>
        </w:rPr>
        <w:t>, notamment les services fixe et mobile dans ces bandes, en gardant à l'esprit qu'il est nécessaire de garantir la protection de ces services;</w:t>
      </w:r>
    </w:p>
    <w:p w14:paraId="174143AE" w14:textId="1D071069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4</w:t>
      </w:r>
      <w:r w:rsidRPr="00303044">
        <w:rPr>
          <w:lang w:val="fr-CH"/>
        </w:rPr>
        <w:tab/>
      </w:r>
      <w:r w:rsidR="007D7FFB" w:rsidRPr="00303044">
        <w:rPr>
          <w:lang w:val="fr-CH"/>
        </w:rPr>
        <w:t xml:space="preserve">les études à mener au titre </w:t>
      </w:r>
      <w:r w:rsidR="008E74EA" w:rsidRPr="00303044">
        <w:rPr>
          <w:lang w:val="fr-CH"/>
        </w:rPr>
        <w:t>du point</w:t>
      </w:r>
      <w:r w:rsidR="00D558E8" w:rsidRPr="00303044">
        <w:rPr>
          <w:lang w:val="fr-CH"/>
        </w:rPr>
        <w:t xml:space="preserve"> 2 du </w:t>
      </w:r>
      <w:r w:rsidR="00D558E8" w:rsidRPr="00303044">
        <w:rPr>
          <w:i/>
          <w:iCs/>
          <w:lang w:val="fr-CH"/>
        </w:rPr>
        <w:t>décide d'inviter l'UIT-R</w:t>
      </w:r>
      <w:r w:rsidRPr="00303044">
        <w:rPr>
          <w:lang w:val="fr-CH"/>
        </w:rPr>
        <w:t xml:space="preserve"> </w:t>
      </w:r>
      <w:r w:rsidR="00D558E8" w:rsidRPr="00303044">
        <w:rPr>
          <w:iCs/>
          <w:lang w:val="fr-CH"/>
        </w:rPr>
        <w:t>ci-dessus</w:t>
      </w:r>
      <w:r w:rsidRPr="00303044">
        <w:rPr>
          <w:lang w:val="fr-CH"/>
        </w:rPr>
        <w:t xml:space="preserve"> </w:t>
      </w:r>
      <w:r w:rsidR="00D558E8" w:rsidRPr="00303044">
        <w:rPr>
          <w:lang w:val="fr-CH"/>
        </w:rPr>
        <w:t>devront tenir compte des méthodes adoptées par la CMR-19</w:t>
      </w:r>
      <w:r w:rsidR="00D558E8" w:rsidRPr="00303044">
        <w:rPr>
          <w:vertAlign w:val="superscript"/>
          <w:lang w:val="fr-CH"/>
        </w:rPr>
        <w:t xml:space="preserve">i </w:t>
      </w:r>
      <w:r w:rsidR="00D558E8" w:rsidRPr="00303044">
        <w:rPr>
          <w:lang w:val="fr-CH"/>
        </w:rPr>
        <w:t>à l'égard de la bande de fréquences</w:t>
      </w:r>
      <w:r w:rsidRPr="00303044">
        <w:rPr>
          <w:lang w:val="fr-CH"/>
        </w:rPr>
        <w:t xml:space="preserve"> 37</w:t>
      </w:r>
      <w:r w:rsidR="00D558E8" w:rsidRPr="00303044">
        <w:rPr>
          <w:lang w:val="fr-CH"/>
        </w:rPr>
        <w:t>,</w:t>
      </w:r>
      <w:r w:rsidRPr="00303044">
        <w:rPr>
          <w:lang w:val="fr-CH"/>
        </w:rPr>
        <w:t>5</w:t>
      </w:r>
      <w:r w:rsidR="00A64175" w:rsidRPr="00303044">
        <w:rPr>
          <w:lang w:val="fr-CH"/>
        </w:rPr>
        <w:noBreakHyphen/>
      </w:r>
      <w:r w:rsidRPr="00303044">
        <w:rPr>
          <w:lang w:val="fr-CH"/>
        </w:rPr>
        <w:t>51</w:t>
      </w:r>
      <w:r w:rsidR="00D558E8" w:rsidRPr="00303044">
        <w:rPr>
          <w:lang w:val="fr-CH"/>
        </w:rPr>
        <w:t>,</w:t>
      </w:r>
      <w:r w:rsidRPr="00303044">
        <w:rPr>
          <w:lang w:val="fr-CH"/>
        </w:rPr>
        <w:t>4</w:t>
      </w:r>
      <w:r w:rsidR="00D558E8" w:rsidRPr="00303044">
        <w:rPr>
          <w:lang w:val="fr-CH"/>
        </w:rPr>
        <w:t> </w:t>
      </w:r>
      <w:r w:rsidRPr="00303044">
        <w:rPr>
          <w:lang w:val="fr-CH"/>
        </w:rPr>
        <w:t>GHz;</w:t>
      </w:r>
    </w:p>
    <w:p w14:paraId="64609B12" w14:textId="005F40B6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5</w:t>
      </w:r>
      <w:r w:rsidRPr="00303044">
        <w:rPr>
          <w:lang w:val="fr-CH"/>
        </w:rPr>
        <w:tab/>
      </w:r>
      <w:r w:rsidR="00E7654C" w:rsidRPr="00303044">
        <w:rPr>
          <w:lang w:val="fr-CH"/>
        </w:rPr>
        <w:t>d</w:t>
      </w:r>
      <w:r w:rsidR="004C76C8" w:rsidRPr="00303044">
        <w:rPr>
          <w:lang w:val="fr-CH"/>
        </w:rPr>
        <w:t xml:space="preserve">es études concernant d'éventuelles révisions de la </w:t>
      </w:r>
      <w:r w:rsidRPr="00303044">
        <w:rPr>
          <w:lang w:val="fr-CH"/>
        </w:rPr>
        <w:t>R</w:t>
      </w:r>
      <w:r w:rsidR="004C76C8" w:rsidRPr="00303044">
        <w:rPr>
          <w:lang w:val="fr-CH"/>
        </w:rPr>
        <w:t>é</w:t>
      </w:r>
      <w:r w:rsidRPr="00303044">
        <w:rPr>
          <w:lang w:val="fr-CH"/>
        </w:rPr>
        <w:t xml:space="preserve">solution </w:t>
      </w:r>
      <w:r w:rsidRPr="00303044">
        <w:rPr>
          <w:b/>
          <w:bCs/>
          <w:lang w:val="fr-CH"/>
        </w:rPr>
        <w:t>750 (R</w:t>
      </w:r>
      <w:r w:rsidR="004C76C8" w:rsidRPr="00303044">
        <w:rPr>
          <w:b/>
          <w:bCs/>
          <w:lang w:val="fr-CH"/>
        </w:rPr>
        <w:t>é</w:t>
      </w:r>
      <w:r w:rsidRPr="00303044">
        <w:rPr>
          <w:b/>
          <w:bCs/>
          <w:lang w:val="fr-CH"/>
        </w:rPr>
        <w:t>v.</w:t>
      </w:r>
      <w:r w:rsidR="004C76C8" w:rsidRPr="00303044">
        <w:rPr>
          <w:b/>
          <w:bCs/>
          <w:lang w:val="fr-CH"/>
        </w:rPr>
        <w:t>CMR</w:t>
      </w:r>
      <w:r w:rsidRPr="00303044">
        <w:rPr>
          <w:b/>
          <w:bCs/>
          <w:lang w:val="fr-CH"/>
        </w:rPr>
        <w:t>-[19])</w:t>
      </w:r>
      <w:r w:rsidRPr="00303044">
        <w:rPr>
          <w:lang w:val="fr-CH"/>
        </w:rPr>
        <w:t xml:space="preserve"> </w:t>
      </w:r>
      <w:r w:rsidR="004C76C8" w:rsidRPr="00303044">
        <w:rPr>
          <w:lang w:val="fr-CH"/>
        </w:rPr>
        <w:t xml:space="preserve">en vue de protéger </w:t>
      </w:r>
      <w:r w:rsidR="00327BBB" w:rsidRPr="00303044">
        <w:rPr>
          <w:lang w:val="fr-CH"/>
        </w:rPr>
        <w:t>le service d'exploration de la Terre par satellite (passi</w:t>
      </w:r>
      <w:r w:rsidR="00447984" w:rsidRPr="00303044">
        <w:rPr>
          <w:lang w:val="fr-CH"/>
        </w:rPr>
        <w:t>ve</w:t>
      </w:r>
      <w:r w:rsidR="00327BBB" w:rsidRPr="00303044">
        <w:rPr>
          <w:lang w:val="fr-CH"/>
        </w:rPr>
        <w:t>) et le service de recherche spatiale (passi</w:t>
      </w:r>
      <w:r w:rsidR="00447984" w:rsidRPr="00303044">
        <w:rPr>
          <w:lang w:val="fr-CH"/>
        </w:rPr>
        <w:t>ve</w:t>
      </w:r>
      <w:r w:rsidR="00327BBB" w:rsidRPr="00303044">
        <w:rPr>
          <w:lang w:val="fr-CH"/>
        </w:rPr>
        <w:t>)</w:t>
      </w:r>
      <w:r w:rsidR="00D81DAE" w:rsidRPr="00303044">
        <w:rPr>
          <w:lang w:val="fr-CH"/>
        </w:rPr>
        <w:t xml:space="preserve"> </w:t>
      </w:r>
      <w:r w:rsidR="00327BBB" w:rsidRPr="00303044">
        <w:rPr>
          <w:lang w:val="fr-CH"/>
        </w:rPr>
        <w:t>dans l</w:t>
      </w:r>
      <w:r w:rsidR="00A93DB7" w:rsidRPr="00303044">
        <w:rPr>
          <w:lang w:val="fr-CH"/>
        </w:rPr>
        <w:t>a</w:t>
      </w:r>
      <w:r w:rsidR="00327BBB" w:rsidRPr="00303044">
        <w:rPr>
          <w:lang w:val="fr-CH"/>
        </w:rPr>
        <w:t xml:space="preserve"> bande de fréquences 86-92 GHz</w:t>
      </w:r>
      <w:r w:rsidR="00F95CDA" w:rsidRPr="00303044">
        <w:rPr>
          <w:lang w:val="fr-CH"/>
        </w:rPr>
        <w:t xml:space="preserve"> contre les émissions du SFS non OSG</w:t>
      </w:r>
      <w:r w:rsidRPr="00303044">
        <w:rPr>
          <w:lang w:val="fr-CH"/>
        </w:rPr>
        <w:t>;</w:t>
      </w:r>
    </w:p>
    <w:p w14:paraId="4BB8D30A" w14:textId="259B5C87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6</w:t>
      </w:r>
      <w:r w:rsidRPr="00303044">
        <w:rPr>
          <w:lang w:val="fr-CH"/>
        </w:rPr>
        <w:tab/>
        <w:t>des études visant à garantir la protection du service de radioastronomie dans l</w:t>
      </w:r>
      <w:r w:rsidR="00910E19" w:rsidRPr="00303044">
        <w:rPr>
          <w:lang w:val="fr-CH"/>
        </w:rPr>
        <w:t>a</w:t>
      </w:r>
      <w:r w:rsidRPr="00303044">
        <w:rPr>
          <w:lang w:val="fr-CH"/>
        </w:rPr>
        <w:t xml:space="preserve"> bande de fréquences</w:t>
      </w:r>
      <w:r w:rsidR="000923CA" w:rsidRPr="00303044">
        <w:rPr>
          <w:lang w:val="fr-CH"/>
        </w:rPr>
        <w:t xml:space="preserve"> </w:t>
      </w:r>
      <w:r w:rsidR="00960066" w:rsidRPr="00303044">
        <w:rPr>
          <w:lang w:val="fr-CH"/>
        </w:rPr>
        <w:t>76-86 GHz</w:t>
      </w:r>
      <w:r w:rsidRPr="00303044">
        <w:rPr>
          <w:lang w:val="fr-CH"/>
        </w:rPr>
        <w:t xml:space="preserve"> contre les émissions</w:t>
      </w:r>
      <w:r w:rsidR="00863C7C" w:rsidRPr="00303044">
        <w:rPr>
          <w:lang w:val="fr-CH"/>
        </w:rPr>
        <w:t xml:space="preserve"> </w:t>
      </w:r>
      <w:r w:rsidR="00910E19" w:rsidRPr="00303044">
        <w:rPr>
          <w:lang w:val="fr-CH"/>
        </w:rPr>
        <w:t>du SFS</w:t>
      </w:r>
      <w:r w:rsidR="00863C7C" w:rsidRPr="00303044">
        <w:rPr>
          <w:lang w:val="fr-CH"/>
        </w:rPr>
        <w:t xml:space="preserve"> non OSG</w:t>
      </w:r>
      <w:r w:rsidRPr="00303044">
        <w:rPr>
          <w:lang w:val="fr-CH"/>
        </w:rPr>
        <w:t xml:space="preserve">, en tenant compte du point </w:t>
      </w:r>
      <w:r w:rsidR="00EE1FBB" w:rsidRPr="00303044">
        <w:rPr>
          <w:i/>
          <w:iCs/>
          <w:lang w:val="fr-CH"/>
        </w:rPr>
        <w:t>e</w:t>
      </w:r>
      <w:r w:rsidRPr="00303044">
        <w:rPr>
          <w:i/>
          <w:iCs/>
          <w:lang w:val="fr-CH"/>
        </w:rPr>
        <w:t>)</w:t>
      </w:r>
      <w:r w:rsidRPr="00303044">
        <w:rPr>
          <w:lang w:val="fr-CH"/>
        </w:rPr>
        <w:t xml:space="preserve"> du </w:t>
      </w:r>
      <w:r w:rsidRPr="00303044">
        <w:rPr>
          <w:i/>
          <w:iCs/>
          <w:lang w:val="fr-CH"/>
        </w:rPr>
        <w:t>reconnaissant</w:t>
      </w:r>
      <w:r w:rsidRPr="00303044">
        <w:rPr>
          <w:lang w:val="fr-CH"/>
        </w:rPr>
        <w:t xml:space="preserve"> ci-dessus, </w:t>
      </w:r>
      <w:r w:rsidR="008E74EA" w:rsidRPr="00303044">
        <w:rPr>
          <w:lang w:val="fr-CH"/>
        </w:rPr>
        <w:t>et notamment</w:t>
      </w:r>
      <w:r w:rsidRPr="00303044">
        <w:rPr>
          <w:lang w:val="fr-CH"/>
        </w:rPr>
        <w:t xml:space="preserve"> </w:t>
      </w:r>
      <w:r w:rsidR="008E74EA" w:rsidRPr="00303044">
        <w:rPr>
          <w:lang w:val="fr-CH"/>
        </w:rPr>
        <w:t xml:space="preserve">une </w:t>
      </w:r>
      <w:r w:rsidRPr="00303044">
        <w:rPr>
          <w:lang w:val="fr-CH"/>
        </w:rPr>
        <w:t xml:space="preserve">étude </w:t>
      </w:r>
      <w:r w:rsidR="008E74EA" w:rsidRPr="00303044">
        <w:rPr>
          <w:lang w:val="fr-CH"/>
        </w:rPr>
        <w:t>sur l</w:t>
      </w:r>
      <w:r w:rsidRPr="00303044">
        <w:rPr>
          <w:lang w:val="fr-CH"/>
        </w:rPr>
        <w:t>es incidences des brouillages cumulatifs du SFS causés par les réseaux et les systèmes qui sont exploités ou qu</w:t>
      </w:r>
      <w:r w:rsidR="00303044" w:rsidRPr="00303044">
        <w:rPr>
          <w:lang w:val="fr-CH"/>
        </w:rPr>
        <w:t>'</w:t>
      </w:r>
      <w:r w:rsidRPr="00303044">
        <w:rPr>
          <w:lang w:val="fr-CH"/>
        </w:rPr>
        <w:t>il est prévu d</w:t>
      </w:r>
      <w:r w:rsidR="004955FF" w:rsidRPr="00303044">
        <w:rPr>
          <w:lang w:val="fr-CH"/>
        </w:rPr>
        <w:t>'</w:t>
      </w:r>
      <w:r w:rsidRPr="00303044">
        <w:rPr>
          <w:lang w:val="fr-CH"/>
        </w:rPr>
        <w:t xml:space="preserve">exploiter dans les bandes de fréquences indiquées au point </w:t>
      </w:r>
      <w:r w:rsidR="008E74EA" w:rsidRPr="00303044">
        <w:rPr>
          <w:lang w:val="fr-CH"/>
        </w:rPr>
        <w:t>2</w:t>
      </w:r>
      <w:r w:rsidRPr="00303044">
        <w:rPr>
          <w:lang w:val="fr-CH"/>
        </w:rPr>
        <w:t xml:space="preserve"> du </w:t>
      </w:r>
      <w:r w:rsidRPr="00303044">
        <w:rPr>
          <w:i/>
          <w:iCs/>
          <w:lang w:val="fr-CH"/>
        </w:rPr>
        <w:t xml:space="preserve">décide d'inviter l'UIT-R </w:t>
      </w:r>
      <w:r w:rsidRPr="00303044">
        <w:rPr>
          <w:lang w:val="fr-CH"/>
        </w:rPr>
        <w:t>ci-dessus,</w:t>
      </w:r>
    </w:p>
    <w:p w14:paraId="13123B5C" w14:textId="77777777" w:rsidR="008B4F1F" w:rsidRPr="00303044" w:rsidRDefault="008B4F1F" w:rsidP="005B762C">
      <w:pPr>
        <w:pStyle w:val="Call"/>
        <w:rPr>
          <w:lang w:val="fr-CH"/>
        </w:rPr>
      </w:pPr>
      <w:r w:rsidRPr="00303044">
        <w:rPr>
          <w:lang w:val="fr-CH"/>
        </w:rPr>
        <w:t>décide en outre</w:t>
      </w:r>
    </w:p>
    <w:p w14:paraId="3D7BE11C" w14:textId="3C821450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d'inviter la Conférence mondiale des radiocommunications de 20</w:t>
      </w:r>
      <w:r w:rsidR="004166CF" w:rsidRPr="00303044">
        <w:rPr>
          <w:lang w:val="fr-CH"/>
        </w:rPr>
        <w:t>23</w:t>
      </w:r>
      <w:r w:rsidRPr="00303044">
        <w:rPr>
          <w:lang w:val="fr-CH"/>
        </w:rPr>
        <w:t xml:space="preserve"> à examiner les résultats des études ci-dessus et à prendre les mesures </w:t>
      </w:r>
      <w:r w:rsidR="005F3D7A" w:rsidRPr="00303044">
        <w:rPr>
          <w:lang w:val="fr-CH"/>
        </w:rPr>
        <w:t>appropriées</w:t>
      </w:r>
      <w:r w:rsidRPr="00303044">
        <w:rPr>
          <w:lang w:val="fr-CH"/>
        </w:rPr>
        <w:t>,</w:t>
      </w:r>
    </w:p>
    <w:p w14:paraId="604CD2DB" w14:textId="77777777" w:rsidR="008B4F1F" w:rsidRPr="00303044" w:rsidRDefault="008B4F1F" w:rsidP="005B762C">
      <w:pPr>
        <w:pStyle w:val="Call"/>
        <w:rPr>
          <w:lang w:val="fr-CH"/>
        </w:rPr>
      </w:pPr>
      <w:r w:rsidRPr="00303044">
        <w:rPr>
          <w:lang w:val="fr-CH"/>
        </w:rPr>
        <w:t>invite les administrations</w:t>
      </w:r>
    </w:p>
    <w:p w14:paraId="3503A0C9" w14:textId="77A477E6" w:rsidR="008B4F1F" w:rsidRPr="00303044" w:rsidRDefault="008B4F1F" w:rsidP="005B762C">
      <w:pPr>
        <w:rPr>
          <w:lang w:val="fr-CH"/>
        </w:rPr>
      </w:pPr>
      <w:r w:rsidRPr="00303044">
        <w:rPr>
          <w:lang w:val="fr-CH"/>
        </w:rPr>
        <w:t>à participer aux études en soumettant des contributions à l'UIT-R.</w:t>
      </w:r>
    </w:p>
    <w:p w14:paraId="7B98A352" w14:textId="77777777" w:rsidR="00505C71" w:rsidRPr="00303044" w:rsidRDefault="00505C71" w:rsidP="000923CA">
      <w:pPr>
        <w:pStyle w:val="Reasons"/>
        <w:rPr>
          <w:lang w:val="fr-CH"/>
        </w:rPr>
      </w:pPr>
    </w:p>
    <w:p w14:paraId="38B9C063" w14:textId="77777777" w:rsidR="00314430" w:rsidRPr="00303044" w:rsidRDefault="00505C71" w:rsidP="005B762C">
      <w:pPr>
        <w:pStyle w:val="Proposal"/>
        <w:rPr>
          <w:lang w:val="fr-CH"/>
        </w:rPr>
      </w:pPr>
      <w:r w:rsidRPr="00303044">
        <w:rPr>
          <w:lang w:val="fr-CH"/>
        </w:rPr>
        <w:t>SUP</w:t>
      </w:r>
      <w:r w:rsidRPr="00303044">
        <w:rPr>
          <w:lang w:val="fr-CH"/>
        </w:rPr>
        <w:tab/>
        <w:t>IAP/11A24A9/3</w:t>
      </w:r>
    </w:p>
    <w:p w14:paraId="49167799" w14:textId="77777777" w:rsidR="004A4B52" w:rsidRPr="00303044" w:rsidRDefault="00505C71" w:rsidP="005B762C">
      <w:pPr>
        <w:pStyle w:val="ResNo"/>
        <w:rPr>
          <w:lang w:val="fr-CH"/>
        </w:rPr>
      </w:pPr>
      <w:r w:rsidRPr="00303044">
        <w:rPr>
          <w:lang w:val="fr-CH"/>
        </w:rPr>
        <w:t xml:space="preserve">RÉSOLUTION </w:t>
      </w:r>
      <w:r w:rsidRPr="00303044">
        <w:rPr>
          <w:rStyle w:val="href"/>
          <w:lang w:val="fr-CH"/>
        </w:rPr>
        <w:t xml:space="preserve">810 </w:t>
      </w:r>
      <w:r w:rsidRPr="00303044">
        <w:rPr>
          <w:lang w:val="fr-CH"/>
        </w:rPr>
        <w:t>(CMR-15)</w:t>
      </w:r>
    </w:p>
    <w:p w14:paraId="064A7040" w14:textId="737B2D59" w:rsidR="004A4B52" w:rsidRPr="00303044" w:rsidRDefault="00505C71" w:rsidP="005B762C">
      <w:pPr>
        <w:pStyle w:val="Restitle"/>
        <w:rPr>
          <w:lang w:val="fr-CH"/>
        </w:rPr>
      </w:pPr>
      <w:bookmarkStart w:id="7" w:name="_Toc450208829"/>
      <w:r w:rsidRPr="00303044">
        <w:rPr>
          <w:lang w:val="fr-CH"/>
        </w:rPr>
        <w:t>Ordre du jour préliminaire de la Conférence mondiale</w:t>
      </w:r>
      <w:r w:rsidRPr="00303044">
        <w:rPr>
          <w:lang w:val="fr-CH"/>
        </w:rPr>
        <w:br/>
        <w:t>des radiocommunications de 2023</w:t>
      </w:r>
      <w:bookmarkEnd w:id="7"/>
    </w:p>
    <w:p w14:paraId="70C0EFC9" w14:textId="56C79313" w:rsidR="00314430" w:rsidRPr="00303044" w:rsidRDefault="00505C71" w:rsidP="005B762C">
      <w:pPr>
        <w:pStyle w:val="Reasons"/>
        <w:rPr>
          <w:lang w:val="fr-CH"/>
        </w:rPr>
      </w:pPr>
      <w:r w:rsidRPr="00303044">
        <w:rPr>
          <w:b/>
          <w:lang w:val="fr-CH"/>
        </w:rPr>
        <w:t>Motifs:</w:t>
      </w:r>
      <w:r w:rsidRPr="00303044">
        <w:rPr>
          <w:lang w:val="fr-CH"/>
        </w:rPr>
        <w:tab/>
      </w:r>
      <w:r w:rsidR="00E865C0" w:rsidRPr="00303044">
        <w:rPr>
          <w:lang w:val="fr-CH"/>
        </w:rPr>
        <w:t>Cette Résolution doit être supprimée</w:t>
      </w:r>
      <w:r w:rsidR="00FB3888" w:rsidRPr="00303044">
        <w:rPr>
          <w:lang w:val="fr-CH"/>
        </w:rPr>
        <w:t xml:space="preserve"> car</w:t>
      </w:r>
      <w:r w:rsidR="00E865C0" w:rsidRPr="00303044">
        <w:rPr>
          <w:lang w:val="fr-CH"/>
        </w:rPr>
        <w:t xml:space="preserve"> la CMR-1</w:t>
      </w:r>
      <w:r w:rsidR="00FB3888" w:rsidRPr="00303044">
        <w:rPr>
          <w:lang w:val="fr-CH"/>
        </w:rPr>
        <w:t>9</w:t>
      </w:r>
      <w:r w:rsidR="00E865C0" w:rsidRPr="00303044">
        <w:rPr>
          <w:lang w:val="fr-CH"/>
        </w:rPr>
        <w:t xml:space="preserve"> élaborer</w:t>
      </w:r>
      <w:r w:rsidR="004D6D6C" w:rsidRPr="00303044">
        <w:rPr>
          <w:lang w:val="fr-CH"/>
        </w:rPr>
        <w:t>a</w:t>
      </w:r>
      <w:r w:rsidR="00E865C0" w:rsidRPr="00303044">
        <w:rPr>
          <w:lang w:val="fr-CH"/>
        </w:rPr>
        <w:t xml:space="preserve"> une nouvelle Résolution </w:t>
      </w:r>
      <w:r w:rsidR="00FB3888" w:rsidRPr="00303044">
        <w:rPr>
          <w:lang w:val="fr-CH"/>
        </w:rPr>
        <w:t>qui comportera</w:t>
      </w:r>
      <w:r w:rsidR="00E865C0" w:rsidRPr="00303044">
        <w:rPr>
          <w:lang w:val="fr-CH"/>
        </w:rPr>
        <w:t xml:space="preserve"> l'ordre du jour de la CMR-</w:t>
      </w:r>
      <w:r w:rsidR="0016361B" w:rsidRPr="00303044">
        <w:rPr>
          <w:lang w:val="fr-CH"/>
        </w:rPr>
        <w:t>23</w:t>
      </w:r>
      <w:r w:rsidR="00E865C0" w:rsidRPr="00303044">
        <w:rPr>
          <w:lang w:val="fr-CH"/>
        </w:rPr>
        <w:t>.</w:t>
      </w:r>
    </w:p>
    <w:p w14:paraId="0382C148" w14:textId="77777777" w:rsidR="00E865C0" w:rsidRPr="00303044" w:rsidRDefault="00E865C0" w:rsidP="00AC3FF7">
      <w:pPr>
        <w:rPr>
          <w:lang w:val="fr-CH"/>
        </w:rPr>
      </w:pPr>
    </w:p>
    <w:p w14:paraId="4A3DA4D2" w14:textId="77777777" w:rsidR="00E865C0" w:rsidRPr="00303044" w:rsidRDefault="00E865C0" w:rsidP="005B762C">
      <w:pPr>
        <w:jc w:val="center"/>
        <w:rPr>
          <w:lang w:val="fr-CH"/>
        </w:rPr>
      </w:pPr>
      <w:r w:rsidRPr="00303044">
        <w:rPr>
          <w:lang w:val="fr-CH"/>
        </w:rPr>
        <w:t>______________</w:t>
      </w:r>
    </w:p>
    <w:p w14:paraId="2235C2E6" w14:textId="77777777" w:rsidR="00E865C0" w:rsidRPr="00303044" w:rsidRDefault="00E865C0" w:rsidP="005B762C">
      <w:pPr>
        <w:rPr>
          <w:lang w:val="fr-CH"/>
        </w:rPr>
      </w:pPr>
    </w:p>
    <w:sectPr w:rsidR="00E865C0" w:rsidRPr="00303044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2406F" w14:textId="77777777" w:rsidR="00406CAE" w:rsidRDefault="00406CAE">
      <w:r>
        <w:separator/>
      </w:r>
    </w:p>
  </w:endnote>
  <w:endnote w:type="continuationSeparator" w:id="0">
    <w:p w14:paraId="2A2D66CE" w14:textId="77777777" w:rsidR="00406CAE" w:rsidRDefault="0040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A527" w14:textId="16721D1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4B92">
      <w:rPr>
        <w:noProof/>
        <w:lang w:val="en-US"/>
      </w:rPr>
      <w:t>P:\FRA\ITU-R\CONF-R\CMR19\000\011ADD24ADD09F.docx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4B92">
      <w:rPr>
        <w:noProof/>
      </w:rPr>
      <w:t>08.10.19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4B92">
      <w:rPr>
        <w:noProof/>
      </w:rPr>
      <w:t>08.10.19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1E82" w14:textId="38A636D4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4B92">
      <w:rPr>
        <w:lang w:val="en-US"/>
      </w:rPr>
      <w:t>P:\FRA\ITU-R\CONF-R\CMR19\000\011ADD24ADD09F.docx</w:t>
    </w:r>
    <w:r>
      <w:fldChar w:fldCharType="end"/>
    </w:r>
    <w:r w:rsidR="00AA1709">
      <w:t xml:space="preserve"> (460770)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6E87" w14:textId="115E2FF4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4B92">
      <w:rPr>
        <w:lang w:val="en-US"/>
      </w:rPr>
      <w:t>P:\FRA\ITU-R\CONF-R\CMR19\000\011ADD24ADD09F.docx</w:t>
    </w:r>
    <w:r>
      <w:fldChar w:fldCharType="end"/>
    </w:r>
    <w:r w:rsidR="00AA1709">
      <w:t xml:space="preserve"> (460770)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53CF" w14:textId="77777777" w:rsidR="00406CAE" w:rsidRDefault="00406CAE">
      <w:r>
        <w:rPr>
          <w:b/>
        </w:rPr>
        <w:t>_______________</w:t>
      </w:r>
    </w:p>
  </w:footnote>
  <w:footnote w:type="continuationSeparator" w:id="0">
    <w:p w14:paraId="6D7FC28D" w14:textId="77777777" w:rsidR="00406CAE" w:rsidRDefault="00406CAE">
      <w:r>
        <w:continuationSeparator/>
      </w:r>
    </w:p>
  </w:footnote>
  <w:footnote w:id="1">
    <w:p w14:paraId="3392F27A" w14:textId="63FE8F73" w:rsidR="00747056" w:rsidRPr="004512C8" w:rsidRDefault="00747056" w:rsidP="00747056">
      <w:pPr>
        <w:pStyle w:val="FootnoteText"/>
      </w:pPr>
      <w:r>
        <w:rPr>
          <w:rStyle w:val="FootnoteReference"/>
        </w:rPr>
        <w:t>i</w:t>
      </w:r>
      <w:r>
        <w:tab/>
      </w:r>
      <w:r w:rsidR="00387317">
        <w:rPr>
          <w:i/>
          <w:iCs/>
        </w:rPr>
        <w:t>Note rédactionnelle</w:t>
      </w:r>
      <w:r w:rsidRPr="00C47043">
        <w:rPr>
          <w:i/>
          <w:iCs/>
        </w:rPr>
        <w:t xml:space="preserve">: </w:t>
      </w:r>
      <w:r w:rsidR="00276B30">
        <w:rPr>
          <w:i/>
          <w:iCs/>
        </w:rPr>
        <w:t xml:space="preserve">cette disposition repose sur l'hypothèse </w:t>
      </w:r>
      <w:r w:rsidR="00365A22">
        <w:rPr>
          <w:i/>
          <w:iCs/>
        </w:rPr>
        <w:t>selon laquelle</w:t>
      </w:r>
      <w:r w:rsidR="00276B30">
        <w:rPr>
          <w:i/>
          <w:iCs/>
        </w:rPr>
        <w:t xml:space="preserve"> la CMR</w:t>
      </w:r>
      <w:r w:rsidRPr="00C47043">
        <w:rPr>
          <w:i/>
          <w:iCs/>
        </w:rPr>
        <w:t xml:space="preserve">-19 </w:t>
      </w:r>
      <w:r w:rsidR="00276B30">
        <w:rPr>
          <w:i/>
          <w:iCs/>
        </w:rPr>
        <w:t xml:space="preserve">aura achevé son examen du point </w:t>
      </w:r>
      <w:r w:rsidRPr="00C47043">
        <w:rPr>
          <w:i/>
          <w:iCs/>
        </w:rPr>
        <w:t>1.6</w:t>
      </w:r>
      <w:r w:rsidR="00276B30">
        <w:rPr>
          <w:i/>
          <w:iCs/>
        </w:rPr>
        <w:t xml:space="preserve"> de l'ordre du jour.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5CB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D9162E5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11(Add.24)(Add.9)-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40A"/>
    <w:rsid w:val="00007EC7"/>
    <w:rsid w:val="000106EF"/>
    <w:rsid w:val="00010B43"/>
    <w:rsid w:val="00016648"/>
    <w:rsid w:val="000212FB"/>
    <w:rsid w:val="000344F1"/>
    <w:rsid w:val="0003522F"/>
    <w:rsid w:val="000466F0"/>
    <w:rsid w:val="00063A1F"/>
    <w:rsid w:val="0006407B"/>
    <w:rsid w:val="00080E2C"/>
    <w:rsid w:val="00081366"/>
    <w:rsid w:val="000863B3"/>
    <w:rsid w:val="000923CA"/>
    <w:rsid w:val="00096C51"/>
    <w:rsid w:val="00096DF7"/>
    <w:rsid w:val="000A3BDF"/>
    <w:rsid w:val="000A4755"/>
    <w:rsid w:val="000A4928"/>
    <w:rsid w:val="000A55AE"/>
    <w:rsid w:val="000B2E0C"/>
    <w:rsid w:val="000B3D0C"/>
    <w:rsid w:val="000C6D42"/>
    <w:rsid w:val="000D04CA"/>
    <w:rsid w:val="000D07E2"/>
    <w:rsid w:val="000D0D09"/>
    <w:rsid w:val="000D267B"/>
    <w:rsid w:val="000D7156"/>
    <w:rsid w:val="000E13E8"/>
    <w:rsid w:val="000F2938"/>
    <w:rsid w:val="00105141"/>
    <w:rsid w:val="001167B9"/>
    <w:rsid w:val="001179E1"/>
    <w:rsid w:val="001267A0"/>
    <w:rsid w:val="001340A0"/>
    <w:rsid w:val="0014202E"/>
    <w:rsid w:val="0014508E"/>
    <w:rsid w:val="0015203F"/>
    <w:rsid w:val="00160C64"/>
    <w:rsid w:val="0016361B"/>
    <w:rsid w:val="00172214"/>
    <w:rsid w:val="00177252"/>
    <w:rsid w:val="0018169B"/>
    <w:rsid w:val="001850F2"/>
    <w:rsid w:val="001919F1"/>
    <w:rsid w:val="0019352B"/>
    <w:rsid w:val="001960D0"/>
    <w:rsid w:val="001A11F6"/>
    <w:rsid w:val="001A1F88"/>
    <w:rsid w:val="001B6B47"/>
    <w:rsid w:val="001C3CB4"/>
    <w:rsid w:val="001D3D66"/>
    <w:rsid w:val="001E0760"/>
    <w:rsid w:val="001E13C7"/>
    <w:rsid w:val="001E2AF0"/>
    <w:rsid w:val="001F17E8"/>
    <w:rsid w:val="00204306"/>
    <w:rsid w:val="00205D34"/>
    <w:rsid w:val="002105F1"/>
    <w:rsid w:val="0021181C"/>
    <w:rsid w:val="002167BD"/>
    <w:rsid w:val="00232FD2"/>
    <w:rsid w:val="0023510A"/>
    <w:rsid w:val="002522DB"/>
    <w:rsid w:val="00255613"/>
    <w:rsid w:val="00261FC5"/>
    <w:rsid w:val="00262412"/>
    <w:rsid w:val="0026554E"/>
    <w:rsid w:val="002670C8"/>
    <w:rsid w:val="00276B30"/>
    <w:rsid w:val="002A4622"/>
    <w:rsid w:val="002A4B09"/>
    <w:rsid w:val="002A6F8F"/>
    <w:rsid w:val="002B17E5"/>
    <w:rsid w:val="002B2C6C"/>
    <w:rsid w:val="002C0EBF"/>
    <w:rsid w:val="002C2006"/>
    <w:rsid w:val="002C28A4"/>
    <w:rsid w:val="002D4964"/>
    <w:rsid w:val="002D6A99"/>
    <w:rsid w:val="002D7E0A"/>
    <w:rsid w:val="002E14FF"/>
    <w:rsid w:val="00300E74"/>
    <w:rsid w:val="00303044"/>
    <w:rsid w:val="003049D7"/>
    <w:rsid w:val="00310C88"/>
    <w:rsid w:val="00314430"/>
    <w:rsid w:val="00315AFE"/>
    <w:rsid w:val="00316278"/>
    <w:rsid w:val="00317A59"/>
    <w:rsid w:val="00320367"/>
    <w:rsid w:val="00327BBB"/>
    <w:rsid w:val="00331194"/>
    <w:rsid w:val="003404BA"/>
    <w:rsid w:val="00345B84"/>
    <w:rsid w:val="00352C13"/>
    <w:rsid w:val="003606A6"/>
    <w:rsid w:val="00365A22"/>
    <w:rsid w:val="0036650C"/>
    <w:rsid w:val="00374C48"/>
    <w:rsid w:val="00375F6D"/>
    <w:rsid w:val="003764CA"/>
    <w:rsid w:val="00381A58"/>
    <w:rsid w:val="00387317"/>
    <w:rsid w:val="00393ACD"/>
    <w:rsid w:val="003A1E98"/>
    <w:rsid w:val="003A583E"/>
    <w:rsid w:val="003C6596"/>
    <w:rsid w:val="003C6EF0"/>
    <w:rsid w:val="003D6D13"/>
    <w:rsid w:val="003D7A1F"/>
    <w:rsid w:val="003E112B"/>
    <w:rsid w:val="003E1D1C"/>
    <w:rsid w:val="003E2661"/>
    <w:rsid w:val="003E42BA"/>
    <w:rsid w:val="003E7B05"/>
    <w:rsid w:val="003F3719"/>
    <w:rsid w:val="003F6F2D"/>
    <w:rsid w:val="004044CF"/>
    <w:rsid w:val="0040468D"/>
    <w:rsid w:val="00406CAE"/>
    <w:rsid w:val="004166CF"/>
    <w:rsid w:val="00417BFA"/>
    <w:rsid w:val="00417C22"/>
    <w:rsid w:val="00420961"/>
    <w:rsid w:val="004263C2"/>
    <w:rsid w:val="0043083E"/>
    <w:rsid w:val="00430F9C"/>
    <w:rsid w:val="0043302F"/>
    <w:rsid w:val="004400C8"/>
    <w:rsid w:val="00447984"/>
    <w:rsid w:val="00465BBF"/>
    <w:rsid w:val="00466211"/>
    <w:rsid w:val="0046726A"/>
    <w:rsid w:val="00483196"/>
    <w:rsid w:val="004834A9"/>
    <w:rsid w:val="00483FB7"/>
    <w:rsid w:val="004907B8"/>
    <w:rsid w:val="004955FF"/>
    <w:rsid w:val="004A45A0"/>
    <w:rsid w:val="004C00F9"/>
    <w:rsid w:val="004C0CB4"/>
    <w:rsid w:val="004C24D0"/>
    <w:rsid w:val="004C76C8"/>
    <w:rsid w:val="004D01FC"/>
    <w:rsid w:val="004D5460"/>
    <w:rsid w:val="004D6D6C"/>
    <w:rsid w:val="004E28C3"/>
    <w:rsid w:val="004E3A24"/>
    <w:rsid w:val="004F1F8E"/>
    <w:rsid w:val="004F7DBB"/>
    <w:rsid w:val="00505C71"/>
    <w:rsid w:val="00512A32"/>
    <w:rsid w:val="00516C22"/>
    <w:rsid w:val="00531358"/>
    <w:rsid w:val="005343DA"/>
    <w:rsid w:val="00541580"/>
    <w:rsid w:val="005516A9"/>
    <w:rsid w:val="00555261"/>
    <w:rsid w:val="00556102"/>
    <w:rsid w:val="005564B5"/>
    <w:rsid w:val="00560874"/>
    <w:rsid w:val="00586CF2"/>
    <w:rsid w:val="00587DA2"/>
    <w:rsid w:val="00590A70"/>
    <w:rsid w:val="0059595D"/>
    <w:rsid w:val="005969A1"/>
    <w:rsid w:val="005A7487"/>
    <w:rsid w:val="005A7C75"/>
    <w:rsid w:val="005B0499"/>
    <w:rsid w:val="005B1FAD"/>
    <w:rsid w:val="005B762C"/>
    <w:rsid w:val="005B7B4D"/>
    <w:rsid w:val="005C013E"/>
    <w:rsid w:val="005C3768"/>
    <w:rsid w:val="005C6C3F"/>
    <w:rsid w:val="005D7916"/>
    <w:rsid w:val="005E69A0"/>
    <w:rsid w:val="005F3D7A"/>
    <w:rsid w:val="005F47F6"/>
    <w:rsid w:val="00613635"/>
    <w:rsid w:val="0062093D"/>
    <w:rsid w:val="0062379D"/>
    <w:rsid w:val="00632825"/>
    <w:rsid w:val="00637ECF"/>
    <w:rsid w:val="0064093F"/>
    <w:rsid w:val="00644B92"/>
    <w:rsid w:val="006479B6"/>
    <w:rsid w:val="00647B59"/>
    <w:rsid w:val="006546B6"/>
    <w:rsid w:val="0066656C"/>
    <w:rsid w:val="00690329"/>
    <w:rsid w:val="00690C7B"/>
    <w:rsid w:val="006A4A9B"/>
    <w:rsid w:val="006A4B45"/>
    <w:rsid w:val="006A5A06"/>
    <w:rsid w:val="006B2254"/>
    <w:rsid w:val="006B73B8"/>
    <w:rsid w:val="006D4724"/>
    <w:rsid w:val="006E0D13"/>
    <w:rsid w:val="006F488D"/>
    <w:rsid w:val="006F5FA2"/>
    <w:rsid w:val="0070076C"/>
    <w:rsid w:val="007009AA"/>
    <w:rsid w:val="00701BAE"/>
    <w:rsid w:val="007176A4"/>
    <w:rsid w:val="00721F04"/>
    <w:rsid w:val="007249C5"/>
    <w:rsid w:val="00730E95"/>
    <w:rsid w:val="007426B9"/>
    <w:rsid w:val="00747056"/>
    <w:rsid w:val="00761D3B"/>
    <w:rsid w:val="007627EA"/>
    <w:rsid w:val="00764342"/>
    <w:rsid w:val="00774362"/>
    <w:rsid w:val="0077479B"/>
    <w:rsid w:val="00784162"/>
    <w:rsid w:val="00786598"/>
    <w:rsid w:val="00790C74"/>
    <w:rsid w:val="00797D9F"/>
    <w:rsid w:val="007A04E8"/>
    <w:rsid w:val="007A27E0"/>
    <w:rsid w:val="007A4F0D"/>
    <w:rsid w:val="007A58DF"/>
    <w:rsid w:val="007B2C34"/>
    <w:rsid w:val="007B6D95"/>
    <w:rsid w:val="007D5B7B"/>
    <w:rsid w:val="007D7FFB"/>
    <w:rsid w:val="007E0817"/>
    <w:rsid w:val="007E1213"/>
    <w:rsid w:val="007E1468"/>
    <w:rsid w:val="007E5A8F"/>
    <w:rsid w:val="00813CC8"/>
    <w:rsid w:val="008174F6"/>
    <w:rsid w:val="008179F7"/>
    <w:rsid w:val="00830086"/>
    <w:rsid w:val="00845091"/>
    <w:rsid w:val="00851625"/>
    <w:rsid w:val="00863C0A"/>
    <w:rsid w:val="00863C7C"/>
    <w:rsid w:val="00872CC8"/>
    <w:rsid w:val="008767FD"/>
    <w:rsid w:val="00880862"/>
    <w:rsid w:val="008A1C5C"/>
    <w:rsid w:val="008A3120"/>
    <w:rsid w:val="008A4B97"/>
    <w:rsid w:val="008A4C5A"/>
    <w:rsid w:val="008B2B69"/>
    <w:rsid w:val="008B4F1F"/>
    <w:rsid w:val="008C5B8E"/>
    <w:rsid w:val="008C5DD5"/>
    <w:rsid w:val="008D41BE"/>
    <w:rsid w:val="008D58D3"/>
    <w:rsid w:val="008E1B4A"/>
    <w:rsid w:val="008E3BC9"/>
    <w:rsid w:val="008E74EA"/>
    <w:rsid w:val="009052AD"/>
    <w:rsid w:val="00910E19"/>
    <w:rsid w:val="00923064"/>
    <w:rsid w:val="00930FFD"/>
    <w:rsid w:val="00936D25"/>
    <w:rsid w:val="00941EA5"/>
    <w:rsid w:val="00943F7F"/>
    <w:rsid w:val="00950D3A"/>
    <w:rsid w:val="00954813"/>
    <w:rsid w:val="00960066"/>
    <w:rsid w:val="00964700"/>
    <w:rsid w:val="009661DA"/>
    <w:rsid w:val="00966C16"/>
    <w:rsid w:val="009748FF"/>
    <w:rsid w:val="00976777"/>
    <w:rsid w:val="0098732F"/>
    <w:rsid w:val="009A045F"/>
    <w:rsid w:val="009A6A2B"/>
    <w:rsid w:val="009B191B"/>
    <w:rsid w:val="009B5956"/>
    <w:rsid w:val="009C0B29"/>
    <w:rsid w:val="009C6FD1"/>
    <w:rsid w:val="009C7E7C"/>
    <w:rsid w:val="009D1900"/>
    <w:rsid w:val="009E320B"/>
    <w:rsid w:val="009E521E"/>
    <w:rsid w:val="009E6AAE"/>
    <w:rsid w:val="009F47C7"/>
    <w:rsid w:val="00A00473"/>
    <w:rsid w:val="00A02D86"/>
    <w:rsid w:val="00A03C9B"/>
    <w:rsid w:val="00A11172"/>
    <w:rsid w:val="00A31970"/>
    <w:rsid w:val="00A37105"/>
    <w:rsid w:val="00A51524"/>
    <w:rsid w:val="00A515E5"/>
    <w:rsid w:val="00A521B8"/>
    <w:rsid w:val="00A606C3"/>
    <w:rsid w:val="00A61F02"/>
    <w:rsid w:val="00A64175"/>
    <w:rsid w:val="00A74F2E"/>
    <w:rsid w:val="00A83B09"/>
    <w:rsid w:val="00A84541"/>
    <w:rsid w:val="00A84ED0"/>
    <w:rsid w:val="00A91A2A"/>
    <w:rsid w:val="00A93DB7"/>
    <w:rsid w:val="00AA1709"/>
    <w:rsid w:val="00AA24A9"/>
    <w:rsid w:val="00AA5442"/>
    <w:rsid w:val="00AB5D45"/>
    <w:rsid w:val="00AC3FF7"/>
    <w:rsid w:val="00AD197D"/>
    <w:rsid w:val="00AE2396"/>
    <w:rsid w:val="00AE36A0"/>
    <w:rsid w:val="00AE4672"/>
    <w:rsid w:val="00AF5309"/>
    <w:rsid w:val="00AF6908"/>
    <w:rsid w:val="00B00294"/>
    <w:rsid w:val="00B00398"/>
    <w:rsid w:val="00B003D4"/>
    <w:rsid w:val="00B03DDA"/>
    <w:rsid w:val="00B050E7"/>
    <w:rsid w:val="00B07DA0"/>
    <w:rsid w:val="00B1119D"/>
    <w:rsid w:val="00B15C1F"/>
    <w:rsid w:val="00B16155"/>
    <w:rsid w:val="00B23412"/>
    <w:rsid w:val="00B3749C"/>
    <w:rsid w:val="00B42081"/>
    <w:rsid w:val="00B44651"/>
    <w:rsid w:val="00B45F1A"/>
    <w:rsid w:val="00B50B31"/>
    <w:rsid w:val="00B51A31"/>
    <w:rsid w:val="00B64F95"/>
    <w:rsid w:val="00B64FD0"/>
    <w:rsid w:val="00B718BD"/>
    <w:rsid w:val="00B73F77"/>
    <w:rsid w:val="00B80576"/>
    <w:rsid w:val="00BA0518"/>
    <w:rsid w:val="00BA2FD6"/>
    <w:rsid w:val="00BA5BD0"/>
    <w:rsid w:val="00BB1D82"/>
    <w:rsid w:val="00BD51C5"/>
    <w:rsid w:val="00BF061F"/>
    <w:rsid w:val="00BF26E7"/>
    <w:rsid w:val="00C0326F"/>
    <w:rsid w:val="00C21B7D"/>
    <w:rsid w:val="00C23249"/>
    <w:rsid w:val="00C27554"/>
    <w:rsid w:val="00C37250"/>
    <w:rsid w:val="00C431C7"/>
    <w:rsid w:val="00C5236B"/>
    <w:rsid w:val="00C53FCA"/>
    <w:rsid w:val="00C55B87"/>
    <w:rsid w:val="00C61A95"/>
    <w:rsid w:val="00C66F03"/>
    <w:rsid w:val="00C73FD3"/>
    <w:rsid w:val="00C74ECD"/>
    <w:rsid w:val="00C76BAF"/>
    <w:rsid w:val="00C76CB1"/>
    <w:rsid w:val="00C814B9"/>
    <w:rsid w:val="00C81B4B"/>
    <w:rsid w:val="00C936FB"/>
    <w:rsid w:val="00C96460"/>
    <w:rsid w:val="00CA09C4"/>
    <w:rsid w:val="00CA193D"/>
    <w:rsid w:val="00CA729B"/>
    <w:rsid w:val="00CA7D7F"/>
    <w:rsid w:val="00CC13F3"/>
    <w:rsid w:val="00CC447C"/>
    <w:rsid w:val="00CD516F"/>
    <w:rsid w:val="00CE6EC1"/>
    <w:rsid w:val="00CF2591"/>
    <w:rsid w:val="00D02527"/>
    <w:rsid w:val="00D119A7"/>
    <w:rsid w:val="00D20295"/>
    <w:rsid w:val="00D23D0F"/>
    <w:rsid w:val="00D25368"/>
    <w:rsid w:val="00D25BAA"/>
    <w:rsid w:val="00D25FBA"/>
    <w:rsid w:val="00D26214"/>
    <w:rsid w:val="00D32B28"/>
    <w:rsid w:val="00D335A2"/>
    <w:rsid w:val="00D42954"/>
    <w:rsid w:val="00D4413A"/>
    <w:rsid w:val="00D51180"/>
    <w:rsid w:val="00D558E8"/>
    <w:rsid w:val="00D64AD2"/>
    <w:rsid w:val="00D66EAC"/>
    <w:rsid w:val="00D730DF"/>
    <w:rsid w:val="00D757DD"/>
    <w:rsid w:val="00D772F0"/>
    <w:rsid w:val="00D77BDC"/>
    <w:rsid w:val="00D81A7C"/>
    <w:rsid w:val="00D81DAE"/>
    <w:rsid w:val="00DA5B8A"/>
    <w:rsid w:val="00DB1294"/>
    <w:rsid w:val="00DB5781"/>
    <w:rsid w:val="00DC402B"/>
    <w:rsid w:val="00DE0932"/>
    <w:rsid w:val="00DF163D"/>
    <w:rsid w:val="00DF2FC7"/>
    <w:rsid w:val="00E02057"/>
    <w:rsid w:val="00E02955"/>
    <w:rsid w:val="00E03A27"/>
    <w:rsid w:val="00E049F1"/>
    <w:rsid w:val="00E30BA9"/>
    <w:rsid w:val="00E37A25"/>
    <w:rsid w:val="00E44834"/>
    <w:rsid w:val="00E47E3E"/>
    <w:rsid w:val="00E537FF"/>
    <w:rsid w:val="00E6539B"/>
    <w:rsid w:val="00E66DC0"/>
    <w:rsid w:val="00E70A31"/>
    <w:rsid w:val="00E723A7"/>
    <w:rsid w:val="00E72A49"/>
    <w:rsid w:val="00E7654C"/>
    <w:rsid w:val="00E80178"/>
    <w:rsid w:val="00E82953"/>
    <w:rsid w:val="00E839D7"/>
    <w:rsid w:val="00E84D05"/>
    <w:rsid w:val="00E85ABB"/>
    <w:rsid w:val="00E865C0"/>
    <w:rsid w:val="00E872F1"/>
    <w:rsid w:val="00EA374B"/>
    <w:rsid w:val="00EA3F38"/>
    <w:rsid w:val="00EA5AB6"/>
    <w:rsid w:val="00EC1DFC"/>
    <w:rsid w:val="00EC33F1"/>
    <w:rsid w:val="00EC6F45"/>
    <w:rsid w:val="00EC7615"/>
    <w:rsid w:val="00ED074C"/>
    <w:rsid w:val="00ED16AA"/>
    <w:rsid w:val="00ED2C2C"/>
    <w:rsid w:val="00ED2D0E"/>
    <w:rsid w:val="00ED60AF"/>
    <w:rsid w:val="00ED6B8D"/>
    <w:rsid w:val="00EE1FBB"/>
    <w:rsid w:val="00EE3D7B"/>
    <w:rsid w:val="00EF662E"/>
    <w:rsid w:val="00F01B41"/>
    <w:rsid w:val="00F03A6C"/>
    <w:rsid w:val="00F10064"/>
    <w:rsid w:val="00F10AF6"/>
    <w:rsid w:val="00F12BFE"/>
    <w:rsid w:val="00F148F1"/>
    <w:rsid w:val="00F2043A"/>
    <w:rsid w:val="00F2084E"/>
    <w:rsid w:val="00F2189F"/>
    <w:rsid w:val="00F40CD7"/>
    <w:rsid w:val="00F41269"/>
    <w:rsid w:val="00F45BC2"/>
    <w:rsid w:val="00F61619"/>
    <w:rsid w:val="00F620B8"/>
    <w:rsid w:val="00F7040B"/>
    <w:rsid w:val="00F711A7"/>
    <w:rsid w:val="00F826CA"/>
    <w:rsid w:val="00F87787"/>
    <w:rsid w:val="00F87D47"/>
    <w:rsid w:val="00F95CDA"/>
    <w:rsid w:val="00F96FFC"/>
    <w:rsid w:val="00FA1824"/>
    <w:rsid w:val="00FA2491"/>
    <w:rsid w:val="00FA3BBF"/>
    <w:rsid w:val="00FA6E86"/>
    <w:rsid w:val="00FB06EB"/>
    <w:rsid w:val="00FB3888"/>
    <w:rsid w:val="00FC1B69"/>
    <w:rsid w:val="00FC38E0"/>
    <w:rsid w:val="00FC41F8"/>
    <w:rsid w:val="00FC425D"/>
    <w:rsid w:val="00FD7AA3"/>
    <w:rsid w:val="00FE31D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BCB9F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dpstylecall">
    <w:name w:val="dpstylecall"/>
    <w:basedOn w:val="Normal"/>
    <w:rsid w:val="001179E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179E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dpstylerestitle">
    <w:name w:val="dpstylerestitle"/>
    <w:basedOn w:val="Normal"/>
    <w:rsid w:val="0017221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Res-title">
    <w:name w:val="Res-title"/>
    <w:basedOn w:val="dpstylerestitle"/>
    <w:rsid w:val="00EC33F1"/>
    <w:rPr>
      <w:color w:val="000000"/>
    </w:rPr>
  </w:style>
  <w:style w:type="paragraph" w:styleId="ListParagraph">
    <w:name w:val="List Paragraph"/>
    <w:basedOn w:val="Normal"/>
    <w:uiPriority w:val="34"/>
    <w:qFormat/>
    <w:rsid w:val="009E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62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77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679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57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R16-WRC19-C-0011!A24-A9!MSW-F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46C-5996-4726-A495-E1995F343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74D28-BFAA-47F2-94EC-7C950023B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7A9416-5F91-4CA8-8F6B-ECE3A592A02B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4D8A0A5-F1DB-4430-9474-94BF18A1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2474</Words>
  <Characters>13380</Characters>
  <Application>Microsoft Office Word</Application>
  <DocSecurity>0</DocSecurity>
  <Lines>229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R16-WRC19-C-0011!A24-A9!MSW-F</vt:lpstr>
      <vt:lpstr>R16-WRC19-C-0011!A24-A9!MSW-F</vt:lpstr>
    </vt:vector>
  </TitlesOfParts>
  <Manager>Secrétariat général - Pool</Manager>
  <Company>Union internationale des télécommunications (UIT)</Company>
  <LinksUpToDate>false</LinksUpToDate>
  <CharactersWithSpaces>15772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R16-WRC19-C-0011!A24-A9!MSW-F</dc:title>
  <dc:subject>Conférence mondiale des radiocommunications - 2019</dc:subject>
  <dc:creator>Documents Proposals Manager (DPM)</dc:creator>
  <cp:keywords>DPM_v2019.9.18.2_prod</cp:keywords>
  <dc:description/>
  <cp:lastModifiedBy>French</cp:lastModifiedBy>
  <cp:revision>169</cp:revision>
  <cp:lastPrinted>2019-10-08T06:18:00Z</cp:lastPrinted>
  <dcterms:created xsi:type="dcterms:W3CDTF">2019-09-25T08:28:00Z</dcterms:created>
  <dcterms:modified xsi:type="dcterms:W3CDTF">2019-10-08T06:21:00Z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