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D2BF8" w14:paraId="48FA8E88" w14:textId="77777777">
        <w:trPr>
          <w:cantSplit/>
        </w:trPr>
        <w:tc>
          <w:tcPr>
            <w:tcW w:w="6911" w:type="dxa"/>
          </w:tcPr>
          <w:p w14:paraId="6B803E8A" w14:textId="77777777" w:rsidR="00A066F1" w:rsidRPr="00BD2BF8" w:rsidRDefault="00241FA2" w:rsidP="00116C7A">
            <w:pPr>
              <w:spacing w:before="400" w:after="48" w:line="240" w:lineRule="atLeast"/>
              <w:rPr>
                <w:rFonts w:ascii="Verdana" w:hAnsi="Verdana"/>
                <w:position w:val="6"/>
              </w:rPr>
            </w:pPr>
            <w:r w:rsidRPr="00BD2BF8">
              <w:rPr>
                <w:rFonts w:ascii="Verdana" w:hAnsi="Verdana" w:cs="Times"/>
                <w:b/>
                <w:position w:val="6"/>
                <w:sz w:val="22"/>
                <w:szCs w:val="22"/>
              </w:rPr>
              <w:t>World Radiocommunication Conference (WRC-1</w:t>
            </w:r>
            <w:r w:rsidR="000E463E" w:rsidRPr="00BD2BF8">
              <w:rPr>
                <w:rFonts w:ascii="Verdana" w:hAnsi="Verdana" w:cs="Times"/>
                <w:b/>
                <w:position w:val="6"/>
                <w:sz w:val="22"/>
                <w:szCs w:val="22"/>
              </w:rPr>
              <w:t>9</w:t>
            </w:r>
            <w:r w:rsidRPr="00BD2BF8">
              <w:rPr>
                <w:rFonts w:ascii="Verdana" w:hAnsi="Verdana" w:cs="Times"/>
                <w:b/>
                <w:position w:val="6"/>
                <w:sz w:val="22"/>
                <w:szCs w:val="22"/>
              </w:rPr>
              <w:t>)</w:t>
            </w:r>
            <w:r w:rsidRPr="00BD2BF8">
              <w:rPr>
                <w:rFonts w:ascii="Verdana" w:hAnsi="Verdana" w:cs="Times"/>
                <w:b/>
                <w:position w:val="6"/>
                <w:sz w:val="26"/>
                <w:szCs w:val="26"/>
              </w:rPr>
              <w:br/>
            </w:r>
            <w:r w:rsidR="00116C7A" w:rsidRPr="00BD2BF8">
              <w:rPr>
                <w:rFonts w:ascii="Verdana" w:hAnsi="Verdana"/>
                <w:b/>
                <w:bCs/>
                <w:position w:val="6"/>
                <w:sz w:val="18"/>
                <w:szCs w:val="18"/>
              </w:rPr>
              <w:t>Sharm el-Sheikh, Egypt</w:t>
            </w:r>
            <w:r w:rsidRPr="00BD2BF8">
              <w:rPr>
                <w:rFonts w:ascii="Verdana" w:hAnsi="Verdana"/>
                <w:b/>
                <w:bCs/>
                <w:position w:val="6"/>
                <w:sz w:val="18"/>
                <w:szCs w:val="18"/>
              </w:rPr>
              <w:t xml:space="preserve">, </w:t>
            </w:r>
            <w:r w:rsidR="000E463E" w:rsidRPr="00BD2BF8">
              <w:rPr>
                <w:rFonts w:ascii="Verdana" w:hAnsi="Verdana"/>
                <w:b/>
                <w:bCs/>
                <w:position w:val="6"/>
                <w:sz w:val="18"/>
                <w:szCs w:val="18"/>
              </w:rPr>
              <w:t xml:space="preserve">28 October </w:t>
            </w:r>
            <w:r w:rsidRPr="00BD2BF8">
              <w:rPr>
                <w:rFonts w:ascii="Verdana" w:hAnsi="Verdana"/>
                <w:b/>
                <w:bCs/>
                <w:position w:val="6"/>
                <w:sz w:val="18"/>
                <w:szCs w:val="18"/>
              </w:rPr>
              <w:t>–</w:t>
            </w:r>
            <w:r w:rsidR="000E463E" w:rsidRPr="00BD2BF8">
              <w:rPr>
                <w:rFonts w:ascii="Verdana" w:hAnsi="Verdana"/>
                <w:b/>
                <w:bCs/>
                <w:position w:val="6"/>
                <w:sz w:val="18"/>
                <w:szCs w:val="18"/>
              </w:rPr>
              <w:t xml:space="preserve"> </w:t>
            </w:r>
            <w:r w:rsidRPr="00BD2BF8">
              <w:rPr>
                <w:rFonts w:ascii="Verdana" w:hAnsi="Verdana"/>
                <w:b/>
                <w:bCs/>
                <w:position w:val="6"/>
                <w:sz w:val="18"/>
                <w:szCs w:val="18"/>
              </w:rPr>
              <w:t>2</w:t>
            </w:r>
            <w:r w:rsidR="000E463E" w:rsidRPr="00BD2BF8">
              <w:rPr>
                <w:rFonts w:ascii="Verdana" w:hAnsi="Verdana"/>
                <w:b/>
                <w:bCs/>
                <w:position w:val="6"/>
                <w:sz w:val="18"/>
                <w:szCs w:val="18"/>
              </w:rPr>
              <w:t>2</w:t>
            </w:r>
            <w:r w:rsidRPr="00BD2BF8">
              <w:rPr>
                <w:rFonts w:ascii="Verdana" w:hAnsi="Verdana"/>
                <w:b/>
                <w:bCs/>
                <w:position w:val="6"/>
                <w:sz w:val="18"/>
                <w:szCs w:val="18"/>
              </w:rPr>
              <w:t xml:space="preserve"> November 201</w:t>
            </w:r>
            <w:r w:rsidR="000E463E" w:rsidRPr="00BD2BF8">
              <w:rPr>
                <w:rFonts w:ascii="Verdana" w:hAnsi="Verdana"/>
                <w:b/>
                <w:bCs/>
                <w:position w:val="6"/>
                <w:sz w:val="18"/>
                <w:szCs w:val="18"/>
              </w:rPr>
              <w:t>9</w:t>
            </w:r>
          </w:p>
        </w:tc>
        <w:tc>
          <w:tcPr>
            <w:tcW w:w="3120" w:type="dxa"/>
          </w:tcPr>
          <w:p w14:paraId="31EC1551" w14:textId="77777777" w:rsidR="00A066F1" w:rsidRPr="00BD2BF8" w:rsidRDefault="005F04D8" w:rsidP="003B2284">
            <w:pPr>
              <w:spacing w:before="0" w:line="240" w:lineRule="atLeast"/>
              <w:jc w:val="right"/>
            </w:pPr>
            <w:bookmarkStart w:id="0" w:name="ditulogo"/>
            <w:bookmarkEnd w:id="0"/>
            <w:r w:rsidRPr="00BD2BF8">
              <w:rPr>
                <w:noProof/>
                <w:lang w:eastAsia="zh-CN"/>
              </w:rPr>
              <w:drawing>
                <wp:inline distT="0" distB="0" distL="0" distR="0" wp14:anchorId="2BAD1545" wp14:editId="2A15D08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D2BF8" w14:paraId="7C29A858" w14:textId="77777777">
        <w:trPr>
          <w:cantSplit/>
        </w:trPr>
        <w:tc>
          <w:tcPr>
            <w:tcW w:w="6911" w:type="dxa"/>
            <w:tcBorders>
              <w:bottom w:val="single" w:sz="12" w:space="0" w:color="auto"/>
            </w:tcBorders>
          </w:tcPr>
          <w:p w14:paraId="4F3AC388" w14:textId="77777777" w:rsidR="00A066F1" w:rsidRPr="00BD2BF8"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C6C273A" w14:textId="77777777" w:rsidR="00A066F1" w:rsidRPr="00BD2BF8" w:rsidRDefault="00A066F1" w:rsidP="00A066F1">
            <w:pPr>
              <w:spacing w:before="0" w:line="240" w:lineRule="atLeast"/>
              <w:rPr>
                <w:rFonts w:ascii="Verdana" w:hAnsi="Verdana"/>
                <w:szCs w:val="24"/>
              </w:rPr>
            </w:pPr>
          </w:p>
        </w:tc>
      </w:tr>
      <w:tr w:rsidR="00A066F1" w:rsidRPr="00BD2BF8" w14:paraId="5F34FC52" w14:textId="77777777">
        <w:trPr>
          <w:cantSplit/>
        </w:trPr>
        <w:tc>
          <w:tcPr>
            <w:tcW w:w="6911" w:type="dxa"/>
            <w:tcBorders>
              <w:top w:val="single" w:sz="12" w:space="0" w:color="auto"/>
            </w:tcBorders>
          </w:tcPr>
          <w:p w14:paraId="652C34B9" w14:textId="77777777" w:rsidR="00A066F1" w:rsidRPr="00BD2BF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BEF87AE" w14:textId="77777777" w:rsidR="00A066F1" w:rsidRPr="00BD2BF8" w:rsidRDefault="00A066F1" w:rsidP="00A066F1">
            <w:pPr>
              <w:spacing w:before="0" w:line="240" w:lineRule="atLeast"/>
              <w:rPr>
                <w:rFonts w:ascii="Verdana" w:hAnsi="Verdana"/>
                <w:sz w:val="20"/>
              </w:rPr>
            </w:pPr>
          </w:p>
        </w:tc>
      </w:tr>
      <w:tr w:rsidR="00A066F1" w:rsidRPr="00BD2BF8" w14:paraId="5EB51769" w14:textId="77777777">
        <w:trPr>
          <w:cantSplit/>
          <w:trHeight w:val="23"/>
        </w:trPr>
        <w:tc>
          <w:tcPr>
            <w:tcW w:w="6911" w:type="dxa"/>
            <w:shd w:val="clear" w:color="auto" w:fill="auto"/>
          </w:tcPr>
          <w:p w14:paraId="0EC0B507" w14:textId="77777777" w:rsidR="00A066F1" w:rsidRPr="00BD2BF8"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D2BF8">
              <w:rPr>
                <w:rFonts w:ascii="Verdana" w:hAnsi="Verdana"/>
                <w:sz w:val="20"/>
                <w:szCs w:val="20"/>
              </w:rPr>
              <w:t>PLENARY MEETING</w:t>
            </w:r>
          </w:p>
        </w:tc>
        <w:tc>
          <w:tcPr>
            <w:tcW w:w="3120" w:type="dxa"/>
          </w:tcPr>
          <w:p w14:paraId="11ED7BDA" w14:textId="77777777" w:rsidR="00A066F1" w:rsidRPr="00BD2BF8" w:rsidRDefault="00E55816" w:rsidP="00AA666F">
            <w:pPr>
              <w:tabs>
                <w:tab w:val="left" w:pos="851"/>
              </w:tabs>
              <w:spacing w:before="0" w:line="240" w:lineRule="atLeast"/>
              <w:rPr>
                <w:rFonts w:ascii="Verdana" w:hAnsi="Verdana"/>
                <w:sz w:val="20"/>
              </w:rPr>
            </w:pPr>
            <w:r w:rsidRPr="00BD2BF8">
              <w:rPr>
                <w:rFonts w:ascii="Verdana" w:hAnsi="Verdana"/>
                <w:b/>
                <w:sz w:val="20"/>
              </w:rPr>
              <w:t>Addendum 6 to</w:t>
            </w:r>
            <w:r w:rsidRPr="00BD2BF8">
              <w:rPr>
                <w:rFonts w:ascii="Verdana" w:hAnsi="Verdana"/>
                <w:b/>
                <w:sz w:val="20"/>
              </w:rPr>
              <w:br/>
              <w:t>Document 11(Add.24)</w:t>
            </w:r>
            <w:r w:rsidR="00A066F1" w:rsidRPr="00BD2BF8">
              <w:rPr>
                <w:rFonts w:ascii="Verdana" w:hAnsi="Verdana"/>
                <w:b/>
                <w:sz w:val="20"/>
              </w:rPr>
              <w:t>-</w:t>
            </w:r>
            <w:r w:rsidR="005E10C9" w:rsidRPr="00BD2BF8">
              <w:rPr>
                <w:rFonts w:ascii="Verdana" w:hAnsi="Verdana"/>
                <w:b/>
                <w:sz w:val="20"/>
              </w:rPr>
              <w:t>E</w:t>
            </w:r>
          </w:p>
        </w:tc>
      </w:tr>
      <w:tr w:rsidR="00A066F1" w:rsidRPr="00BD2BF8" w14:paraId="23E99A52" w14:textId="77777777">
        <w:trPr>
          <w:cantSplit/>
          <w:trHeight w:val="23"/>
        </w:trPr>
        <w:tc>
          <w:tcPr>
            <w:tcW w:w="6911" w:type="dxa"/>
            <w:shd w:val="clear" w:color="auto" w:fill="auto"/>
          </w:tcPr>
          <w:p w14:paraId="64500058" w14:textId="77777777" w:rsidR="00A066F1" w:rsidRPr="00BD2BF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C2A0AB4" w14:textId="77777777" w:rsidR="00A066F1" w:rsidRPr="00BD2BF8" w:rsidRDefault="00420873" w:rsidP="00A066F1">
            <w:pPr>
              <w:tabs>
                <w:tab w:val="left" w:pos="993"/>
              </w:tabs>
              <w:spacing w:before="0"/>
              <w:rPr>
                <w:rFonts w:ascii="Verdana" w:hAnsi="Verdana"/>
                <w:sz w:val="20"/>
              </w:rPr>
            </w:pPr>
            <w:r w:rsidRPr="00BD2BF8">
              <w:rPr>
                <w:rFonts w:ascii="Verdana" w:hAnsi="Verdana"/>
                <w:b/>
                <w:sz w:val="20"/>
              </w:rPr>
              <w:t>17 September 2019</w:t>
            </w:r>
          </w:p>
        </w:tc>
      </w:tr>
      <w:tr w:rsidR="00A066F1" w:rsidRPr="00BD2BF8" w14:paraId="0E0F85E8" w14:textId="77777777">
        <w:trPr>
          <w:cantSplit/>
          <w:trHeight w:val="23"/>
        </w:trPr>
        <w:tc>
          <w:tcPr>
            <w:tcW w:w="6911" w:type="dxa"/>
            <w:shd w:val="clear" w:color="auto" w:fill="auto"/>
          </w:tcPr>
          <w:p w14:paraId="53D20A3D" w14:textId="77777777" w:rsidR="00A066F1" w:rsidRPr="00BD2BF8"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BDFA6D1" w14:textId="77777777" w:rsidR="00A066F1" w:rsidRPr="00BD2BF8" w:rsidRDefault="00E55816" w:rsidP="00A066F1">
            <w:pPr>
              <w:tabs>
                <w:tab w:val="left" w:pos="993"/>
              </w:tabs>
              <w:spacing w:before="0"/>
              <w:rPr>
                <w:rFonts w:ascii="Verdana" w:hAnsi="Verdana"/>
                <w:b/>
                <w:sz w:val="20"/>
              </w:rPr>
            </w:pPr>
            <w:r w:rsidRPr="00BD2BF8">
              <w:rPr>
                <w:rFonts w:ascii="Verdana" w:hAnsi="Verdana"/>
                <w:b/>
                <w:sz w:val="20"/>
              </w:rPr>
              <w:t>Original: English</w:t>
            </w:r>
            <w:r w:rsidR="00265BE5" w:rsidRPr="00BD2BF8">
              <w:rPr>
                <w:rFonts w:ascii="Verdana" w:hAnsi="Verdana"/>
                <w:b/>
                <w:sz w:val="20"/>
              </w:rPr>
              <w:t>/Spanish</w:t>
            </w:r>
          </w:p>
        </w:tc>
      </w:tr>
      <w:tr w:rsidR="00E55816" w:rsidRPr="00BD2BF8" w14:paraId="013CDD7F" w14:textId="77777777" w:rsidTr="00025864">
        <w:trPr>
          <w:cantSplit/>
          <w:trHeight w:val="23"/>
        </w:trPr>
        <w:tc>
          <w:tcPr>
            <w:tcW w:w="10031" w:type="dxa"/>
            <w:gridSpan w:val="2"/>
            <w:shd w:val="clear" w:color="auto" w:fill="auto"/>
          </w:tcPr>
          <w:p w14:paraId="56727D46" w14:textId="77777777" w:rsidR="00E55816" w:rsidRPr="00BD2BF8" w:rsidRDefault="00884D60" w:rsidP="00E55816">
            <w:pPr>
              <w:pStyle w:val="Source"/>
            </w:pPr>
            <w:r w:rsidRPr="00BD2BF8">
              <w:t>Member States of the Inter-American Telecommunication Commission (CITEL)</w:t>
            </w:r>
          </w:p>
        </w:tc>
      </w:tr>
      <w:tr w:rsidR="00E55816" w:rsidRPr="00BD2BF8" w14:paraId="743AC568" w14:textId="77777777" w:rsidTr="00025864">
        <w:trPr>
          <w:cantSplit/>
          <w:trHeight w:val="23"/>
        </w:trPr>
        <w:tc>
          <w:tcPr>
            <w:tcW w:w="10031" w:type="dxa"/>
            <w:gridSpan w:val="2"/>
            <w:shd w:val="clear" w:color="auto" w:fill="auto"/>
          </w:tcPr>
          <w:p w14:paraId="1709F64E" w14:textId="77777777" w:rsidR="00E55816" w:rsidRPr="00BD2BF8" w:rsidRDefault="007D5320" w:rsidP="00E55816">
            <w:pPr>
              <w:pStyle w:val="Title1"/>
            </w:pPr>
            <w:r w:rsidRPr="00BD2BF8">
              <w:t>Proposals for the work of the conference</w:t>
            </w:r>
          </w:p>
        </w:tc>
      </w:tr>
      <w:tr w:rsidR="00E55816" w:rsidRPr="00BD2BF8" w14:paraId="522A6020" w14:textId="77777777" w:rsidTr="00025864">
        <w:trPr>
          <w:cantSplit/>
          <w:trHeight w:val="23"/>
        </w:trPr>
        <w:tc>
          <w:tcPr>
            <w:tcW w:w="10031" w:type="dxa"/>
            <w:gridSpan w:val="2"/>
            <w:shd w:val="clear" w:color="auto" w:fill="auto"/>
          </w:tcPr>
          <w:p w14:paraId="0DB41F88" w14:textId="77777777" w:rsidR="00E55816" w:rsidRPr="00BD2BF8" w:rsidRDefault="00E55816" w:rsidP="00E55816">
            <w:pPr>
              <w:pStyle w:val="Title2"/>
            </w:pPr>
          </w:p>
        </w:tc>
      </w:tr>
      <w:tr w:rsidR="00A538A6" w:rsidRPr="00BD2BF8" w14:paraId="79D4E74A" w14:textId="77777777" w:rsidTr="00025864">
        <w:trPr>
          <w:cantSplit/>
          <w:trHeight w:val="23"/>
        </w:trPr>
        <w:tc>
          <w:tcPr>
            <w:tcW w:w="10031" w:type="dxa"/>
            <w:gridSpan w:val="2"/>
            <w:shd w:val="clear" w:color="auto" w:fill="auto"/>
          </w:tcPr>
          <w:p w14:paraId="3EB67C8C" w14:textId="77777777" w:rsidR="00A538A6" w:rsidRPr="00BD2BF8" w:rsidRDefault="004B13CB" w:rsidP="004B13CB">
            <w:pPr>
              <w:pStyle w:val="Agendaitem"/>
              <w:rPr>
                <w:lang w:val="en-GB"/>
              </w:rPr>
            </w:pPr>
            <w:r w:rsidRPr="00BD2BF8">
              <w:rPr>
                <w:lang w:val="en-GB"/>
              </w:rPr>
              <w:t>Agenda item 10</w:t>
            </w:r>
          </w:p>
        </w:tc>
      </w:tr>
    </w:tbl>
    <w:bookmarkEnd w:id="6"/>
    <w:bookmarkEnd w:id="7"/>
    <w:p w14:paraId="77B9F951" w14:textId="77777777" w:rsidR="005118F7" w:rsidRPr="00BD2BF8" w:rsidRDefault="007C0199" w:rsidP="00167FA6">
      <w:pPr>
        <w:overflowPunct/>
        <w:autoSpaceDE/>
        <w:autoSpaceDN/>
        <w:adjustRightInd/>
        <w:textAlignment w:val="auto"/>
      </w:pPr>
      <w:r w:rsidRPr="00BD2BF8">
        <w:t>10</w:t>
      </w:r>
      <w:r w:rsidRPr="00BD2BF8">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349E86F2" w14:textId="77777777" w:rsidR="00241FA2" w:rsidRPr="00BD2BF8" w:rsidRDefault="00C25DF0" w:rsidP="00C25DF0">
      <w:pPr>
        <w:pStyle w:val="Headingb"/>
        <w:rPr>
          <w:lang w:val="en-GB"/>
        </w:rPr>
      </w:pPr>
      <w:r w:rsidRPr="00BD2BF8">
        <w:rPr>
          <w:lang w:val="en-GB"/>
        </w:rPr>
        <w:t>Background</w:t>
      </w:r>
    </w:p>
    <w:p w14:paraId="40ABC8C2" w14:textId="002EB954" w:rsidR="00C25DF0" w:rsidRPr="00BD2BF8" w:rsidRDefault="00C25DF0" w:rsidP="005E2D03">
      <w:r w:rsidRPr="00BD2BF8">
        <w:t xml:space="preserve">The studies carried out under </w:t>
      </w:r>
      <w:r w:rsidR="005E2D03" w:rsidRPr="00BD2BF8">
        <w:t>a</w:t>
      </w:r>
      <w:r w:rsidRPr="00BD2BF8">
        <w:t xml:space="preserve">genda </w:t>
      </w:r>
      <w:r w:rsidR="005E2D03" w:rsidRPr="00BD2BF8">
        <w:t>i</w:t>
      </w:r>
      <w:r w:rsidRPr="00BD2BF8">
        <w:t xml:space="preserve">tem 1.17 of WRC-2000 that led to the adoption of RR </w:t>
      </w:r>
      <w:r w:rsidR="005E2D03" w:rsidRPr="00BD2BF8">
        <w:t>f</w:t>
      </w:r>
      <w:r w:rsidRPr="00BD2BF8">
        <w:t xml:space="preserve">ootnote </w:t>
      </w:r>
      <w:r w:rsidRPr="00BD2BF8">
        <w:rPr>
          <w:b/>
          <w:bCs/>
        </w:rPr>
        <w:t>No. 5.522B</w:t>
      </w:r>
      <w:r w:rsidRPr="00BD2BF8">
        <w:t xml:space="preserve"> were not framed to review all types of non-geostationary systems of the fixed</w:t>
      </w:r>
      <w:r w:rsidR="00BD2BF8" w:rsidRPr="00BD2BF8">
        <w:t>-satellite service</w:t>
      </w:r>
      <w:r w:rsidRPr="00BD2BF8">
        <w:t xml:space="preserve"> that could operate in the frequency band 18.6-18.8 GHz. </w:t>
      </w:r>
    </w:p>
    <w:p w14:paraId="194181F6" w14:textId="5F9472C2" w:rsidR="00C25DF0" w:rsidRPr="00BD2BF8" w:rsidRDefault="00C25DF0" w:rsidP="00C25DF0">
      <w:r w:rsidRPr="00BD2BF8">
        <w:t>These studies were limited to systems in the fixed-satellite service in high elliptical orbit and low</w:t>
      </w:r>
      <w:r w:rsidR="00BD2BF8" w:rsidRPr="00BD2BF8">
        <w:t xml:space="preserve">-Earth </w:t>
      </w:r>
      <w:r w:rsidRPr="00BD2BF8">
        <w:t xml:space="preserve">orbit. In addition, at that time, a single non-geostationary satellite system was scheduled to operate in that frequency band with an orbit whose apogee was greater than </w:t>
      </w:r>
      <w:r w:rsidR="00BD2BF8" w:rsidRPr="00BD2BF8">
        <w:t>20 000</w:t>
      </w:r>
      <w:r w:rsidRPr="00BD2BF8">
        <w:t xml:space="preserve"> km. </w:t>
      </w:r>
    </w:p>
    <w:p w14:paraId="012378C9" w14:textId="0610D2D1" w:rsidR="00C25DF0" w:rsidRPr="00BD2BF8" w:rsidRDefault="00C25DF0" w:rsidP="00C25DF0">
      <w:r w:rsidRPr="00BD2BF8">
        <w:t>Today, given the increased global demand for broadband services by low</w:t>
      </w:r>
      <w:r w:rsidR="00E87CD2" w:rsidRPr="00BD2BF8">
        <w:t xml:space="preserve">-Earth </w:t>
      </w:r>
      <w:r w:rsidRPr="00BD2BF8">
        <w:t>orbit and medium</w:t>
      </w:r>
      <w:r w:rsidR="00E87CD2" w:rsidRPr="00BD2BF8">
        <w:t xml:space="preserve">-Earth </w:t>
      </w:r>
      <w:r w:rsidRPr="00BD2BF8">
        <w:t>orbit systems and the progress seen in space-related technologies in recent years, it is deemed necessary to revisit the studies carried out almost 20 years ago in the frequency band 18.6-18.8</w:t>
      </w:r>
      <w:r w:rsidR="00E87CD2" w:rsidRPr="00BD2BF8">
        <w:t> </w:t>
      </w:r>
      <w:r w:rsidRPr="00BD2BF8">
        <w:t>GHz, so as to contemplate orbits with apogees equal to or less than 20</w:t>
      </w:r>
      <w:r w:rsidR="00E87CD2" w:rsidRPr="00BD2BF8">
        <w:t> </w:t>
      </w:r>
      <w:r w:rsidRPr="00BD2BF8">
        <w:t>000 km. The evidently growing demand for services using the frequency bands 27.5-30 GHz (Earth-space) and 17.7-20.2</w:t>
      </w:r>
      <w:r w:rsidR="00E87CD2" w:rsidRPr="00BD2BF8">
        <w:t> </w:t>
      </w:r>
      <w:r w:rsidRPr="00BD2BF8">
        <w:t>GHz (space-Earth) for non-geostationary systems is illustrated by such examples such as the medium</w:t>
      </w:r>
      <w:r w:rsidR="00E87CD2" w:rsidRPr="00BD2BF8">
        <w:t>-</w:t>
      </w:r>
      <w:r w:rsidRPr="00BD2BF8">
        <w:t xml:space="preserve">Earth orbit O3b constellation, which successfully operates worldwide in parts of these bands, as well as other systems recently launched or in the process of being operational in the near future. </w:t>
      </w:r>
    </w:p>
    <w:p w14:paraId="48DD7642" w14:textId="096DE044" w:rsidR="00C25DF0" w:rsidRPr="00BD2BF8" w:rsidRDefault="00C25DF0" w:rsidP="00C25DF0">
      <w:r w:rsidRPr="00BD2BF8">
        <w:t>Consequently, it is appropriate to facilitate accessing by non-geostationary low</w:t>
      </w:r>
      <w:r w:rsidR="00E87CD2" w:rsidRPr="00BD2BF8">
        <w:t>-</w:t>
      </w:r>
      <w:r w:rsidRPr="00BD2BF8">
        <w:t>Earth orbit and medium</w:t>
      </w:r>
      <w:r w:rsidR="00E87CD2" w:rsidRPr="00BD2BF8">
        <w:t>-</w:t>
      </w:r>
      <w:r w:rsidRPr="00BD2BF8">
        <w:t>Earth orbit systems to spectrum in the space-to-Earth direction in the band 18.6-18.8 GHz, thereby enabling their contiguous use in the range 17.7-20.2 GHz, for which it is essential to consider coexistence with other services that could potentially be affected.</w:t>
      </w:r>
    </w:p>
    <w:p w14:paraId="730EA781" w14:textId="77777777" w:rsidR="00C25DF0" w:rsidRPr="00BD2BF8" w:rsidRDefault="00C25DF0" w:rsidP="00C25DF0">
      <w:pPr>
        <w:pStyle w:val="Headingb"/>
        <w:rPr>
          <w:lang w:val="en-GB"/>
        </w:rPr>
      </w:pPr>
      <w:r w:rsidRPr="00BD2BF8">
        <w:rPr>
          <w:lang w:val="en-GB"/>
        </w:rPr>
        <w:t>Objective</w:t>
      </w:r>
    </w:p>
    <w:p w14:paraId="143CE9E4" w14:textId="0A666D18" w:rsidR="00C25DF0" w:rsidRPr="00BD2BF8" w:rsidRDefault="00C25DF0" w:rsidP="00C25DF0">
      <w:r w:rsidRPr="00BD2BF8">
        <w:t>We propose studying and developing the technical and regulatory conditions under which non-geostationary satellites with an orbit whose apogee is equal to or less than 20</w:t>
      </w:r>
      <w:r w:rsidR="00E87CD2" w:rsidRPr="00BD2BF8">
        <w:t> </w:t>
      </w:r>
      <w:r w:rsidRPr="00BD2BF8">
        <w:t xml:space="preserve">000 km can operate without causing unacceptable interferences to the stations of other services having primary attributions in </w:t>
      </w:r>
      <w:r w:rsidR="008059F1" w:rsidRPr="00BD2BF8">
        <w:t>the frequency band 18.6-18.8 GHz</w:t>
      </w:r>
      <w:r w:rsidRPr="00BD2BF8">
        <w:t>.</w:t>
      </w:r>
    </w:p>
    <w:p w14:paraId="230D9775" w14:textId="77777777" w:rsidR="00BB48BC" w:rsidRPr="00BD2BF8" w:rsidRDefault="007C0199">
      <w:pPr>
        <w:pStyle w:val="Proposal"/>
      </w:pPr>
      <w:r w:rsidRPr="00BD2BF8">
        <w:lastRenderedPageBreak/>
        <w:t>ADD</w:t>
      </w:r>
      <w:r w:rsidRPr="00BD2BF8">
        <w:tab/>
        <w:t>IAP/11A2</w:t>
      </w:r>
      <w:bookmarkStart w:id="8" w:name="_GoBack"/>
      <w:bookmarkEnd w:id="8"/>
      <w:r w:rsidRPr="00BD2BF8">
        <w:t>4A6/1</w:t>
      </w:r>
    </w:p>
    <w:p w14:paraId="5B7831F4" w14:textId="77777777" w:rsidR="00BB48BC" w:rsidRPr="00BD2BF8" w:rsidRDefault="007C0199" w:rsidP="00DB4CA2">
      <w:pPr>
        <w:pStyle w:val="ResNo"/>
      </w:pPr>
      <w:r w:rsidRPr="00BD2BF8">
        <w:t>Draft New Resolution [IAP</w:t>
      </w:r>
      <w:r w:rsidR="00DB4CA2" w:rsidRPr="00BD2BF8">
        <w:t>/</w:t>
      </w:r>
      <w:r w:rsidRPr="00BD2BF8">
        <w:t>10(F)-2023]</w:t>
      </w:r>
      <w:r w:rsidR="00C25DF0" w:rsidRPr="00BD2BF8">
        <w:t xml:space="preserve"> (WRC-19)</w:t>
      </w:r>
    </w:p>
    <w:p w14:paraId="2D213E4D" w14:textId="77777777" w:rsidR="00BB48BC" w:rsidRPr="00BD2BF8" w:rsidRDefault="00C25DF0" w:rsidP="00C25DF0">
      <w:pPr>
        <w:pStyle w:val="Restitle"/>
      </w:pPr>
      <w:r w:rsidRPr="00BD2BF8">
        <w:t>Agenda for the 2023 World Radiocommunication Conference</w:t>
      </w:r>
    </w:p>
    <w:p w14:paraId="6F5FCF96" w14:textId="5F3FE6CA" w:rsidR="00C25DF0" w:rsidRPr="00BD2BF8" w:rsidRDefault="00C25DF0" w:rsidP="00C25DF0">
      <w:pPr>
        <w:pStyle w:val="Normalaftertitle"/>
      </w:pPr>
      <w:r w:rsidRPr="00BD2BF8">
        <w:t>The World Radiocommunication Conference (Sharm</w:t>
      </w:r>
      <w:r w:rsidR="004147DE" w:rsidRPr="00BD2BF8">
        <w:t xml:space="preserve"> e</w:t>
      </w:r>
      <w:r w:rsidRPr="00BD2BF8">
        <w:t>l-Sheikh, 2019),</w:t>
      </w:r>
    </w:p>
    <w:p w14:paraId="49AB8F80" w14:textId="77777777" w:rsidR="00C25DF0" w:rsidRPr="00BD2BF8" w:rsidRDefault="00C25DF0" w:rsidP="00C25DF0">
      <w:r w:rsidRPr="00BD2BF8">
        <w:t>…</w:t>
      </w:r>
    </w:p>
    <w:p w14:paraId="55ACEB74" w14:textId="7058F51E" w:rsidR="00C25DF0" w:rsidRPr="00BD2BF8" w:rsidRDefault="005E2D03">
      <w:pPr>
        <w:rPr>
          <w:rFonts w:eastAsia="Calibri"/>
          <w:color w:val="000000"/>
        </w:rPr>
      </w:pPr>
      <w:r w:rsidRPr="00BD2BF8">
        <w:rPr>
          <w:rFonts w:eastAsia="Calibri"/>
          <w:color w:val="000000"/>
        </w:rPr>
        <w:t>1.xx</w:t>
      </w:r>
      <w:r w:rsidRPr="00BD2BF8">
        <w:rPr>
          <w:rFonts w:eastAsia="Calibri"/>
          <w:color w:val="000000"/>
        </w:rPr>
        <w:tab/>
      </w:r>
      <w:r w:rsidR="00C25DF0" w:rsidRPr="00BD2BF8">
        <w:rPr>
          <w:rFonts w:eastAsia="Calibri"/>
          <w:color w:val="000000"/>
        </w:rPr>
        <w:t>study the technical and regulatory provisions for non-geostationary systems in the fixed</w:t>
      </w:r>
      <w:r w:rsidRPr="00BD2BF8">
        <w:rPr>
          <w:rFonts w:eastAsia="Calibri"/>
          <w:color w:val="000000"/>
        </w:rPr>
        <w:t>-</w:t>
      </w:r>
      <w:r w:rsidR="00C25DF0" w:rsidRPr="00BD2BF8">
        <w:rPr>
          <w:rFonts w:eastAsia="Calibri"/>
          <w:color w:val="000000"/>
        </w:rPr>
        <w:t>satellite service operating in the frequency band 18.6-18.8 GHz with an orbit whose apogee is less than 20</w:t>
      </w:r>
      <w:r w:rsidR="004147DE" w:rsidRPr="00BD2BF8">
        <w:rPr>
          <w:rFonts w:eastAsia="Calibri"/>
          <w:color w:val="000000"/>
        </w:rPr>
        <w:t> </w:t>
      </w:r>
      <w:r w:rsidR="00C25DF0" w:rsidRPr="00BD2BF8">
        <w:rPr>
          <w:rFonts w:eastAsia="Calibri"/>
          <w:color w:val="000000"/>
        </w:rPr>
        <w:t xml:space="preserve">000 km, in accordance with Resolution </w:t>
      </w:r>
      <w:r w:rsidR="00C25DF0" w:rsidRPr="00BD2BF8">
        <w:rPr>
          <w:rFonts w:eastAsia="Calibri"/>
          <w:b/>
          <w:bCs/>
          <w:color w:val="000000"/>
        </w:rPr>
        <w:t>[IAP/10(F)/NGSO-FSS]</w:t>
      </w:r>
      <w:r w:rsidR="00B64495" w:rsidRPr="00BD2BF8">
        <w:rPr>
          <w:rFonts w:eastAsia="Calibri"/>
          <w:b/>
          <w:bCs/>
          <w:color w:val="000000"/>
        </w:rPr>
        <w:t xml:space="preserve"> (WRC</w:t>
      </w:r>
      <w:r w:rsidR="00C25DF0" w:rsidRPr="00BD2BF8">
        <w:rPr>
          <w:rFonts w:eastAsia="Calibri"/>
          <w:b/>
          <w:bCs/>
          <w:color w:val="000000"/>
        </w:rPr>
        <w:t>-19)</w:t>
      </w:r>
      <w:r w:rsidR="00C25DF0" w:rsidRPr="00BD2BF8">
        <w:rPr>
          <w:rFonts w:eastAsia="Calibri"/>
          <w:color w:val="000000"/>
        </w:rPr>
        <w:t>.</w:t>
      </w:r>
    </w:p>
    <w:p w14:paraId="65D1A5B1" w14:textId="77777777" w:rsidR="00BB48BC" w:rsidRPr="00BD2BF8" w:rsidRDefault="007C0199" w:rsidP="00C25DF0">
      <w:pPr>
        <w:pStyle w:val="Reasons"/>
      </w:pPr>
      <w:r w:rsidRPr="00BD2BF8">
        <w:rPr>
          <w:b/>
        </w:rPr>
        <w:t>Reasons:</w:t>
      </w:r>
      <w:r w:rsidRPr="00BD2BF8">
        <w:tab/>
      </w:r>
      <w:r w:rsidR="00C25DF0" w:rsidRPr="00BD2BF8">
        <w:t>To modify the Agenda for WRC-23.</w:t>
      </w:r>
    </w:p>
    <w:p w14:paraId="36CE6E5D" w14:textId="77777777" w:rsidR="00BB48BC" w:rsidRPr="00BD2BF8" w:rsidRDefault="007C0199">
      <w:pPr>
        <w:pStyle w:val="Proposal"/>
      </w:pPr>
      <w:r w:rsidRPr="00BD2BF8">
        <w:t>ADD</w:t>
      </w:r>
      <w:r w:rsidRPr="00BD2BF8">
        <w:tab/>
        <w:t>IAP/11A24A6/2</w:t>
      </w:r>
    </w:p>
    <w:p w14:paraId="286CB151" w14:textId="77777777" w:rsidR="00BB48BC" w:rsidRPr="00BD2BF8" w:rsidRDefault="00DB4CA2">
      <w:pPr>
        <w:pStyle w:val="ResNo"/>
      </w:pPr>
      <w:r w:rsidRPr="00BD2BF8">
        <w:t>Draft New Resolution [IAP/</w:t>
      </w:r>
      <w:r w:rsidR="007C0199" w:rsidRPr="00BD2BF8">
        <w:t>10(f)/NGSO-FSS]</w:t>
      </w:r>
      <w:r w:rsidR="00C25DF0" w:rsidRPr="00BD2BF8">
        <w:t xml:space="preserve"> (WRC-19)</w:t>
      </w:r>
    </w:p>
    <w:p w14:paraId="6CDB277F" w14:textId="16241E7B" w:rsidR="00BB48BC" w:rsidRPr="00BD2BF8" w:rsidRDefault="00C25DF0" w:rsidP="00C25DF0">
      <w:pPr>
        <w:pStyle w:val="Restitle"/>
      </w:pPr>
      <w:r w:rsidRPr="00BD2BF8">
        <w:t>Study of the technical and regulatory provisions for non-geostationary systems in the fixed-satellite service operating in the frequency band 18.6-18.8 GHz with an orbit whose apogee is less than 20</w:t>
      </w:r>
      <w:r w:rsidR="004147DE" w:rsidRPr="00BD2BF8">
        <w:t> </w:t>
      </w:r>
      <w:r w:rsidRPr="00BD2BF8">
        <w:t>000 km</w:t>
      </w:r>
    </w:p>
    <w:p w14:paraId="2E872062" w14:textId="7841BC34" w:rsidR="00C25DF0" w:rsidRPr="00BD2BF8" w:rsidRDefault="00C25DF0" w:rsidP="00BD2BF8">
      <w:pPr>
        <w:pStyle w:val="Normalaftertitle"/>
      </w:pPr>
      <w:r w:rsidRPr="00BD2BF8">
        <w:t>The World Radiocommunication Conference (Sharm</w:t>
      </w:r>
      <w:r w:rsidR="004147DE" w:rsidRPr="00BD2BF8">
        <w:t xml:space="preserve"> e</w:t>
      </w:r>
      <w:r w:rsidRPr="00BD2BF8">
        <w:t>l-Sheikh, 2019),</w:t>
      </w:r>
    </w:p>
    <w:p w14:paraId="10F22326" w14:textId="77777777" w:rsidR="00BB48BC" w:rsidRPr="00BD2BF8" w:rsidRDefault="00C25DF0" w:rsidP="00C25DF0">
      <w:pPr>
        <w:pStyle w:val="Call"/>
        <w:rPr>
          <w:color w:val="000000"/>
        </w:rPr>
      </w:pPr>
      <w:r w:rsidRPr="00BD2BF8">
        <w:t>considering</w:t>
      </w:r>
    </w:p>
    <w:p w14:paraId="343B3096" w14:textId="3EB90672" w:rsidR="009A0434" w:rsidRPr="00BD2BF8" w:rsidRDefault="006957E5">
      <w:pPr>
        <w:rPr>
          <w:rFonts w:eastAsia="Calibri"/>
        </w:rPr>
      </w:pPr>
      <w:r w:rsidRPr="00BD2BF8">
        <w:rPr>
          <w:rFonts w:eastAsia="Calibri"/>
          <w:i/>
          <w:iCs/>
        </w:rPr>
        <w:t>a)</w:t>
      </w:r>
      <w:r w:rsidRPr="00BD2BF8">
        <w:rPr>
          <w:rFonts w:eastAsia="Calibri"/>
        </w:rPr>
        <w:tab/>
      </w:r>
      <w:r w:rsidR="009A0434" w:rsidRPr="00BD2BF8">
        <w:rPr>
          <w:rFonts w:eastAsia="Calibri"/>
        </w:rPr>
        <w:t>that in Region 2, the frequency band 18.3-19.3 GHz is one of those identified in No.</w:t>
      </w:r>
      <w:r w:rsidR="004147DE" w:rsidRPr="00BD2BF8">
        <w:rPr>
          <w:rFonts w:eastAsia="Calibri"/>
        </w:rPr>
        <w:t> </w:t>
      </w:r>
      <w:r w:rsidR="009A0434" w:rsidRPr="00BD2BF8">
        <w:rPr>
          <w:rFonts w:eastAsia="Calibri"/>
          <w:b/>
        </w:rPr>
        <w:t>5.516B</w:t>
      </w:r>
      <w:r w:rsidR="009A0434" w:rsidRPr="00BD2BF8">
        <w:rPr>
          <w:rFonts w:eastAsia="Calibri"/>
        </w:rPr>
        <w:t xml:space="preserve"> of the Radio Regulations for use by high density applications of the </w:t>
      </w:r>
      <w:r w:rsidR="005E2D03" w:rsidRPr="00BD2BF8">
        <w:rPr>
          <w:rFonts w:eastAsia="Calibri"/>
        </w:rPr>
        <w:t>f</w:t>
      </w:r>
      <w:r w:rsidR="009A0434" w:rsidRPr="00BD2BF8">
        <w:rPr>
          <w:rFonts w:eastAsia="Calibri"/>
        </w:rPr>
        <w:t>ixed</w:t>
      </w:r>
      <w:r w:rsidR="005E2D03" w:rsidRPr="00BD2BF8">
        <w:rPr>
          <w:rFonts w:eastAsia="Calibri"/>
        </w:rPr>
        <w:t>-s</w:t>
      </w:r>
      <w:r w:rsidR="009A0434" w:rsidRPr="00BD2BF8">
        <w:rPr>
          <w:rFonts w:eastAsia="Calibri"/>
        </w:rPr>
        <w:t xml:space="preserve">atellite </w:t>
      </w:r>
      <w:r w:rsidR="005E2D03" w:rsidRPr="00BD2BF8">
        <w:rPr>
          <w:rFonts w:eastAsia="Calibri"/>
        </w:rPr>
        <w:t>s</w:t>
      </w:r>
      <w:r w:rsidR="009A0434" w:rsidRPr="00BD2BF8">
        <w:rPr>
          <w:rFonts w:eastAsia="Calibri"/>
        </w:rPr>
        <w:t>ervice in the space-</w:t>
      </w:r>
      <w:r w:rsidR="005E2D03" w:rsidRPr="00BD2BF8">
        <w:rPr>
          <w:rFonts w:eastAsia="Calibri"/>
        </w:rPr>
        <w:t>to-</w:t>
      </w:r>
      <w:r w:rsidR="009A0434" w:rsidRPr="00BD2BF8">
        <w:rPr>
          <w:rFonts w:eastAsia="Calibri"/>
        </w:rPr>
        <w:t>Earth direction;</w:t>
      </w:r>
    </w:p>
    <w:p w14:paraId="5DC3C4C7" w14:textId="3A7A28E5" w:rsidR="009A0434" w:rsidRPr="00BD2BF8" w:rsidRDefault="006957E5">
      <w:pPr>
        <w:rPr>
          <w:rFonts w:eastAsia="Calibri"/>
        </w:rPr>
      </w:pPr>
      <w:r w:rsidRPr="00BD2BF8">
        <w:rPr>
          <w:rFonts w:eastAsia="Calibri"/>
          <w:i/>
          <w:iCs/>
        </w:rPr>
        <w:t>b)</w:t>
      </w:r>
      <w:r w:rsidRPr="00BD2BF8">
        <w:rPr>
          <w:rFonts w:eastAsia="Calibri"/>
        </w:rPr>
        <w:tab/>
      </w:r>
      <w:r w:rsidR="009A0434" w:rsidRPr="00BD2BF8">
        <w:rPr>
          <w:rFonts w:eastAsia="Calibri"/>
        </w:rPr>
        <w:t xml:space="preserve">that several non-geostationary satellite systems of the </w:t>
      </w:r>
      <w:r w:rsidR="005E2D03" w:rsidRPr="00BD2BF8">
        <w:rPr>
          <w:rFonts w:eastAsia="Calibri"/>
        </w:rPr>
        <w:t>f</w:t>
      </w:r>
      <w:r w:rsidR="009A0434" w:rsidRPr="00BD2BF8">
        <w:rPr>
          <w:rFonts w:eastAsia="Calibri"/>
        </w:rPr>
        <w:t>ixed</w:t>
      </w:r>
      <w:r w:rsidR="005E2D03" w:rsidRPr="00BD2BF8">
        <w:rPr>
          <w:rFonts w:eastAsia="Calibri"/>
        </w:rPr>
        <w:t>-s</w:t>
      </w:r>
      <w:r w:rsidR="009A0434" w:rsidRPr="00BD2BF8">
        <w:rPr>
          <w:rFonts w:eastAsia="Calibri"/>
        </w:rPr>
        <w:t xml:space="preserve">atellite </w:t>
      </w:r>
      <w:r w:rsidR="005E2D03" w:rsidRPr="00BD2BF8">
        <w:rPr>
          <w:rFonts w:eastAsia="Calibri"/>
        </w:rPr>
        <w:t>s</w:t>
      </w:r>
      <w:r w:rsidR="009A0434" w:rsidRPr="00BD2BF8">
        <w:rPr>
          <w:rFonts w:eastAsia="Calibri"/>
        </w:rPr>
        <w:t>ervice are deployed with orbits whose apogees are less than 20</w:t>
      </w:r>
      <w:r w:rsidR="004147DE" w:rsidRPr="00BD2BF8">
        <w:rPr>
          <w:rFonts w:eastAsia="Calibri"/>
        </w:rPr>
        <w:t> </w:t>
      </w:r>
      <w:r w:rsidR="009A0434" w:rsidRPr="00BD2BF8">
        <w:rPr>
          <w:rFonts w:eastAsia="Calibri"/>
        </w:rPr>
        <w:t>000 km and operate in bands adjacent to the frequency segment 18.6-18.8 GHz;</w:t>
      </w:r>
    </w:p>
    <w:p w14:paraId="3A6101C7" w14:textId="77777777" w:rsidR="009A0434" w:rsidRPr="00BD2BF8" w:rsidRDefault="006957E5">
      <w:pPr>
        <w:rPr>
          <w:rFonts w:eastAsia="Calibri"/>
        </w:rPr>
      </w:pPr>
      <w:r w:rsidRPr="00BD2BF8">
        <w:rPr>
          <w:rFonts w:eastAsia="Calibri"/>
          <w:i/>
          <w:iCs/>
        </w:rPr>
        <w:t>c)</w:t>
      </w:r>
      <w:r w:rsidRPr="00BD2BF8">
        <w:rPr>
          <w:rFonts w:eastAsia="Calibri"/>
        </w:rPr>
        <w:tab/>
      </w:r>
      <w:r w:rsidR="009A0434" w:rsidRPr="00BD2BF8">
        <w:rPr>
          <w:rFonts w:eastAsia="Calibri"/>
        </w:rPr>
        <w:t xml:space="preserve">that, in accordance with Article </w:t>
      </w:r>
      <w:r w:rsidR="009A0434" w:rsidRPr="00BD2BF8">
        <w:rPr>
          <w:rFonts w:eastAsia="Calibri"/>
          <w:b/>
          <w:bCs/>
        </w:rPr>
        <w:t>22</w:t>
      </w:r>
      <w:r w:rsidR="009A0434" w:rsidRPr="00BD2BF8">
        <w:rPr>
          <w:rFonts w:eastAsia="Calibri"/>
        </w:rPr>
        <w:t xml:space="preserve">, non-geostationary systems shall not cause unacceptable interference to the geostationary satellite networks of the </w:t>
      </w:r>
      <w:r w:rsidR="005E2D03" w:rsidRPr="00BD2BF8">
        <w:rPr>
          <w:rFonts w:eastAsia="Calibri"/>
        </w:rPr>
        <w:t>f</w:t>
      </w:r>
      <w:r w:rsidR="009A0434" w:rsidRPr="00BD2BF8">
        <w:rPr>
          <w:rFonts w:eastAsia="Calibri"/>
        </w:rPr>
        <w:t>ixed</w:t>
      </w:r>
      <w:r w:rsidR="005E2D03" w:rsidRPr="00BD2BF8">
        <w:rPr>
          <w:rFonts w:eastAsia="Calibri"/>
        </w:rPr>
        <w:t>-s</w:t>
      </w:r>
      <w:r w:rsidR="009A0434" w:rsidRPr="00BD2BF8">
        <w:rPr>
          <w:rFonts w:eastAsia="Calibri"/>
        </w:rPr>
        <w:t xml:space="preserve">atellite </w:t>
      </w:r>
      <w:r w:rsidR="005E2D03" w:rsidRPr="00BD2BF8">
        <w:rPr>
          <w:rFonts w:eastAsia="Calibri"/>
        </w:rPr>
        <w:t>s</w:t>
      </w:r>
      <w:r w:rsidR="009A0434" w:rsidRPr="00BD2BF8">
        <w:rPr>
          <w:rFonts w:eastAsia="Calibri"/>
        </w:rPr>
        <w:t xml:space="preserve">ervice and the </w:t>
      </w:r>
      <w:r w:rsidR="005E2D03" w:rsidRPr="00BD2BF8">
        <w:rPr>
          <w:rFonts w:eastAsia="Calibri"/>
        </w:rPr>
        <w:t>b</w:t>
      </w:r>
      <w:r w:rsidR="009A0434" w:rsidRPr="00BD2BF8">
        <w:rPr>
          <w:rFonts w:eastAsia="Calibri"/>
        </w:rPr>
        <w:t>roadcasting</w:t>
      </w:r>
      <w:r w:rsidR="005E2D03" w:rsidRPr="00BD2BF8">
        <w:rPr>
          <w:rFonts w:eastAsia="Calibri"/>
        </w:rPr>
        <w:t>-s</w:t>
      </w:r>
      <w:r w:rsidR="009A0434" w:rsidRPr="00BD2BF8">
        <w:rPr>
          <w:rFonts w:eastAsia="Calibri"/>
        </w:rPr>
        <w:t xml:space="preserve">atellite </w:t>
      </w:r>
      <w:r w:rsidR="005E2D03" w:rsidRPr="00BD2BF8">
        <w:rPr>
          <w:rFonts w:eastAsia="Calibri"/>
        </w:rPr>
        <w:t>s</w:t>
      </w:r>
      <w:r w:rsidR="009A0434" w:rsidRPr="00BD2BF8">
        <w:rPr>
          <w:rFonts w:eastAsia="Calibri"/>
        </w:rPr>
        <w:t xml:space="preserve">ervice, operating in accordance with the provisions of the </w:t>
      </w:r>
      <w:r w:rsidR="005E2D03" w:rsidRPr="00BD2BF8">
        <w:rPr>
          <w:rFonts w:eastAsia="Calibri"/>
        </w:rPr>
        <w:t xml:space="preserve">Radio Regulations </w:t>
      </w:r>
      <w:r w:rsidR="009A0434" w:rsidRPr="00BD2BF8">
        <w:rPr>
          <w:rFonts w:eastAsia="Calibri"/>
        </w:rPr>
        <w:t xml:space="preserve">and, unless otherwise stated in the </w:t>
      </w:r>
      <w:r w:rsidR="005E2D03" w:rsidRPr="00BD2BF8">
        <w:rPr>
          <w:rFonts w:eastAsia="Calibri"/>
        </w:rPr>
        <w:t xml:space="preserve">Radio </w:t>
      </w:r>
      <w:r w:rsidR="009A0434" w:rsidRPr="00BD2BF8">
        <w:rPr>
          <w:rFonts w:eastAsia="Calibri"/>
        </w:rPr>
        <w:t>Regulations, they should not claim protection against them;</w:t>
      </w:r>
    </w:p>
    <w:p w14:paraId="368DEFF5" w14:textId="6E31DDFF" w:rsidR="009A0434" w:rsidRPr="00BD2BF8" w:rsidRDefault="006957E5">
      <w:pPr>
        <w:rPr>
          <w:rFonts w:eastAsia="Calibri"/>
        </w:rPr>
      </w:pPr>
      <w:r w:rsidRPr="00BD2BF8">
        <w:rPr>
          <w:rFonts w:eastAsia="Calibri"/>
          <w:i/>
          <w:iCs/>
        </w:rPr>
        <w:t>d)</w:t>
      </w:r>
      <w:r w:rsidRPr="00BD2BF8">
        <w:rPr>
          <w:rFonts w:eastAsia="Calibri"/>
        </w:rPr>
        <w:tab/>
      </w:r>
      <w:r w:rsidR="009A0434" w:rsidRPr="00BD2BF8">
        <w:rPr>
          <w:rFonts w:eastAsia="Calibri"/>
        </w:rPr>
        <w:t xml:space="preserve">that the 18.6-18.8 GHz band is also allocated on a primary basis to the Earth </w:t>
      </w:r>
      <w:r w:rsidR="005E2D03" w:rsidRPr="00BD2BF8">
        <w:rPr>
          <w:rFonts w:eastAsia="Calibri"/>
        </w:rPr>
        <w:t>e</w:t>
      </w:r>
      <w:r w:rsidR="009A0434" w:rsidRPr="00BD2BF8">
        <w:rPr>
          <w:rFonts w:eastAsia="Calibri"/>
        </w:rPr>
        <w:t>xploration</w:t>
      </w:r>
      <w:r w:rsidR="005E2D03" w:rsidRPr="00BD2BF8">
        <w:rPr>
          <w:rFonts w:eastAsia="Calibri"/>
        </w:rPr>
        <w:t>-s</w:t>
      </w:r>
      <w:r w:rsidR="009A0434" w:rsidRPr="00BD2BF8">
        <w:rPr>
          <w:rFonts w:eastAsia="Calibri"/>
        </w:rPr>
        <w:t xml:space="preserve">atellite </w:t>
      </w:r>
      <w:r w:rsidR="005E2D03" w:rsidRPr="00BD2BF8">
        <w:rPr>
          <w:rFonts w:eastAsia="Calibri"/>
        </w:rPr>
        <w:t>s</w:t>
      </w:r>
      <w:r w:rsidR="009A0434" w:rsidRPr="00BD2BF8">
        <w:rPr>
          <w:rFonts w:eastAsia="Calibri"/>
        </w:rPr>
        <w:t xml:space="preserve">ervice (passive) and the </w:t>
      </w:r>
      <w:r w:rsidR="005E2D03" w:rsidRPr="00BD2BF8">
        <w:rPr>
          <w:rFonts w:eastAsia="Calibri"/>
        </w:rPr>
        <w:t>s</w:t>
      </w:r>
      <w:r w:rsidR="009A0434" w:rsidRPr="00BD2BF8">
        <w:rPr>
          <w:rFonts w:eastAsia="Calibri"/>
        </w:rPr>
        <w:t xml:space="preserve">pace </w:t>
      </w:r>
      <w:r w:rsidR="005E2D03" w:rsidRPr="00BD2BF8">
        <w:rPr>
          <w:rFonts w:eastAsia="Calibri"/>
        </w:rPr>
        <w:t>r</w:t>
      </w:r>
      <w:r w:rsidR="009A0434" w:rsidRPr="00BD2BF8">
        <w:rPr>
          <w:rFonts w:eastAsia="Calibri"/>
        </w:rPr>
        <w:t xml:space="preserve">esearch </w:t>
      </w:r>
      <w:r w:rsidR="005E2D03" w:rsidRPr="00BD2BF8">
        <w:rPr>
          <w:rFonts w:eastAsia="Calibri"/>
        </w:rPr>
        <w:t>s</w:t>
      </w:r>
      <w:r w:rsidR="009A0434" w:rsidRPr="00BD2BF8">
        <w:rPr>
          <w:rFonts w:eastAsia="Calibri"/>
        </w:rPr>
        <w:t xml:space="preserve">ervice (passive), given that Article </w:t>
      </w:r>
      <w:r w:rsidR="009A0434" w:rsidRPr="00BD2BF8">
        <w:rPr>
          <w:rFonts w:eastAsia="Calibri"/>
          <w:b/>
          <w:bCs/>
        </w:rPr>
        <w:t>21</w:t>
      </w:r>
      <w:r w:rsidR="009A0434" w:rsidRPr="00BD2BF8">
        <w:rPr>
          <w:rFonts w:eastAsia="Calibri"/>
        </w:rPr>
        <w:t xml:space="preserve">, Table </w:t>
      </w:r>
      <w:r w:rsidR="009A0434" w:rsidRPr="00BD2BF8">
        <w:rPr>
          <w:rFonts w:eastAsia="Calibri"/>
          <w:b/>
          <w:bCs/>
        </w:rPr>
        <w:t>21-4</w:t>
      </w:r>
      <w:r w:rsidR="009A0434" w:rsidRPr="00BD2BF8">
        <w:rPr>
          <w:rFonts w:eastAsia="Calibri"/>
        </w:rPr>
        <w:t xml:space="preserve"> establishes a maximum power flux-density limit for systems in the fixed-satellite service in order to make coexistence viable. The studies that showed the need to establish the above limit were based on a non-geostationary system of the fixed</w:t>
      </w:r>
      <w:r w:rsidR="005E2D03" w:rsidRPr="00BD2BF8">
        <w:rPr>
          <w:rFonts w:eastAsia="Calibri"/>
        </w:rPr>
        <w:t>-</w:t>
      </w:r>
      <w:r w:rsidR="009A0434" w:rsidRPr="00BD2BF8">
        <w:rPr>
          <w:rFonts w:eastAsia="Calibri"/>
        </w:rPr>
        <w:t>satellite service with an orbit whose apogee was greater than 20</w:t>
      </w:r>
      <w:r w:rsidR="004147DE" w:rsidRPr="00BD2BF8">
        <w:rPr>
          <w:rFonts w:eastAsia="Calibri"/>
        </w:rPr>
        <w:t> </w:t>
      </w:r>
      <w:r w:rsidR="009A0434" w:rsidRPr="00BD2BF8">
        <w:rPr>
          <w:rFonts w:eastAsia="Calibri"/>
        </w:rPr>
        <w:t>000 km</w:t>
      </w:r>
      <w:r w:rsidR="00B64495" w:rsidRPr="00BD2BF8">
        <w:rPr>
          <w:rFonts w:eastAsia="Calibri"/>
        </w:rPr>
        <w:t>,</w:t>
      </w:r>
      <w:r w:rsidR="009A0434" w:rsidRPr="00BD2BF8">
        <w:rPr>
          <w:rFonts w:eastAsia="Calibri"/>
        </w:rPr>
        <w:t xml:space="preserve"> </w:t>
      </w:r>
    </w:p>
    <w:p w14:paraId="7E3B5A79" w14:textId="77777777" w:rsidR="006957E5" w:rsidRPr="00BD2BF8" w:rsidRDefault="006957E5" w:rsidP="006957E5">
      <w:pPr>
        <w:pStyle w:val="Call"/>
      </w:pPr>
      <w:r w:rsidRPr="00BD2BF8">
        <w:lastRenderedPageBreak/>
        <w:t>observing</w:t>
      </w:r>
    </w:p>
    <w:p w14:paraId="460AD74E" w14:textId="77777777" w:rsidR="006957E5" w:rsidRPr="00BD2BF8" w:rsidRDefault="006957E5">
      <w:r w:rsidRPr="00BD2BF8">
        <w:t>that, at present, there are numerous geostationary satellite networks in the fixed-satellite service operating in the frequency band 18.6-18.8 GHz in accordance with the provisions of the</w:t>
      </w:r>
      <w:r w:rsidR="005E2D03" w:rsidRPr="00BD2BF8">
        <w:rPr>
          <w:rFonts w:eastAsia="Calibri"/>
        </w:rPr>
        <w:t xml:space="preserve"> Radio Regulations</w:t>
      </w:r>
      <w:r w:rsidRPr="00BD2BF8">
        <w:t>,</w:t>
      </w:r>
    </w:p>
    <w:p w14:paraId="28F2B536" w14:textId="77777777" w:rsidR="006957E5" w:rsidRPr="00BD2BF8" w:rsidRDefault="006957E5" w:rsidP="006957E5">
      <w:pPr>
        <w:pStyle w:val="Call"/>
      </w:pPr>
      <w:r w:rsidRPr="00BD2BF8">
        <w:t>recognizing</w:t>
      </w:r>
    </w:p>
    <w:p w14:paraId="021EA559" w14:textId="5502BEAE" w:rsidR="00261D01" w:rsidRPr="00BD2BF8" w:rsidRDefault="00261D01">
      <w:r w:rsidRPr="00BD2BF8">
        <w:rPr>
          <w:i/>
        </w:rPr>
        <w:t>a)</w:t>
      </w:r>
      <w:r w:rsidRPr="00BD2BF8">
        <w:tab/>
        <w:t xml:space="preserve">that the frequency band 18.6-18.8 GHz is allocated worldwide to </w:t>
      </w:r>
      <w:r w:rsidR="005E2D03" w:rsidRPr="00BD2BF8">
        <w:t>f</w:t>
      </w:r>
      <w:r w:rsidRPr="00BD2BF8">
        <w:t xml:space="preserve">ixed, </w:t>
      </w:r>
      <w:r w:rsidR="005E2D03" w:rsidRPr="00BD2BF8">
        <w:t>m</w:t>
      </w:r>
      <w:r w:rsidRPr="00BD2BF8">
        <w:t xml:space="preserve">obile, </w:t>
      </w:r>
      <w:r w:rsidR="005E2D03" w:rsidRPr="00BD2BF8">
        <w:t>f</w:t>
      </w:r>
      <w:r w:rsidRPr="00BD2BF8">
        <w:t xml:space="preserve">ixed by </w:t>
      </w:r>
      <w:r w:rsidR="004147DE" w:rsidRPr="00BD2BF8">
        <w:t>s</w:t>
      </w:r>
      <w:r w:rsidRPr="00BD2BF8">
        <w:t>atellite (space-to-Earth), Earth-</w:t>
      </w:r>
      <w:r w:rsidR="005E2D03" w:rsidRPr="00BD2BF8">
        <w:t>s</w:t>
      </w:r>
      <w:r w:rsidRPr="00BD2BF8">
        <w:t xml:space="preserve">atellite </w:t>
      </w:r>
      <w:r w:rsidR="005E2D03" w:rsidRPr="00BD2BF8">
        <w:t>e</w:t>
      </w:r>
      <w:r w:rsidRPr="00BD2BF8">
        <w:t xml:space="preserve">xploration (passive) and, in Region 2, to the </w:t>
      </w:r>
      <w:r w:rsidR="005E2D03" w:rsidRPr="00BD2BF8">
        <w:t>s</w:t>
      </w:r>
      <w:r w:rsidRPr="00BD2BF8">
        <w:t xml:space="preserve">pace </w:t>
      </w:r>
      <w:r w:rsidR="005E2D03" w:rsidRPr="00BD2BF8">
        <w:t>r</w:t>
      </w:r>
      <w:r w:rsidRPr="00BD2BF8">
        <w:t>esearch (passive)</w:t>
      </w:r>
      <w:r w:rsidR="005E2D03" w:rsidRPr="00BD2BF8">
        <w:t xml:space="preserve"> services</w:t>
      </w:r>
      <w:r w:rsidRPr="00BD2BF8">
        <w:t xml:space="preserve">; </w:t>
      </w:r>
    </w:p>
    <w:p w14:paraId="6CB9FACE" w14:textId="4D71BFFE" w:rsidR="00261D01" w:rsidRPr="00BD2BF8" w:rsidRDefault="00261D01">
      <w:r w:rsidRPr="00BD2BF8">
        <w:rPr>
          <w:i/>
        </w:rPr>
        <w:t>b)</w:t>
      </w:r>
      <w:r w:rsidRPr="00BD2BF8">
        <w:tab/>
        <w:t xml:space="preserve">that the emissions of the </w:t>
      </w:r>
      <w:r w:rsidR="005E2D03" w:rsidRPr="00BD2BF8">
        <w:t>f</w:t>
      </w:r>
      <w:r w:rsidRPr="00BD2BF8">
        <w:t xml:space="preserve">ixed </w:t>
      </w:r>
      <w:r w:rsidR="005E2D03" w:rsidRPr="00BD2BF8">
        <w:t>s</w:t>
      </w:r>
      <w:r w:rsidRPr="00BD2BF8">
        <w:t xml:space="preserve">ervice and the </w:t>
      </w:r>
      <w:r w:rsidR="005E2D03" w:rsidRPr="00BD2BF8">
        <w:t>f</w:t>
      </w:r>
      <w:r w:rsidRPr="00BD2BF8">
        <w:t>ixed</w:t>
      </w:r>
      <w:r w:rsidR="005E2D03" w:rsidRPr="00BD2BF8">
        <w:t>-s</w:t>
      </w:r>
      <w:r w:rsidRPr="00BD2BF8">
        <w:t xml:space="preserve">atellite </w:t>
      </w:r>
      <w:r w:rsidR="005E2D03" w:rsidRPr="00BD2BF8">
        <w:t>s</w:t>
      </w:r>
      <w:r w:rsidRPr="00BD2BF8">
        <w:t xml:space="preserve">ervice in the band 18.6-18.8 GHz are limited to the figures given in </w:t>
      </w:r>
      <w:r w:rsidRPr="00BD2BF8">
        <w:rPr>
          <w:bCs/>
        </w:rPr>
        <w:t>No</w:t>
      </w:r>
      <w:r w:rsidR="005E2D03" w:rsidRPr="00BD2BF8">
        <w:rPr>
          <w:bCs/>
        </w:rPr>
        <w:t>s</w:t>
      </w:r>
      <w:r w:rsidRPr="00BD2BF8">
        <w:rPr>
          <w:bCs/>
        </w:rPr>
        <w:t>.</w:t>
      </w:r>
      <w:r w:rsidRPr="00BD2BF8">
        <w:rPr>
          <w:b/>
        </w:rPr>
        <w:t xml:space="preserve"> 21.5A</w:t>
      </w:r>
      <w:r w:rsidRPr="00BD2BF8">
        <w:t xml:space="preserve"> and </w:t>
      </w:r>
      <w:r w:rsidRPr="00BD2BF8">
        <w:rPr>
          <w:b/>
        </w:rPr>
        <w:t>21.16.2</w:t>
      </w:r>
      <w:r w:rsidRPr="00BD2BF8">
        <w:t xml:space="preserve">, respectively, pursuant to </w:t>
      </w:r>
      <w:r w:rsidRPr="00BD2BF8">
        <w:rPr>
          <w:bCs/>
        </w:rPr>
        <w:t>No.</w:t>
      </w:r>
      <w:r w:rsidR="004147DE" w:rsidRPr="00BD2BF8">
        <w:rPr>
          <w:b/>
        </w:rPr>
        <w:t> </w:t>
      </w:r>
      <w:r w:rsidRPr="00BD2BF8">
        <w:rPr>
          <w:b/>
        </w:rPr>
        <w:t>5.522A</w:t>
      </w:r>
      <w:r w:rsidRPr="00BD2BF8">
        <w:t>;</w:t>
      </w:r>
    </w:p>
    <w:p w14:paraId="35D7A8E0" w14:textId="77777777" w:rsidR="00261D01" w:rsidRPr="00BD2BF8" w:rsidRDefault="00261D01">
      <w:r w:rsidRPr="00BD2BF8">
        <w:rPr>
          <w:i/>
        </w:rPr>
        <w:t>c)</w:t>
      </w:r>
      <w:r w:rsidRPr="00BD2BF8">
        <w:tab/>
        <w:t xml:space="preserve">that emissions from the </w:t>
      </w:r>
      <w:r w:rsidR="005E2D03" w:rsidRPr="00BD2BF8">
        <w:t>m</w:t>
      </w:r>
      <w:r w:rsidRPr="00BD2BF8">
        <w:t xml:space="preserve">obile </w:t>
      </w:r>
      <w:r w:rsidR="005E2D03" w:rsidRPr="00BD2BF8">
        <w:t>s</w:t>
      </w:r>
      <w:r w:rsidRPr="00BD2BF8">
        <w:t xml:space="preserve">ervice in the band 18.6-18.8 GHz are limited to the figures given in </w:t>
      </w:r>
      <w:r w:rsidRPr="00BD2BF8">
        <w:rPr>
          <w:bCs/>
        </w:rPr>
        <w:t>No.</w:t>
      </w:r>
      <w:r w:rsidRPr="00BD2BF8">
        <w:rPr>
          <w:b/>
        </w:rPr>
        <w:t xml:space="preserve"> 21.5</w:t>
      </w:r>
      <w:r w:rsidRPr="00BD2BF8">
        <w:t>;</w:t>
      </w:r>
    </w:p>
    <w:p w14:paraId="2D76637B" w14:textId="481E5C43" w:rsidR="00261D01" w:rsidRPr="00BD2BF8" w:rsidRDefault="00261D01">
      <w:r w:rsidRPr="00BD2BF8">
        <w:rPr>
          <w:i/>
        </w:rPr>
        <w:t>d)</w:t>
      </w:r>
      <w:r w:rsidRPr="00BD2BF8">
        <w:tab/>
        <w:t xml:space="preserve">that the limits referred to in </w:t>
      </w:r>
      <w:r w:rsidR="005E2D03" w:rsidRPr="00BD2BF8">
        <w:rPr>
          <w:i/>
          <w:iCs/>
        </w:rPr>
        <w:t>recognizing</w:t>
      </w:r>
      <w:r w:rsidR="005E2D03" w:rsidRPr="00BD2BF8">
        <w:rPr>
          <w:i/>
        </w:rPr>
        <w:t xml:space="preserve"> </w:t>
      </w:r>
      <w:r w:rsidRPr="00BD2BF8">
        <w:rPr>
          <w:i/>
        </w:rPr>
        <w:t>b)</w:t>
      </w:r>
      <w:r w:rsidRPr="00BD2BF8">
        <w:t xml:space="preserve"> and </w:t>
      </w:r>
      <w:r w:rsidRPr="00BD2BF8">
        <w:rPr>
          <w:i/>
        </w:rPr>
        <w:t>c)</w:t>
      </w:r>
      <w:r w:rsidRPr="00BD2BF8">
        <w:t xml:space="preserve"> above apply to the </w:t>
      </w:r>
      <w:r w:rsidR="005E2D03" w:rsidRPr="00BD2BF8">
        <w:t>f</w:t>
      </w:r>
      <w:r w:rsidRPr="00BD2BF8">
        <w:t xml:space="preserve">ixed </w:t>
      </w:r>
      <w:r w:rsidR="005E2D03" w:rsidRPr="00BD2BF8">
        <w:t>s</w:t>
      </w:r>
      <w:r w:rsidRPr="00BD2BF8">
        <w:t xml:space="preserve">ervice, the </w:t>
      </w:r>
      <w:r w:rsidR="005E2D03" w:rsidRPr="00BD2BF8">
        <w:t>m</w:t>
      </w:r>
      <w:r w:rsidRPr="00BD2BF8">
        <w:t xml:space="preserve">obile </w:t>
      </w:r>
      <w:r w:rsidR="005E2D03" w:rsidRPr="00BD2BF8">
        <w:t>s</w:t>
      </w:r>
      <w:r w:rsidRPr="00BD2BF8">
        <w:t xml:space="preserve">ervice and the </w:t>
      </w:r>
      <w:r w:rsidR="005E2D03" w:rsidRPr="00BD2BF8">
        <w:t>f</w:t>
      </w:r>
      <w:r w:rsidRPr="00BD2BF8">
        <w:t>ixed</w:t>
      </w:r>
      <w:r w:rsidR="005E2D03" w:rsidRPr="00BD2BF8">
        <w:t>-s</w:t>
      </w:r>
      <w:r w:rsidRPr="00BD2BF8">
        <w:t xml:space="preserve">atellite </w:t>
      </w:r>
      <w:r w:rsidR="005E2D03" w:rsidRPr="00BD2BF8">
        <w:t>s</w:t>
      </w:r>
      <w:r w:rsidRPr="00BD2BF8">
        <w:t>ervice stations operating at an apogee of 20</w:t>
      </w:r>
      <w:r w:rsidR="004147DE" w:rsidRPr="00BD2BF8">
        <w:t> </w:t>
      </w:r>
      <w:r w:rsidRPr="00BD2BF8">
        <w:t xml:space="preserve">000 km, which should remain unchanged to protect the current and future Earth </w:t>
      </w:r>
      <w:r w:rsidR="005E2D03" w:rsidRPr="00BD2BF8">
        <w:t>e</w:t>
      </w:r>
      <w:r w:rsidRPr="00BD2BF8">
        <w:t>xploration</w:t>
      </w:r>
      <w:r w:rsidR="005E2D03" w:rsidRPr="00BD2BF8">
        <w:t>-s</w:t>
      </w:r>
      <w:r w:rsidRPr="00BD2BF8">
        <w:t xml:space="preserve">atellite </w:t>
      </w:r>
      <w:r w:rsidR="005E2D03" w:rsidRPr="00BD2BF8">
        <w:t>s</w:t>
      </w:r>
      <w:r w:rsidRPr="00BD2BF8">
        <w:t xml:space="preserve">ervice (passive) and the </w:t>
      </w:r>
      <w:r w:rsidR="005E2D03" w:rsidRPr="00BD2BF8">
        <w:t>s</w:t>
      </w:r>
      <w:r w:rsidRPr="00BD2BF8">
        <w:t xml:space="preserve">pace </w:t>
      </w:r>
      <w:r w:rsidR="005E2D03" w:rsidRPr="00BD2BF8">
        <w:t>r</w:t>
      </w:r>
      <w:r w:rsidRPr="00BD2BF8">
        <w:t xml:space="preserve">esearch </w:t>
      </w:r>
      <w:r w:rsidR="005E2D03" w:rsidRPr="00BD2BF8">
        <w:t>s</w:t>
      </w:r>
      <w:r w:rsidRPr="00BD2BF8">
        <w:t xml:space="preserve">ervice (passive) in the frequency band 18.6-18.8 GHz; </w:t>
      </w:r>
    </w:p>
    <w:p w14:paraId="31D331D0" w14:textId="0868CA95" w:rsidR="00261D01" w:rsidRPr="00BD2BF8" w:rsidRDefault="00261D01">
      <w:r w:rsidRPr="00BD2BF8">
        <w:rPr>
          <w:i/>
        </w:rPr>
        <w:t>e)</w:t>
      </w:r>
      <w:r w:rsidRPr="00BD2BF8">
        <w:tab/>
        <w:t xml:space="preserve">that in the frequency band 18.6-18.8 GHz, the networks of the geostationary and non-geostationary systems of the </w:t>
      </w:r>
      <w:r w:rsidR="005E2D03" w:rsidRPr="00BD2BF8">
        <w:t>f</w:t>
      </w:r>
      <w:r w:rsidRPr="00BD2BF8">
        <w:t>ixed</w:t>
      </w:r>
      <w:r w:rsidR="005E2D03" w:rsidRPr="00BD2BF8">
        <w:t>-s</w:t>
      </w:r>
      <w:r w:rsidRPr="00BD2BF8">
        <w:t xml:space="preserve">atellite </w:t>
      </w:r>
      <w:r w:rsidR="005E2D03" w:rsidRPr="00BD2BF8">
        <w:t>s</w:t>
      </w:r>
      <w:r w:rsidRPr="00BD2BF8">
        <w:t xml:space="preserve">ervice operate in accordance with the provisions of </w:t>
      </w:r>
      <w:r w:rsidRPr="00BD2BF8">
        <w:rPr>
          <w:bCs/>
        </w:rPr>
        <w:t>No.</w:t>
      </w:r>
      <w:r w:rsidR="004147DE" w:rsidRPr="00BD2BF8">
        <w:rPr>
          <w:b/>
        </w:rPr>
        <w:t> </w:t>
      </w:r>
      <w:r w:rsidRPr="00BD2BF8">
        <w:rPr>
          <w:b/>
        </w:rPr>
        <w:t>5.522B</w:t>
      </w:r>
      <w:r w:rsidRPr="00BD2BF8">
        <w:t>;</w:t>
      </w:r>
    </w:p>
    <w:p w14:paraId="0E2AC106" w14:textId="56B21818" w:rsidR="00261D01" w:rsidRPr="00BD2BF8" w:rsidRDefault="00261D01">
      <w:r w:rsidRPr="00BD2BF8">
        <w:rPr>
          <w:i/>
        </w:rPr>
        <w:t>f)</w:t>
      </w:r>
      <w:r w:rsidRPr="00BD2BF8">
        <w:tab/>
        <w:t xml:space="preserve">that </w:t>
      </w:r>
      <w:r w:rsidRPr="00BD2BF8">
        <w:rPr>
          <w:bCs/>
        </w:rPr>
        <w:t>No.</w:t>
      </w:r>
      <w:r w:rsidRPr="00BD2BF8">
        <w:rPr>
          <w:b/>
        </w:rPr>
        <w:t xml:space="preserve"> 21.16</w:t>
      </w:r>
      <w:r w:rsidRPr="00BD2BF8">
        <w:t xml:space="preserve"> establishes the power flux</w:t>
      </w:r>
      <w:r w:rsidR="005A574C" w:rsidRPr="00BD2BF8">
        <w:t>-</w:t>
      </w:r>
      <w:r w:rsidRPr="00BD2BF8">
        <w:t xml:space="preserve">density limits applicable to the </w:t>
      </w:r>
      <w:r w:rsidR="005A574C" w:rsidRPr="00BD2BF8">
        <w:t>f</w:t>
      </w:r>
      <w:r w:rsidRPr="00BD2BF8">
        <w:t>ixed-</w:t>
      </w:r>
      <w:r w:rsidR="005A574C" w:rsidRPr="00BD2BF8">
        <w:t>s</w:t>
      </w:r>
      <w:r w:rsidRPr="00BD2BF8">
        <w:t xml:space="preserve">atellite </w:t>
      </w:r>
      <w:r w:rsidR="005A574C" w:rsidRPr="00BD2BF8">
        <w:t>s</w:t>
      </w:r>
      <w:r w:rsidRPr="00BD2BF8">
        <w:t xml:space="preserve">ervice systems to protect the </w:t>
      </w:r>
      <w:r w:rsidR="005A574C" w:rsidRPr="00BD2BF8">
        <w:t>f</w:t>
      </w:r>
      <w:r w:rsidRPr="00BD2BF8">
        <w:t xml:space="preserve">ixed and </w:t>
      </w:r>
      <w:r w:rsidR="005A574C" w:rsidRPr="00BD2BF8">
        <w:t>m</w:t>
      </w:r>
      <w:r w:rsidRPr="00BD2BF8">
        <w:t xml:space="preserve">obile </w:t>
      </w:r>
      <w:r w:rsidR="005A574C" w:rsidRPr="00BD2BF8">
        <w:t>s</w:t>
      </w:r>
      <w:r w:rsidRPr="00BD2BF8">
        <w:t>ervices allocated in the frequency band 18.6-18.8</w:t>
      </w:r>
      <w:r w:rsidR="004147DE" w:rsidRPr="00BD2BF8">
        <w:t> </w:t>
      </w:r>
      <w:r w:rsidRPr="00BD2BF8">
        <w:t>GHz;</w:t>
      </w:r>
    </w:p>
    <w:p w14:paraId="193BA919" w14:textId="77777777" w:rsidR="00261D01" w:rsidRPr="00BD2BF8" w:rsidRDefault="00BD249E" w:rsidP="00261D01">
      <w:r w:rsidRPr="00BD2BF8">
        <w:rPr>
          <w:i/>
        </w:rPr>
        <w:t>g</w:t>
      </w:r>
      <w:r w:rsidR="00261D01" w:rsidRPr="00BD2BF8">
        <w:rPr>
          <w:i/>
        </w:rPr>
        <w:t>)</w:t>
      </w:r>
      <w:r w:rsidR="00261D01" w:rsidRPr="00BD2BF8">
        <w:tab/>
        <w:t xml:space="preserve">that </w:t>
      </w:r>
      <w:r w:rsidR="00261D01" w:rsidRPr="00BD2BF8">
        <w:rPr>
          <w:bCs/>
        </w:rPr>
        <w:t>No.</w:t>
      </w:r>
      <w:r w:rsidR="00261D01" w:rsidRPr="00BD2BF8">
        <w:rPr>
          <w:b/>
        </w:rPr>
        <w:t xml:space="preserve"> 21.17</w:t>
      </w:r>
      <w:r w:rsidR="00261D01" w:rsidRPr="00BD2BF8">
        <w:t xml:space="preserve"> does not apply to the frequency band 18.6-18.8 GHz,</w:t>
      </w:r>
    </w:p>
    <w:p w14:paraId="20D2D41D" w14:textId="77777777" w:rsidR="00BB48BC" w:rsidRPr="00BD2BF8" w:rsidRDefault="00261D01" w:rsidP="00261D01">
      <w:pPr>
        <w:pStyle w:val="Call"/>
      </w:pPr>
      <w:r w:rsidRPr="00BD2BF8">
        <w:t>resolves to invite the ITU-R</w:t>
      </w:r>
    </w:p>
    <w:p w14:paraId="53202092" w14:textId="171D2DA6" w:rsidR="00261D01" w:rsidRPr="00BD2BF8" w:rsidRDefault="00261D01">
      <w:r w:rsidRPr="00BD2BF8">
        <w:t>1</w:t>
      </w:r>
      <w:r w:rsidRPr="00BD2BF8">
        <w:tab/>
        <w:t xml:space="preserve">to conduct compatibility studies between non-geostationary systems of the </w:t>
      </w:r>
      <w:r w:rsidR="005A574C" w:rsidRPr="00BD2BF8">
        <w:t>f</w:t>
      </w:r>
      <w:r w:rsidRPr="00BD2BF8">
        <w:t>ixed</w:t>
      </w:r>
      <w:r w:rsidR="005A574C" w:rsidRPr="00BD2BF8">
        <w:t>-s</w:t>
      </w:r>
      <w:r w:rsidRPr="00BD2BF8">
        <w:t xml:space="preserve">atellite </w:t>
      </w:r>
      <w:r w:rsidR="005A574C" w:rsidRPr="00BD2BF8">
        <w:t>s</w:t>
      </w:r>
      <w:r w:rsidRPr="00BD2BF8">
        <w:t>ervice (space-to-Earth) operating with an apogee of less than or equal to 20</w:t>
      </w:r>
      <w:r w:rsidR="004147DE" w:rsidRPr="00BD2BF8">
        <w:t> </w:t>
      </w:r>
      <w:r w:rsidRPr="00BD2BF8">
        <w:t xml:space="preserve">000 km and the Earth </w:t>
      </w:r>
      <w:r w:rsidR="005A574C" w:rsidRPr="00BD2BF8">
        <w:t>e</w:t>
      </w:r>
      <w:r w:rsidRPr="00BD2BF8">
        <w:t>xploration</w:t>
      </w:r>
      <w:r w:rsidR="005A574C" w:rsidRPr="00BD2BF8">
        <w:t>-s</w:t>
      </w:r>
      <w:r w:rsidRPr="00BD2BF8">
        <w:t xml:space="preserve">atellite </w:t>
      </w:r>
      <w:r w:rsidR="005A574C" w:rsidRPr="00BD2BF8">
        <w:t>s</w:t>
      </w:r>
      <w:r w:rsidRPr="00BD2BF8">
        <w:t xml:space="preserve">ervices (passive) and </w:t>
      </w:r>
      <w:r w:rsidR="005A574C" w:rsidRPr="00BD2BF8">
        <w:t>s</w:t>
      </w:r>
      <w:r w:rsidRPr="00BD2BF8">
        <w:t xml:space="preserve">pace </w:t>
      </w:r>
      <w:r w:rsidR="005A574C" w:rsidRPr="00BD2BF8">
        <w:t>r</w:t>
      </w:r>
      <w:r w:rsidRPr="00BD2BF8">
        <w:t xml:space="preserve">esearch </w:t>
      </w:r>
      <w:r w:rsidR="005A574C" w:rsidRPr="00BD2BF8">
        <w:t>s</w:t>
      </w:r>
      <w:r w:rsidRPr="00BD2BF8">
        <w:t>ervices (passive) in the frequency band 18.6-18.8 GHz;</w:t>
      </w:r>
    </w:p>
    <w:p w14:paraId="128E582F" w14:textId="55FC2879" w:rsidR="00261D01" w:rsidRPr="00BD2BF8" w:rsidRDefault="00261D01" w:rsidP="00261D01">
      <w:r w:rsidRPr="00BD2BF8">
        <w:t>2</w:t>
      </w:r>
      <w:r w:rsidRPr="00BD2BF8">
        <w:tab/>
        <w:t xml:space="preserve">to study the possibility of applying the equivalent power flux-density (epfd) limits specified in Table </w:t>
      </w:r>
      <w:r w:rsidRPr="00BD2BF8">
        <w:rPr>
          <w:b/>
        </w:rPr>
        <w:t>22-1B</w:t>
      </w:r>
      <w:r w:rsidRPr="00BD2BF8">
        <w:t xml:space="preserve"> to the frequency segment 18.6-18.8 GHz to ensure that non-geostationary systems in the fixed-satellite service (space-to-Earth) do not cause unacceptable interference to networks of geostationary systems in the fixed-satellite service when operating in the frequency band 18.6-18.8 GHz;</w:t>
      </w:r>
    </w:p>
    <w:p w14:paraId="79D9C010" w14:textId="5E7AB297" w:rsidR="00261D01" w:rsidRPr="00BD2BF8" w:rsidRDefault="00261D01">
      <w:pPr>
        <w:rPr>
          <w:i/>
        </w:rPr>
      </w:pPr>
      <w:r w:rsidRPr="00BD2BF8">
        <w:t>3</w:t>
      </w:r>
      <w:r w:rsidRPr="00BD2BF8">
        <w:tab/>
        <w:t xml:space="preserve">to develop technical and regulatory provisions for non-geostationary stations operating in the </w:t>
      </w:r>
      <w:r w:rsidR="005A574C" w:rsidRPr="00BD2BF8">
        <w:t>f</w:t>
      </w:r>
      <w:r w:rsidRPr="00BD2BF8">
        <w:t>ixed</w:t>
      </w:r>
      <w:r w:rsidR="005A574C" w:rsidRPr="00BD2BF8">
        <w:t>-s</w:t>
      </w:r>
      <w:r w:rsidRPr="00BD2BF8">
        <w:t xml:space="preserve">atellite </w:t>
      </w:r>
      <w:r w:rsidR="005A574C" w:rsidRPr="00BD2BF8">
        <w:t>s</w:t>
      </w:r>
      <w:r w:rsidRPr="00BD2BF8">
        <w:t>ervice (space-to-Earth) with an apogee less than or equal to 20</w:t>
      </w:r>
      <w:r w:rsidR="00A7144B" w:rsidRPr="00BD2BF8">
        <w:t> </w:t>
      </w:r>
      <w:r w:rsidRPr="00BD2BF8">
        <w:t xml:space="preserve">000 km in the frequency band 18.6-18.8 GHz, while ensuring the power flux-density limits of Article </w:t>
      </w:r>
      <w:r w:rsidRPr="00BD2BF8">
        <w:rPr>
          <w:b/>
        </w:rPr>
        <w:t>21</w:t>
      </w:r>
      <w:r w:rsidRPr="00BD2BF8">
        <w:t>, Table</w:t>
      </w:r>
      <w:r w:rsidR="00A7144B" w:rsidRPr="00BD2BF8">
        <w:t> </w:t>
      </w:r>
      <w:r w:rsidRPr="00BD2BF8">
        <w:rPr>
          <w:b/>
        </w:rPr>
        <w:t>21-4</w:t>
      </w:r>
      <w:r w:rsidRPr="00BD2BF8">
        <w:t xml:space="preserve">, intended to protect the </w:t>
      </w:r>
      <w:r w:rsidR="005A574C" w:rsidRPr="00BD2BF8">
        <w:t>f</w:t>
      </w:r>
      <w:r w:rsidRPr="00BD2BF8">
        <w:t xml:space="preserve">ixed </w:t>
      </w:r>
      <w:r w:rsidR="005A574C" w:rsidRPr="00BD2BF8">
        <w:t>s</w:t>
      </w:r>
      <w:r w:rsidRPr="00BD2BF8">
        <w:t xml:space="preserve">ervice and </w:t>
      </w:r>
      <w:r w:rsidR="005A574C" w:rsidRPr="00BD2BF8">
        <w:t>m</w:t>
      </w:r>
      <w:r w:rsidRPr="00BD2BF8">
        <w:t xml:space="preserve">obile </w:t>
      </w:r>
      <w:r w:rsidR="005A574C" w:rsidRPr="00BD2BF8">
        <w:t>s</w:t>
      </w:r>
      <w:r w:rsidRPr="00BD2BF8">
        <w:t>ervice in that frequency band</w:t>
      </w:r>
      <w:r w:rsidR="007C0199" w:rsidRPr="00BD2BF8">
        <w:t>,</w:t>
      </w:r>
      <w:r w:rsidRPr="00BD2BF8">
        <w:rPr>
          <w:i/>
        </w:rPr>
        <w:t xml:space="preserve"> </w:t>
      </w:r>
    </w:p>
    <w:p w14:paraId="31AA2079" w14:textId="77777777" w:rsidR="00261D01" w:rsidRPr="00BD2BF8" w:rsidRDefault="00261D01" w:rsidP="00261D01">
      <w:pPr>
        <w:pStyle w:val="Call"/>
      </w:pPr>
      <w:r w:rsidRPr="00BD2BF8">
        <w:t>resolves further</w:t>
      </w:r>
    </w:p>
    <w:p w14:paraId="66AC82C5" w14:textId="24223DA6" w:rsidR="00261D01" w:rsidRPr="00BD2BF8" w:rsidRDefault="00261D01" w:rsidP="00261D01">
      <w:r w:rsidRPr="00BD2BF8">
        <w:t>1</w:t>
      </w:r>
      <w:r w:rsidRPr="00BD2BF8">
        <w:tab/>
        <w:t xml:space="preserve">that compliance with the equivalent power flux-density limits in Table </w:t>
      </w:r>
      <w:r w:rsidRPr="00BD2BF8">
        <w:rPr>
          <w:b/>
        </w:rPr>
        <w:t>22-1B</w:t>
      </w:r>
      <w:r w:rsidRPr="00BD2BF8">
        <w:t xml:space="preserve"> should ensure protection of geostationary system networks in the fixed-satellite service operating in the frequency band 18.6-18.8 GHz from any unacceptable interference;</w:t>
      </w:r>
    </w:p>
    <w:p w14:paraId="03219DFB" w14:textId="187D569A" w:rsidR="00261D01" w:rsidRPr="00BD2BF8" w:rsidRDefault="00261D01">
      <w:pPr>
        <w:rPr>
          <w:iCs/>
        </w:rPr>
      </w:pPr>
      <w:r w:rsidRPr="00BD2BF8">
        <w:lastRenderedPageBreak/>
        <w:t>2</w:t>
      </w:r>
      <w:r w:rsidRPr="00BD2BF8">
        <w:tab/>
        <w:t xml:space="preserve">that the technical and regulatory provisions to be developed must guarantee that, in the band 18.6-18.8 GHz, there will be no change to the limits referred to in </w:t>
      </w:r>
      <w:r w:rsidRPr="00BD2BF8">
        <w:rPr>
          <w:bCs/>
        </w:rPr>
        <w:t>No</w:t>
      </w:r>
      <w:r w:rsidR="005A574C" w:rsidRPr="00BD2BF8">
        <w:rPr>
          <w:bCs/>
        </w:rPr>
        <w:t>s</w:t>
      </w:r>
      <w:r w:rsidRPr="00BD2BF8">
        <w:rPr>
          <w:bCs/>
        </w:rPr>
        <w:t>.</w:t>
      </w:r>
      <w:r w:rsidRPr="00BD2BF8">
        <w:rPr>
          <w:b/>
        </w:rPr>
        <w:t xml:space="preserve"> 21.5, 21.5A</w:t>
      </w:r>
      <w:r w:rsidRPr="00BD2BF8">
        <w:t xml:space="preserve"> and </w:t>
      </w:r>
      <w:r w:rsidRPr="00BD2BF8">
        <w:rPr>
          <w:b/>
        </w:rPr>
        <w:t>21.16.2</w:t>
      </w:r>
      <w:r w:rsidRPr="00BD2BF8">
        <w:t xml:space="preserve">, applicable to the </w:t>
      </w:r>
      <w:r w:rsidR="005A574C" w:rsidRPr="00BD2BF8">
        <w:t>f</w:t>
      </w:r>
      <w:r w:rsidRPr="00BD2BF8">
        <w:t xml:space="preserve">ixed </w:t>
      </w:r>
      <w:r w:rsidR="005A574C" w:rsidRPr="00BD2BF8">
        <w:t>s</w:t>
      </w:r>
      <w:r w:rsidRPr="00BD2BF8">
        <w:t xml:space="preserve">ervice and the </w:t>
      </w:r>
      <w:r w:rsidR="005A574C" w:rsidRPr="00BD2BF8">
        <w:t>m</w:t>
      </w:r>
      <w:r w:rsidRPr="00BD2BF8">
        <w:t xml:space="preserve">obile </w:t>
      </w:r>
      <w:r w:rsidR="005A574C" w:rsidRPr="00BD2BF8">
        <w:t>s</w:t>
      </w:r>
      <w:r w:rsidRPr="00BD2BF8">
        <w:t xml:space="preserve">ervice, and to the stations of the geostationary and non-geostationary satellite systems operating in the </w:t>
      </w:r>
      <w:r w:rsidR="005A574C" w:rsidRPr="00BD2BF8">
        <w:t>f</w:t>
      </w:r>
      <w:r w:rsidRPr="00BD2BF8">
        <w:t>ixed</w:t>
      </w:r>
      <w:r w:rsidR="005A574C" w:rsidRPr="00BD2BF8">
        <w:t>-s</w:t>
      </w:r>
      <w:r w:rsidRPr="00BD2BF8">
        <w:t xml:space="preserve">atellite </w:t>
      </w:r>
      <w:r w:rsidR="005A574C" w:rsidRPr="00BD2BF8">
        <w:t>s</w:t>
      </w:r>
      <w:r w:rsidRPr="00BD2BF8">
        <w:t>ervice with an orbit whose apogee is greater than 20</w:t>
      </w:r>
      <w:r w:rsidR="00A7144B" w:rsidRPr="00BD2BF8">
        <w:t> </w:t>
      </w:r>
      <w:r w:rsidRPr="00BD2BF8">
        <w:t xml:space="preserve">000 km, </w:t>
      </w:r>
    </w:p>
    <w:p w14:paraId="3BB65491" w14:textId="77777777" w:rsidR="00261D01" w:rsidRPr="00BD2BF8" w:rsidRDefault="00261D01" w:rsidP="00261D01">
      <w:pPr>
        <w:pStyle w:val="Call"/>
      </w:pPr>
      <w:r w:rsidRPr="00BD2BF8">
        <w:t xml:space="preserve">invites the 2023 World Radiocommunication Conference </w:t>
      </w:r>
    </w:p>
    <w:p w14:paraId="5CD702DD" w14:textId="77777777" w:rsidR="00261D01" w:rsidRPr="00BD2BF8" w:rsidRDefault="00261D01" w:rsidP="00261D01">
      <w:r w:rsidRPr="00BD2BF8">
        <w:t xml:space="preserve">to consider the findings of the proposed studies and to take the pertinent actions, </w:t>
      </w:r>
    </w:p>
    <w:p w14:paraId="3F95AE01" w14:textId="77777777" w:rsidR="00261D01" w:rsidRPr="00BD2BF8" w:rsidRDefault="00261D01" w:rsidP="00261D01">
      <w:pPr>
        <w:pStyle w:val="Call"/>
      </w:pPr>
      <w:r w:rsidRPr="00BD2BF8">
        <w:t>invites the administrations</w:t>
      </w:r>
    </w:p>
    <w:p w14:paraId="6C412E68" w14:textId="77777777" w:rsidR="00261D01" w:rsidRPr="00BD2BF8" w:rsidRDefault="00261D01" w:rsidP="00261D01">
      <w:pPr>
        <w:rPr>
          <w:b/>
        </w:rPr>
      </w:pPr>
      <w:r w:rsidRPr="00BD2BF8">
        <w:t>to participate actively in the studies and to help provide the technical and operational features of the systems involved by submitting their contributions to the ITU-R.</w:t>
      </w:r>
    </w:p>
    <w:p w14:paraId="1B9E4804" w14:textId="77777777" w:rsidR="00261D01" w:rsidRPr="00BD2BF8" w:rsidRDefault="00261D01" w:rsidP="00B17D70">
      <w:pPr>
        <w:pStyle w:val="Reasons"/>
      </w:pPr>
    </w:p>
    <w:p w14:paraId="223D7B3A" w14:textId="77777777" w:rsidR="00261D01" w:rsidRPr="00261D01" w:rsidRDefault="00261D01" w:rsidP="00B17D70">
      <w:pPr>
        <w:jc w:val="center"/>
      </w:pPr>
      <w:r w:rsidRPr="00BD2BF8">
        <w:t>_____________</w:t>
      </w:r>
    </w:p>
    <w:sectPr w:rsidR="00261D01" w:rsidRPr="00261D0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4F478" w14:textId="77777777" w:rsidR="006307E3" w:rsidRDefault="006307E3">
      <w:r>
        <w:separator/>
      </w:r>
    </w:p>
  </w:endnote>
  <w:endnote w:type="continuationSeparator" w:id="0">
    <w:p w14:paraId="5E66D4D2" w14:textId="77777777" w:rsidR="006307E3" w:rsidRDefault="0063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2C2F" w14:textId="77777777" w:rsidR="00E45D05" w:rsidRDefault="00E45D05">
    <w:pPr>
      <w:framePr w:wrap="around" w:vAnchor="text" w:hAnchor="margin" w:xAlign="right" w:y="1"/>
    </w:pPr>
    <w:r>
      <w:fldChar w:fldCharType="begin"/>
    </w:r>
    <w:r>
      <w:instrText xml:space="preserve">PAGE  </w:instrText>
    </w:r>
    <w:r>
      <w:fldChar w:fldCharType="end"/>
    </w:r>
  </w:p>
  <w:p w14:paraId="0C8FC485" w14:textId="01BFA39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A0D25">
      <w:rPr>
        <w:noProof/>
        <w:lang w:val="en-US"/>
      </w:rPr>
      <w:t>P:\ENG\ITU-R\CONF-R\CMR19\000\011ADD24ADD06E.docx</w:t>
    </w:r>
    <w:r>
      <w:fldChar w:fldCharType="end"/>
    </w:r>
    <w:r w:rsidRPr="0041348E">
      <w:rPr>
        <w:lang w:val="en-US"/>
      </w:rPr>
      <w:tab/>
    </w:r>
    <w:r>
      <w:fldChar w:fldCharType="begin"/>
    </w:r>
    <w:r>
      <w:instrText xml:space="preserve"> SAVEDATE \@ DD.MM.YY </w:instrText>
    </w:r>
    <w:r>
      <w:fldChar w:fldCharType="separate"/>
    </w:r>
    <w:r w:rsidR="002A0D25">
      <w:rPr>
        <w:noProof/>
      </w:rPr>
      <w:t>20.09.19</w:t>
    </w:r>
    <w:r>
      <w:fldChar w:fldCharType="end"/>
    </w:r>
    <w:r w:rsidRPr="0041348E">
      <w:rPr>
        <w:lang w:val="en-US"/>
      </w:rPr>
      <w:tab/>
    </w:r>
    <w:r>
      <w:fldChar w:fldCharType="begin"/>
    </w:r>
    <w:r>
      <w:instrText xml:space="preserve"> PRINTDATE \@ DD.MM.YY </w:instrText>
    </w:r>
    <w:r>
      <w:fldChar w:fldCharType="separate"/>
    </w:r>
    <w:r w:rsidR="002A0D25">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220B" w14:textId="4A2D3FE4" w:rsidR="00E45D05" w:rsidRDefault="00E45D05" w:rsidP="009B1EA1">
    <w:pPr>
      <w:pStyle w:val="Footer"/>
    </w:pPr>
    <w:r>
      <w:fldChar w:fldCharType="begin"/>
    </w:r>
    <w:r w:rsidRPr="0041348E">
      <w:rPr>
        <w:lang w:val="en-US"/>
      </w:rPr>
      <w:instrText xml:space="preserve"> FILENAME \p  \* MERGEFORMAT </w:instrText>
    </w:r>
    <w:r>
      <w:fldChar w:fldCharType="separate"/>
    </w:r>
    <w:r w:rsidR="002A0D25">
      <w:rPr>
        <w:lang w:val="en-US"/>
      </w:rPr>
      <w:t>P:\ENG\ITU-R\CONF-R\CMR19\000\011ADD24ADD06E.docx</w:t>
    </w:r>
    <w:r>
      <w:fldChar w:fldCharType="end"/>
    </w:r>
    <w:r w:rsidR="004147DE">
      <w:t xml:space="preserve"> (460767)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51E1" w14:textId="1E631FB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A0D25">
      <w:rPr>
        <w:lang w:val="en-US"/>
      </w:rPr>
      <w:t>P:\ENG\ITU-R\CONF-R\CMR19\000\011ADD24ADD06E.docx</w:t>
    </w:r>
    <w:r>
      <w:fldChar w:fldCharType="end"/>
    </w:r>
    <w:r w:rsidR="004147DE">
      <w:t xml:space="preserve"> (460767)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EC548" w14:textId="77777777" w:rsidR="006307E3" w:rsidRDefault="006307E3">
      <w:r>
        <w:rPr>
          <w:b/>
        </w:rPr>
        <w:t>_______________</w:t>
      </w:r>
    </w:p>
  </w:footnote>
  <w:footnote w:type="continuationSeparator" w:id="0">
    <w:p w14:paraId="5B71F17B" w14:textId="77777777" w:rsidR="006307E3" w:rsidRDefault="0063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3266" w14:textId="77777777" w:rsidR="00E45D05" w:rsidRDefault="00A066F1" w:rsidP="00187BD9">
    <w:pPr>
      <w:pStyle w:val="Header"/>
    </w:pPr>
    <w:r>
      <w:fldChar w:fldCharType="begin"/>
    </w:r>
    <w:r>
      <w:instrText xml:space="preserve"> PAGE  \* MERGEFORMAT </w:instrText>
    </w:r>
    <w:r>
      <w:fldChar w:fldCharType="separate"/>
    </w:r>
    <w:r w:rsidR="00D30C90">
      <w:rPr>
        <w:noProof/>
      </w:rPr>
      <w:t>3</w:t>
    </w:r>
    <w:r>
      <w:fldChar w:fldCharType="end"/>
    </w:r>
  </w:p>
  <w:p w14:paraId="0DF958E3"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11(Add.24)(Add.6)</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FF0FFD"/>
    <w:multiLevelType w:val="hybridMultilevel"/>
    <w:tmpl w:val="712C4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FD7F13"/>
    <w:multiLevelType w:val="hybridMultilevel"/>
    <w:tmpl w:val="107A80CA"/>
    <w:lvl w:ilvl="0" w:tplc="FFFFFFFF">
      <w:start w:val="1"/>
      <w:numFmt w:val="lowerLetter"/>
      <w:lvlText w:val="%1)"/>
      <w:lvlJc w:val="left"/>
      <w:pPr>
        <w:ind w:left="1500" w:hanging="114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D41DA1"/>
    <w:multiLevelType w:val="hybridMultilevel"/>
    <w:tmpl w:val="FD822A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D3025"/>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61D01"/>
    <w:rsid w:val="00265BE5"/>
    <w:rsid w:val="00271316"/>
    <w:rsid w:val="002A0D25"/>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147DE"/>
    <w:rsid w:val="00420873"/>
    <w:rsid w:val="00492075"/>
    <w:rsid w:val="004969AD"/>
    <w:rsid w:val="004A26C4"/>
    <w:rsid w:val="004B13CB"/>
    <w:rsid w:val="004D26EA"/>
    <w:rsid w:val="004D2BFB"/>
    <w:rsid w:val="004D5D5C"/>
    <w:rsid w:val="004F3DC0"/>
    <w:rsid w:val="0050139F"/>
    <w:rsid w:val="0055140B"/>
    <w:rsid w:val="005964AB"/>
    <w:rsid w:val="005A574C"/>
    <w:rsid w:val="005C099A"/>
    <w:rsid w:val="005C31A5"/>
    <w:rsid w:val="005E10C9"/>
    <w:rsid w:val="005E290B"/>
    <w:rsid w:val="005E2D03"/>
    <w:rsid w:val="005E61DD"/>
    <w:rsid w:val="005F04D8"/>
    <w:rsid w:val="006023DF"/>
    <w:rsid w:val="00615426"/>
    <w:rsid w:val="00616219"/>
    <w:rsid w:val="006307E3"/>
    <w:rsid w:val="00645B7D"/>
    <w:rsid w:val="00657DE0"/>
    <w:rsid w:val="00685313"/>
    <w:rsid w:val="00692833"/>
    <w:rsid w:val="006957E5"/>
    <w:rsid w:val="006A6E9B"/>
    <w:rsid w:val="006B7C2A"/>
    <w:rsid w:val="006C23DA"/>
    <w:rsid w:val="006E3D45"/>
    <w:rsid w:val="0070607A"/>
    <w:rsid w:val="007149F9"/>
    <w:rsid w:val="00733A30"/>
    <w:rsid w:val="00745AEE"/>
    <w:rsid w:val="00750F10"/>
    <w:rsid w:val="007742CA"/>
    <w:rsid w:val="00790D70"/>
    <w:rsid w:val="007A6F1F"/>
    <w:rsid w:val="007C0199"/>
    <w:rsid w:val="007D5320"/>
    <w:rsid w:val="00800972"/>
    <w:rsid w:val="00804475"/>
    <w:rsid w:val="008059F1"/>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A0434"/>
    <w:rsid w:val="009B1EA1"/>
    <w:rsid w:val="009B7C9A"/>
    <w:rsid w:val="009C310E"/>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144B"/>
    <w:rsid w:val="00A7372E"/>
    <w:rsid w:val="00A83B52"/>
    <w:rsid w:val="00A93B85"/>
    <w:rsid w:val="00AA0B18"/>
    <w:rsid w:val="00AA3C65"/>
    <w:rsid w:val="00AA666F"/>
    <w:rsid w:val="00AD7914"/>
    <w:rsid w:val="00AE514B"/>
    <w:rsid w:val="00B17D70"/>
    <w:rsid w:val="00B40888"/>
    <w:rsid w:val="00B639E9"/>
    <w:rsid w:val="00B64495"/>
    <w:rsid w:val="00B817CD"/>
    <w:rsid w:val="00B81A7D"/>
    <w:rsid w:val="00B94AD0"/>
    <w:rsid w:val="00BB3A95"/>
    <w:rsid w:val="00BB48BC"/>
    <w:rsid w:val="00BD249E"/>
    <w:rsid w:val="00BD2BF8"/>
    <w:rsid w:val="00BD6CCE"/>
    <w:rsid w:val="00C0018F"/>
    <w:rsid w:val="00C16A5A"/>
    <w:rsid w:val="00C20466"/>
    <w:rsid w:val="00C214ED"/>
    <w:rsid w:val="00C234E6"/>
    <w:rsid w:val="00C25DF0"/>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0C90"/>
    <w:rsid w:val="00D52FD6"/>
    <w:rsid w:val="00D54009"/>
    <w:rsid w:val="00D5651D"/>
    <w:rsid w:val="00D57A34"/>
    <w:rsid w:val="00D74898"/>
    <w:rsid w:val="00D801ED"/>
    <w:rsid w:val="00D936BC"/>
    <w:rsid w:val="00D96530"/>
    <w:rsid w:val="00DA1CB1"/>
    <w:rsid w:val="00DB4CA2"/>
    <w:rsid w:val="00DD44AF"/>
    <w:rsid w:val="00DE2AC3"/>
    <w:rsid w:val="00DE5692"/>
    <w:rsid w:val="00DE6300"/>
    <w:rsid w:val="00DF4BC6"/>
    <w:rsid w:val="00E03C94"/>
    <w:rsid w:val="00E205BC"/>
    <w:rsid w:val="00E26226"/>
    <w:rsid w:val="00E45D05"/>
    <w:rsid w:val="00E55816"/>
    <w:rsid w:val="00E55AEF"/>
    <w:rsid w:val="00E87CD2"/>
    <w:rsid w:val="00E976C1"/>
    <w:rsid w:val="00EA12E5"/>
    <w:rsid w:val="00EB55C6"/>
    <w:rsid w:val="00EF1932"/>
    <w:rsid w:val="00EF71B6"/>
    <w:rsid w:val="00F02766"/>
    <w:rsid w:val="00F05BD4"/>
    <w:rsid w:val="00F06473"/>
    <w:rsid w:val="00F6155B"/>
    <w:rsid w:val="00F65C19"/>
    <w:rsid w:val="00FA013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82B99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ListParagraph">
    <w:name w:val="List Paragraph"/>
    <w:basedOn w:val="Normal"/>
    <w:uiPriority w:val="34"/>
    <w:qFormat/>
    <w:rsid w:val="00C25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48732D07-A982-4929-A507-10DEDF673E64}">
  <ds:schemaRefs>
    <ds:schemaRef ds:uri="http://schemas.microsoft.com/sharepoint/v3/contenttype/forms"/>
  </ds:schemaRefs>
</ds:datastoreItem>
</file>

<file path=customXml/itemProps3.xml><?xml version="1.0" encoding="utf-8"?>
<ds:datastoreItem xmlns:ds="http://schemas.openxmlformats.org/officeDocument/2006/customXml" ds:itemID="{58A3C316-35F4-4BBD-8CC4-4A7B6D83CAC4}">
  <ds:schemaRefs>
    <ds:schemaRef ds:uri="http://purl.org/dc/elements/1.1/"/>
    <ds:schemaRef ds:uri="http://schemas.microsoft.com/office/2006/metadata/properties"/>
    <ds:schemaRef ds:uri="996b2e75-67fd-4955-a3b0-5ab9934cb50b"/>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32a1a8c5-2265-4ebc-b7a0-2071e2c5c9bb"/>
    <ds:schemaRef ds:uri="http://schemas.openxmlformats.org/package/2006/metadata/core-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DC4C37-0F54-4E52-8742-C2A92B7B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1276</Words>
  <Characters>7298</Characters>
  <Application>Microsoft Office Word</Application>
  <DocSecurity>0</DocSecurity>
  <Lines>133</Lines>
  <Paragraphs>54</Paragraphs>
  <ScaleCrop>false</ScaleCrop>
  <HeadingPairs>
    <vt:vector size="2" baseType="variant">
      <vt:variant>
        <vt:lpstr>Title</vt:lpstr>
      </vt:variant>
      <vt:variant>
        <vt:i4>1</vt:i4>
      </vt:variant>
    </vt:vector>
  </HeadingPairs>
  <TitlesOfParts>
    <vt:vector size="1" baseType="lpstr">
      <vt:lpstr>R16-WRC19-C-0011!A24-A6!MSW-E</vt:lpstr>
    </vt:vector>
  </TitlesOfParts>
  <Manager>General Secretariat - Pool</Manager>
  <Company>International Telecommunication Union (ITU)</Company>
  <LinksUpToDate>false</LinksUpToDate>
  <CharactersWithSpaces>8531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R16-WRC19-C-0011!A24-A6!MSW-E</dc:title>
  <dc:subject>World Radiocommunication Conference - 2019</dc:subject>
  <dc:creator>Documents Proposals Manager (DPM)</dc:creator>
  <cp:keywords>DPM_v2019.9.13.1_prod</cp:keywords>
  <dc:description>Uploaded on 2015.07.06</dc:description>
  <cp:lastModifiedBy>Sarah Scott</cp:lastModifiedBy>
  <cp:revision>5</cp:revision>
  <cp:lastPrinted>2019-09-20T13:13:00Z</cp:lastPrinted>
  <dcterms:created xsi:type="dcterms:W3CDTF">2019-09-20T09:16:00Z</dcterms:created>
  <dcterms:modified xsi:type="dcterms:W3CDTF">2019-09-20T13:13:00Z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