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94047" w14:paraId="19CF9D57" w14:textId="77777777" w:rsidTr="001226EC">
        <w:trPr>
          <w:cantSplit/>
        </w:trPr>
        <w:tc>
          <w:tcPr>
            <w:tcW w:w="6771" w:type="dxa"/>
          </w:tcPr>
          <w:p w14:paraId="2C6FB031" w14:textId="77777777" w:rsidR="005651C9" w:rsidRPr="0069404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404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94047">
              <w:rPr>
                <w:rFonts w:ascii="Verdana" w:hAnsi="Verdana"/>
                <w:b/>
                <w:bCs/>
                <w:szCs w:val="22"/>
              </w:rPr>
              <w:t>9</w:t>
            </w:r>
            <w:r w:rsidRPr="00694047">
              <w:rPr>
                <w:rFonts w:ascii="Verdana" w:hAnsi="Verdana"/>
                <w:b/>
                <w:bCs/>
                <w:szCs w:val="22"/>
              </w:rPr>
              <w:t>)</w:t>
            </w: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940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940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940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3C7247C" w14:textId="77777777" w:rsidR="005651C9" w:rsidRPr="00694047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94047">
              <w:rPr>
                <w:szCs w:val="22"/>
                <w:lang w:eastAsia="zh-CN"/>
              </w:rPr>
              <w:drawing>
                <wp:inline distT="0" distB="0" distL="0" distR="0" wp14:anchorId="6DD6C111" wp14:editId="62B98C4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94047" w14:paraId="06CFB99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CD3C27C" w14:textId="77777777" w:rsidR="005651C9" w:rsidRPr="0069404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2D8EB81" w14:textId="77777777" w:rsidR="005651C9" w:rsidRPr="0069404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94047" w14:paraId="5541A0D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A10785A" w14:textId="77777777" w:rsidR="005651C9" w:rsidRPr="0069404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4E5F701" w14:textId="77777777" w:rsidR="005651C9" w:rsidRPr="0069404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94047" w14:paraId="0DA43C3F" w14:textId="77777777" w:rsidTr="001226EC">
        <w:trPr>
          <w:cantSplit/>
        </w:trPr>
        <w:tc>
          <w:tcPr>
            <w:tcW w:w="6771" w:type="dxa"/>
          </w:tcPr>
          <w:p w14:paraId="51C3B916" w14:textId="77777777" w:rsidR="005651C9" w:rsidRPr="0069404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9404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CA05330" w14:textId="77777777" w:rsidR="005651C9" w:rsidRPr="0069404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9404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94047" w14:paraId="5CD45A1A" w14:textId="77777777" w:rsidTr="001226EC">
        <w:trPr>
          <w:cantSplit/>
        </w:trPr>
        <w:tc>
          <w:tcPr>
            <w:tcW w:w="6771" w:type="dxa"/>
          </w:tcPr>
          <w:p w14:paraId="70A7EE43" w14:textId="77777777" w:rsidR="000F33D8" w:rsidRPr="006940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56C7513" w14:textId="77777777" w:rsidR="000F33D8" w:rsidRPr="006940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4047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694047" w14:paraId="033F8006" w14:textId="77777777" w:rsidTr="001226EC">
        <w:trPr>
          <w:cantSplit/>
        </w:trPr>
        <w:tc>
          <w:tcPr>
            <w:tcW w:w="6771" w:type="dxa"/>
          </w:tcPr>
          <w:p w14:paraId="59918F8E" w14:textId="77777777" w:rsidR="000F33D8" w:rsidRPr="006940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03D1AF2" w14:textId="79C9E382" w:rsidR="000F33D8" w:rsidRPr="006940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4047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22403" w:rsidRPr="00694047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94047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422403" w:rsidRPr="00694047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22403" w:rsidRPr="00694047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22403" w:rsidRPr="00694047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94047" w14:paraId="601A0B5F" w14:textId="77777777" w:rsidTr="00486195">
        <w:trPr>
          <w:cantSplit/>
        </w:trPr>
        <w:tc>
          <w:tcPr>
            <w:tcW w:w="10031" w:type="dxa"/>
            <w:gridSpan w:val="2"/>
          </w:tcPr>
          <w:p w14:paraId="361F0BF2" w14:textId="77777777" w:rsidR="000F33D8" w:rsidRPr="0069404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94047" w14:paraId="5E311F12" w14:textId="77777777">
        <w:trPr>
          <w:cantSplit/>
        </w:trPr>
        <w:tc>
          <w:tcPr>
            <w:tcW w:w="10031" w:type="dxa"/>
            <w:gridSpan w:val="2"/>
          </w:tcPr>
          <w:p w14:paraId="62331ECA" w14:textId="77777777" w:rsidR="000F33D8" w:rsidRPr="0069404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9404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94047" w14:paraId="1A986FE9" w14:textId="7777777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422403" w:rsidRPr="00694047" w14:paraId="7E3A7A36" w14:textId="77777777" w:rsidTr="00486195">
              <w:trPr>
                <w:cantSplit/>
              </w:trPr>
              <w:tc>
                <w:tcPr>
                  <w:tcW w:w="10031" w:type="dxa"/>
                </w:tcPr>
                <w:p w14:paraId="52D987C5" w14:textId="77777777" w:rsidR="00422403" w:rsidRPr="00694047" w:rsidRDefault="00422403" w:rsidP="00422403">
                  <w:pPr>
                    <w:pStyle w:val="Title1"/>
                    <w:rPr>
                      <w:szCs w:val="26"/>
                    </w:rPr>
                  </w:pPr>
                  <w:bookmarkStart w:id="5" w:name="dtitle1" w:colFirst="0" w:colLast="0"/>
                  <w:bookmarkEnd w:id="4"/>
                  <w:r w:rsidRPr="00694047">
                    <w:rPr>
                      <w:szCs w:val="26"/>
                    </w:rPr>
                    <w:t>предложения для работы конференции</w:t>
                  </w:r>
                </w:p>
              </w:tc>
            </w:tr>
          </w:tbl>
          <w:p w14:paraId="1D81E0C4" w14:textId="15A41580" w:rsidR="000F33D8" w:rsidRPr="00694047" w:rsidRDefault="000F33D8" w:rsidP="000F33D8">
            <w:pPr>
              <w:pStyle w:val="Title1"/>
              <w:rPr>
                <w:szCs w:val="26"/>
              </w:rPr>
            </w:pPr>
          </w:p>
        </w:tc>
      </w:tr>
      <w:tr w:rsidR="000F33D8" w:rsidRPr="00694047" w14:paraId="49D5BF89" w14:textId="77777777">
        <w:trPr>
          <w:cantSplit/>
        </w:trPr>
        <w:tc>
          <w:tcPr>
            <w:tcW w:w="10031" w:type="dxa"/>
            <w:gridSpan w:val="2"/>
          </w:tcPr>
          <w:p w14:paraId="6509F3AA" w14:textId="77777777" w:rsidR="000F33D8" w:rsidRPr="0069404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94047" w14:paraId="346ED01A" w14:textId="77777777">
        <w:trPr>
          <w:cantSplit/>
        </w:trPr>
        <w:tc>
          <w:tcPr>
            <w:tcW w:w="10031" w:type="dxa"/>
            <w:gridSpan w:val="2"/>
          </w:tcPr>
          <w:p w14:paraId="2821D17F" w14:textId="77777777" w:rsidR="000F33D8" w:rsidRPr="0069404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94047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3BE7D56" w14:textId="77777777" w:rsidR="00486195" w:rsidRPr="00694047" w:rsidRDefault="007B4753" w:rsidP="00694047">
      <w:pPr>
        <w:pStyle w:val="Normalaftertitle"/>
      </w:pPr>
      <w:r w:rsidRPr="00694047">
        <w:t>10</w:t>
      </w:r>
      <w:r w:rsidRPr="00694047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94047">
        <w:t>рекомендовать Совету пункты для включения в повестку дня следующей ВКР и представи</w:t>
      </w:r>
      <w:bookmarkStart w:id="8" w:name="_GoBack"/>
      <w:bookmarkEnd w:id="8"/>
      <w:r w:rsidRPr="00694047">
        <w:t>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11DF67F6" w14:textId="1430FAC2" w:rsidR="00422403" w:rsidRPr="00694047" w:rsidRDefault="00541881" w:rsidP="00422403">
      <w:pPr>
        <w:pStyle w:val="Headingb"/>
        <w:rPr>
          <w:rFonts w:asciiTheme="minorHAnsi" w:hAnsiTheme="minorHAnsi"/>
          <w:lang w:val="ru-RU"/>
        </w:rPr>
      </w:pPr>
      <w:r w:rsidRPr="00694047">
        <w:rPr>
          <w:lang w:val="ru-RU"/>
        </w:rPr>
        <w:t>Базовая информация</w:t>
      </w:r>
    </w:p>
    <w:p w14:paraId="08A4FFC5" w14:textId="787001F4" w:rsidR="00541881" w:rsidRPr="00694047" w:rsidRDefault="00541881" w:rsidP="00541881">
      <w:r w:rsidRPr="00694047">
        <w:t xml:space="preserve">ВКР-2000 </w:t>
      </w:r>
      <w:r w:rsidR="001A0FB9" w:rsidRPr="00694047">
        <w:t>приняла</w:t>
      </w:r>
      <w:r w:rsidRPr="00694047">
        <w:t xml:space="preserve"> п. </w:t>
      </w:r>
      <w:proofErr w:type="spellStart"/>
      <w:r w:rsidRPr="00694047">
        <w:rPr>
          <w:b/>
          <w:bCs/>
        </w:rPr>
        <w:t>5.388A</w:t>
      </w:r>
      <w:proofErr w:type="spellEnd"/>
      <w:r w:rsidRPr="00694047">
        <w:t>, разреш</w:t>
      </w:r>
      <w:r w:rsidR="00AA33EB" w:rsidRPr="00694047">
        <w:t>ающий использовать</w:t>
      </w:r>
      <w:r w:rsidRPr="00694047">
        <w:t xml:space="preserve"> полосы 1885–1980 МГц, 2</w:t>
      </w:r>
      <w:r w:rsidR="004E66D9" w:rsidRPr="00694047">
        <w:t>010</w:t>
      </w:r>
      <w:r w:rsidRPr="00694047">
        <w:t>–2025 МГц и 2110–2170 МГц в Район</w:t>
      </w:r>
      <w:r w:rsidR="004E66D9" w:rsidRPr="00694047">
        <w:t>ах</w:t>
      </w:r>
      <w:r w:rsidRPr="00694047">
        <w:t xml:space="preserve"> 1 и 3, а также полосы 1885–1980 МГц и 2110–2</w:t>
      </w:r>
      <w:r w:rsidR="004E66D9" w:rsidRPr="00694047">
        <w:t>1</w:t>
      </w:r>
      <w:r w:rsidRPr="00694047">
        <w:t>60 МГц в Районе 2</w:t>
      </w:r>
      <w:r w:rsidR="001A0FB9" w:rsidRPr="00694047">
        <w:t xml:space="preserve"> станциями на высотной платформе в качестве базовых станций IMT</w:t>
      </w:r>
      <w:r w:rsidRPr="00694047">
        <w:t>. Кроме того, Резолюци</w:t>
      </w:r>
      <w:r w:rsidR="004E66D9" w:rsidRPr="00694047">
        <w:t>ей</w:t>
      </w:r>
      <w:r w:rsidRPr="00694047">
        <w:t xml:space="preserve"> </w:t>
      </w:r>
      <w:r w:rsidRPr="00694047">
        <w:rPr>
          <w:b/>
          <w:bCs/>
        </w:rPr>
        <w:t>221 (Пересм. ВКР-07)</w:t>
      </w:r>
      <w:r w:rsidRPr="00694047">
        <w:t xml:space="preserve"> </w:t>
      </w:r>
      <w:r w:rsidR="004E66D9" w:rsidRPr="00694047">
        <w:t xml:space="preserve">были установлены </w:t>
      </w:r>
      <w:r w:rsidRPr="00694047">
        <w:t xml:space="preserve">технические условия, необходимые для обеспечения защиты станций IMT </w:t>
      </w:r>
      <w:r w:rsidR="00A53D3B" w:rsidRPr="00694047">
        <w:t xml:space="preserve">наземного базирования </w:t>
      </w:r>
      <w:r w:rsidRPr="00694047">
        <w:t xml:space="preserve">в соседних странах, а также других служб, </w:t>
      </w:r>
      <w:r w:rsidR="00DE5D73" w:rsidRPr="00694047">
        <w:t xml:space="preserve">имеющих </w:t>
      </w:r>
      <w:r w:rsidRPr="00694047">
        <w:t>распределен</w:t>
      </w:r>
      <w:r w:rsidR="00DE5D73" w:rsidRPr="00694047">
        <w:t>ия</w:t>
      </w:r>
      <w:r w:rsidRPr="00694047">
        <w:t xml:space="preserve"> в этих полосах, от излучения базовых станций IMT</w:t>
      </w:r>
      <w:r w:rsidR="004C74E8" w:rsidRPr="00694047">
        <w:t xml:space="preserve"> на высотной платформе</w:t>
      </w:r>
      <w:r w:rsidRPr="00694047">
        <w:t>.</w:t>
      </w:r>
    </w:p>
    <w:p w14:paraId="0FEB73C6" w14:textId="78BCEBD9" w:rsidR="00541881" w:rsidRPr="00694047" w:rsidRDefault="00541881" w:rsidP="00541881">
      <w:r w:rsidRPr="00694047">
        <w:t xml:space="preserve">Со времени </w:t>
      </w:r>
      <w:r w:rsidR="001A0FB9" w:rsidRPr="00694047">
        <w:t>утверждения</w:t>
      </w:r>
      <w:r w:rsidRPr="00694047">
        <w:t xml:space="preserve"> этого положения в 2000 году </w:t>
      </w:r>
      <w:r w:rsidR="001A0FB9" w:rsidRPr="00694047">
        <w:t xml:space="preserve">произошло значительное развитие </w:t>
      </w:r>
      <w:r w:rsidR="00F11B1F" w:rsidRPr="00694047">
        <w:t xml:space="preserve">систем IMT </w:t>
      </w:r>
      <w:r w:rsidR="001A0FB9" w:rsidRPr="00694047">
        <w:t>в части</w:t>
      </w:r>
      <w:r w:rsidR="00F11B1F" w:rsidRPr="00694047">
        <w:t xml:space="preserve"> </w:t>
      </w:r>
      <w:r w:rsidR="000D25E0" w:rsidRPr="00694047">
        <w:t>определени</w:t>
      </w:r>
      <w:r w:rsidR="00F11B1F" w:rsidRPr="00694047">
        <w:t>я</w:t>
      </w:r>
      <w:r w:rsidRPr="00694047">
        <w:t xml:space="preserve"> спектра, развертывани</w:t>
      </w:r>
      <w:r w:rsidR="00F11B1F" w:rsidRPr="00694047">
        <w:t>я</w:t>
      </w:r>
      <w:r w:rsidRPr="00694047">
        <w:t xml:space="preserve"> сет</w:t>
      </w:r>
      <w:r w:rsidR="00916CF5" w:rsidRPr="00694047">
        <w:t>ей</w:t>
      </w:r>
      <w:r w:rsidRPr="00694047">
        <w:t xml:space="preserve"> и технологи</w:t>
      </w:r>
      <w:r w:rsidR="00F11B1F" w:rsidRPr="00694047">
        <w:t>и</w:t>
      </w:r>
      <w:r w:rsidRPr="00694047">
        <w:t xml:space="preserve"> радиодоступа</w:t>
      </w:r>
      <w:r w:rsidR="00805F1B" w:rsidRPr="00694047">
        <w:t xml:space="preserve"> в результате</w:t>
      </w:r>
      <w:r w:rsidRPr="00694047">
        <w:t xml:space="preserve"> стандартизаци</w:t>
      </w:r>
      <w:r w:rsidR="00805F1B" w:rsidRPr="00694047">
        <w:t>и</w:t>
      </w:r>
      <w:r w:rsidRPr="00694047">
        <w:t xml:space="preserve"> IMT-</w:t>
      </w:r>
      <w:proofErr w:type="spellStart"/>
      <w:r w:rsidRPr="00694047">
        <w:t>Advanced</w:t>
      </w:r>
      <w:proofErr w:type="spellEnd"/>
      <w:r w:rsidRPr="00694047">
        <w:t xml:space="preserve"> и IMT-2020. </w:t>
      </w:r>
      <w:r w:rsidR="00506298" w:rsidRPr="00694047">
        <w:t>В связи с этими изменениями</w:t>
      </w:r>
      <w:r w:rsidRPr="00694047">
        <w:t xml:space="preserve"> </w:t>
      </w:r>
      <w:r w:rsidR="00506298" w:rsidRPr="00694047">
        <w:t xml:space="preserve">пришло </w:t>
      </w:r>
      <w:r w:rsidRPr="00694047">
        <w:t xml:space="preserve">время </w:t>
      </w:r>
      <w:r w:rsidR="000C34AA" w:rsidRPr="00694047">
        <w:t>рас</w:t>
      </w:r>
      <w:r w:rsidRPr="00694047">
        <w:t xml:space="preserve">смотреть </w:t>
      </w:r>
      <w:r w:rsidR="00805F1B" w:rsidRPr="00694047">
        <w:t>действующие</w:t>
      </w:r>
      <w:r w:rsidRPr="00694047">
        <w:t xml:space="preserve"> положения Регламента радиосвязи (РР) МСЭ, чтобы обеспечить т</w:t>
      </w:r>
      <w:r w:rsidR="00A7265D" w:rsidRPr="00694047">
        <w:t>у</w:t>
      </w:r>
      <w:r w:rsidRPr="00694047">
        <w:t xml:space="preserve"> же гибкость, котор</w:t>
      </w:r>
      <w:r w:rsidR="00075CA2" w:rsidRPr="00694047">
        <w:t>ую дает</w:t>
      </w:r>
      <w:r w:rsidRPr="00694047">
        <w:t xml:space="preserve"> п. </w:t>
      </w:r>
      <w:proofErr w:type="spellStart"/>
      <w:r w:rsidRPr="00694047">
        <w:rPr>
          <w:b/>
          <w:bCs/>
        </w:rPr>
        <w:t>5.388A</w:t>
      </w:r>
      <w:proofErr w:type="spellEnd"/>
      <w:r w:rsidRPr="00694047">
        <w:t xml:space="preserve">, для других полос ниже 6 ГГц, согласованных на региональном уровне для IMT. Это </w:t>
      </w:r>
      <w:r w:rsidR="0079376F" w:rsidRPr="00694047">
        <w:t xml:space="preserve">будет </w:t>
      </w:r>
      <w:r w:rsidR="00075CA2" w:rsidRPr="00694047">
        <w:t>содействовать повышению</w:t>
      </w:r>
      <w:r w:rsidR="00B66505" w:rsidRPr="00694047">
        <w:t xml:space="preserve"> </w:t>
      </w:r>
      <w:r w:rsidRPr="00694047">
        <w:t>эффективност</w:t>
      </w:r>
      <w:r w:rsidR="00075CA2" w:rsidRPr="00694047">
        <w:t>и</w:t>
      </w:r>
      <w:r w:rsidRPr="00694047">
        <w:t xml:space="preserve"> использования спектра для</w:t>
      </w:r>
      <w:r w:rsidR="00D81829" w:rsidRPr="00694047">
        <w:t xml:space="preserve"> предоставления услуг подвижной связи</w:t>
      </w:r>
      <w:r w:rsidRPr="00694047">
        <w:t>.</w:t>
      </w:r>
    </w:p>
    <w:p w14:paraId="40B0F3A2" w14:textId="5EC94EB1" w:rsidR="00541881" w:rsidRPr="00694047" w:rsidRDefault="009568FF" w:rsidP="00541881">
      <w:r w:rsidRPr="00694047">
        <w:t>Следует отметить</w:t>
      </w:r>
      <w:r w:rsidR="00541881" w:rsidRPr="00694047">
        <w:t>,</w:t>
      </w:r>
      <w:r w:rsidRPr="00694047">
        <w:t xml:space="preserve"> что</w:t>
      </w:r>
      <w:r w:rsidR="00541881" w:rsidRPr="00694047">
        <w:t xml:space="preserve"> базовые станции IMT </w:t>
      </w:r>
      <w:r w:rsidR="00111E9A" w:rsidRPr="00694047">
        <w:t xml:space="preserve">на высотной платформе </w:t>
      </w:r>
      <w:r w:rsidR="00541881" w:rsidRPr="00694047">
        <w:t>предназначены для дополнения наземных сетей IMT и обычно могут использовать те же полосы частот, что и базовые станции IMT</w:t>
      </w:r>
      <w:r w:rsidR="008A321D" w:rsidRPr="00694047">
        <w:t xml:space="preserve"> наземного базирования</w:t>
      </w:r>
      <w:r w:rsidR="00541881" w:rsidRPr="00694047">
        <w:t>.</w:t>
      </w:r>
      <w:r w:rsidR="00811CF9" w:rsidRPr="00694047">
        <w:t xml:space="preserve"> </w:t>
      </w:r>
      <w:r w:rsidR="00075CA2" w:rsidRPr="00694047">
        <w:t>В этом смысле оборудование пользователя, которое должны обслуживать б</w:t>
      </w:r>
      <w:r w:rsidR="009A53C3" w:rsidRPr="00694047">
        <w:t>азовы</w:t>
      </w:r>
      <w:r w:rsidR="00811CF9" w:rsidRPr="00694047">
        <w:t>е</w:t>
      </w:r>
      <w:r w:rsidR="009A53C3" w:rsidRPr="00694047">
        <w:t xml:space="preserve"> станци</w:t>
      </w:r>
      <w:r w:rsidR="00811CF9" w:rsidRPr="00694047">
        <w:t>и</w:t>
      </w:r>
      <w:r w:rsidR="009A53C3" w:rsidRPr="00694047">
        <w:t xml:space="preserve"> IMT на высотной платформе и базовы</w:t>
      </w:r>
      <w:r w:rsidR="00811CF9" w:rsidRPr="00694047">
        <w:t>е</w:t>
      </w:r>
      <w:r w:rsidR="009A53C3" w:rsidRPr="00694047">
        <w:t xml:space="preserve"> станци</w:t>
      </w:r>
      <w:r w:rsidR="00811CF9" w:rsidRPr="00694047">
        <w:t>и</w:t>
      </w:r>
      <w:r w:rsidR="009A53C3" w:rsidRPr="00694047">
        <w:t xml:space="preserve"> IMT наземного базирования</w:t>
      </w:r>
      <w:r w:rsidR="00304E7E" w:rsidRPr="00694047">
        <w:t xml:space="preserve"> </w:t>
      </w:r>
      <w:r w:rsidR="00075CA2" w:rsidRPr="00694047">
        <w:t>является одинаковым</w:t>
      </w:r>
      <w:r w:rsidR="00541881" w:rsidRPr="00694047">
        <w:t xml:space="preserve">. В настоящее время оборудование </w:t>
      </w:r>
      <w:r w:rsidR="00926B62" w:rsidRPr="00694047">
        <w:t xml:space="preserve">пользователя </w:t>
      </w:r>
      <w:r w:rsidR="00265397" w:rsidRPr="00694047">
        <w:t xml:space="preserve">уже </w:t>
      </w:r>
      <w:r w:rsidR="00541881" w:rsidRPr="00694047">
        <w:t xml:space="preserve">поддерживает </w:t>
      </w:r>
      <w:r w:rsidR="003C69BD" w:rsidRPr="00694047">
        <w:t>различные</w:t>
      </w:r>
      <w:r w:rsidR="00541881" w:rsidRPr="00694047">
        <w:t xml:space="preserve"> полос</w:t>
      </w:r>
      <w:r w:rsidR="003C69BD" w:rsidRPr="00694047">
        <w:t>ы</w:t>
      </w:r>
      <w:r w:rsidR="00541881" w:rsidRPr="00694047">
        <w:t xml:space="preserve"> частот, определенны</w:t>
      </w:r>
      <w:r w:rsidR="003C69BD" w:rsidRPr="00694047">
        <w:t>е</w:t>
      </w:r>
      <w:r w:rsidR="00541881" w:rsidRPr="00694047">
        <w:t xml:space="preserve"> для IMT, что является еще одной причиной для рас</w:t>
      </w:r>
      <w:r w:rsidR="00BD3DA6" w:rsidRPr="00694047">
        <w:t>пространени</w:t>
      </w:r>
      <w:r w:rsidR="001A28EA" w:rsidRPr="00694047">
        <w:t>я</w:t>
      </w:r>
      <w:r w:rsidR="008D08C9" w:rsidRPr="00694047">
        <w:t xml:space="preserve"> </w:t>
      </w:r>
      <w:r w:rsidR="00541881" w:rsidRPr="00694047">
        <w:t xml:space="preserve">использования базовых станций IMT </w:t>
      </w:r>
      <w:r w:rsidR="00C52281" w:rsidRPr="00694047">
        <w:t>на высотной платформ</w:t>
      </w:r>
      <w:r w:rsidR="00CC4106" w:rsidRPr="00694047">
        <w:t xml:space="preserve">е </w:t>
      </w:r>
      <w:r w:rsidR="00BD3DA6" w:rsidRPr="00694047">
        <w:t xml:space="preserve">на </w:t>
      </w:r>
      <w:r w:rsidR="00541881" w:rsidRPr="00694047">
        <w:t>други</w:t>
      </w:r>
      <w:r w:rsidR="00D63A4A" w:rsidRPr="00694047">
        <w:t>е</w:t>
      </w:r>
      <w:r w:rsidR="00541881" w:rsidRPr="00694047">
        <w:t xml:space="preserve"> согласованны</w:t>
      </w:r>
      <w:r w:rsidR="00D63A4A" w:rsidRPr="00694047">
        <w:t>е</w:t>
      </w:r>
      <w:r w:rsidR="00541881" w:rsidRPr="00694047">
        <w:t xml:space="preserve"> на региональном уровне полос</w:t>
      </w:r>
      <w:r w:rsidR="00D63A4A" w:rsidRPr="00694047">
        <w:t>ы</w:t>
      </w:r>
      <w:r w:rsidR="00541881" w:rsidRPr="00694047">
        <w:t xml:space="preserve"> IMT ниже 6</w:t>
      </w:r>
      <w:r w:rsidR="00180C94" w:rsidRPr="00694047">
        <w:t> </w:t>
      </w:r>
      <w:r w:rsidR="00541881" w:rsidRPr="00694047">
        <w:t>ГГц.</w:t>
      </w:r>
    </w:p>
    <w:p w14:paraId="6CCD276D" w14:textId="74495CBF" w:rsidR="00541881" w:rsidRPr="00694047" w:rsidRDefault="009C2DC5" w:rsidP="00541881">
      <w:r w:rsidRPr="00694047">
        <w:t>Б</w:t>
      </w:r>
      <w:r w:rsidR="00541881" w:rsidRPr="00694047">
        <w:t xml:space="preserve">азовые станции IMT </w:t>
      </w:r>
      <w:r w:rsidRPr="00694047">
        <w:t xml:space="preserve">на высотной платформе </w:t>
      </w:r>
      <w:r w:rsidR="00601594" w:rsidRPr="00694047">
        <w:t xml:space="preserve">как часть систем IMT </w:t>
      </w:r>
      <w:r w:rsidR="00541881" w:rsidRPr="00694047">
        <w:t xml:space="preserve">являются станциями подвижных служб. Они не связаны с </w:t>
      </w:r>
      <w:r w:rsidR="003C69BD" w:rsidRPr="00694047">
        <w:t>обеспечением</w:t>
      </w:r>
      <w:r w:rsidR="00047E3E" w:rsidRPr="00694047">
        <w:t xml:space="preserve"> фиксированных служб</w:t>
      </w:r>
      <w:r w:rsidR="00541881" w:rsidRPr="00694047">
        <w:t>, например изуч</w:t>
      </w:r>
      <w:r w:rsidR="00081A98" w:rsidRPr="00694047">
        <w:t>а</w:t>
      </w:r>
      <w:r w:rsidR="00040C03" w:rsidRPr="00694047">
        <w:t>ем</w:t>
      </w:r>
      <w:r w:rsidR="003C69BD" w:rsidRPr="00694047">
        <w:t>ого</w:t>
      </w:r>
      <w:r w:rsidR="00541881" w:rsidRPr="00694047">
        <w:t xml:space="preserve"> в</w:t>
      </w:r>
      <w:r w:rsidR="00015D36" w:rsidRPr="00694047">
        <w:t xml:space="preserve"> рамках</w:t>
      </w:r>
      <w:r w:rsidR="00541881" w:rsidRPr="00694047">
        <w:t xml:space="preserve"> пункт</w:t>
      </w:r>
      <w:r w:rsidR="00015D36" w:rsidRPr="00694047">
        <w:t>а</w:t>
      </w:r>
      <w:r w:rsidR="00694047">
        <w:rPr>
          <w:lang w:val="en-GB"/>
        </w:rPr>
        <w:t> </w:t>
      </w:r>
      <w:r w:rsidR="00541881" w:rsidRPr="00694047">
        <w:t xml:space="preserve">1.14 повестки дня ВКР-19. </w:t>
      </w:r>
      <w:r w:rsidR="0039594F" w:rsidRPr="00694047">
        <w:t>Предлагаемые н</w:t>
      </w:r>
      <w:r w:rsidR="00541881" w:rsidRPr="00694047">
        <w:t xml:space="preserve">овые исследования должны </w:t>
      </w:r>
      <w:r w:rsidR="00617CA1" w:rsidRPr="00694047">
        <w:t>быть посвящены</w:t>
      </w:r>
      <w:r w:rsidR="00541881" w:rsidRPr="00694047">
        <w:t xml:space="preserve"> </w:t>
      </w:r>
      <w:r w:rsidR="00B838AB" w:rsidRPr="00694047">
        <w:lastRenderedPageBreak/>
        <w:t>способам</w:t>
      </w:r>
      <w:r w:rsidR="00541881" w:rsidRPr="00694047">
        <w:t xml:space="preserve"> обеспеч</w:t>
      </w:r>
      <w:r w:rsidR="00B838AB" w:rsidRPr="00694047">
        <w:t>ения</w:t>
      </w:r>
      <w:r w:rsidR="00541881" w:rsidRPr="00694047">
        <w:t xml:space="preserve"> б</w:t>
      </w:r>
      <w:r w:rsidR="00B838AB" w:rsidRPr="00694047">
        <w:t>о</w:t>
      </w:r>
      <w:r w:rsidR="00541881" w:rsidRPr="00694047">
        <w:t>льш</w:t>
      </w:r>
      <w:r w:rsidR="00B838AB" w:rsidRPr="00694047">
        <w:t>ей</w:t>
      </w:r>
      <w:r w:rsidR="00541881" w:rsidRPr="00694047">
        <w:t xml:space="preserve"> гибкост</w:t>
      </w:r>
      <w:r w:rsidR="00B838AB" w:rsidRPr="00694047">
        <w:t>и</w:t>
      </w:r>
      <w:r w:rsidR="00541881" w:rsidRPr="00694047">
        <w:t xml:space="preserve"> в отношении </w:t>
      </w:r>
      <w:r w:rsidR="002A39A1" w:rsidRPr="00694047">
        <w:t>имеющихся</w:t>
      </w:r>
      <w:r w:rsidR="00541881" w:rsidRPr="00694047">
        <w:t xml:space="preserve"> согласованных на региональном уровне </w:t>
      </w:r>
      <w:r w:rsidR="001A0911" w:rsidRPr="00694047">
        <w:t>определений</w:t>
      </w:r>
      <w:r w:rsidR="00B44CDA" w:rsidRPr="00694047">
        <w:t xml:space="preserve"> </w:t>
      </w:r>
      <w:r w:rsidR="00B360FD" w:rsidRPr="00694047">
        <w:t>для</w:t>
      </w:r>
      <w:r w:rsidR="00541881" w:rsidRPr="00694047">
        <w:t xml:space="preserve"> IMT.</w:t>
      </w:r>
    </w:p>
    <w:p w14:paraId="26EA7183" w14:textId="324286F5" w:rsidR="00541881" w:rsidRPr="00694047" w:rsidRDefault="00541881" w:rsidP="00422403">
      <w:r w:rsidRPr="00694047">
        <w:t xml:space="preserve">Таким образом, </w:t>
      </w:r>
      <w:r w:rsidR="00674DFE" w:rsidRPr="00694047">
        <w:t>учитывая</w:t>
      </w:r>
      <w:r w:rsidRPr="00694047">
        <w:t xml:space="preserve"> растущий спрос на подвижную широкополосную связь, </w:t>
      </w:r>
      <w:r w:rsidR="00206ED6" w:rsidRPr="00694047">
        <w:t xml:space="preserve">в рамках </w:t>
      </w:r>
      <w:r w:rsidRPr="00694047">
        <w:t>это</w:t>
      </w:r>
      <w:r w:rsidR="00206ED6" w:rsidRPr="00694047">
        <w:t>го</w:t>
      </w:r>
      <w:r w:rsidRPr="00694047">
        <w:t xml:space="preserve"> нов</w:t>
      </w:r>
      <w:r w:rsidR="00206ED6" w:rsidRPr="00694047">
        <w:t>ого</w:t>
      </w:r>
      <w:r w:rsidRPr="00694047">
        <w:t xml:space="preserve"> пункт</w:t>
      </w:r>
      <w:r w:rsidR="00206ED6" w:rsidRPr="00694047">
        <w:t>а</w:t>
      </w:r>
      <w:r w:rsidRPr="00694047">
        <w:t xml:space="preserve"> повестки дня предлагает</w:t>
      </w:r>
      <w:r w:rsidR="00206ED6" w:rsidRPr="00694047">
        <w:t>ся</w:t>
      </w:r>
      <w:r w:rsidRPr="00694047">
        <w:t xml:space="preserve"> </w:t>
      </w:r>
      <w:r w:rsidR="00674DFE" w:rsidRPr="00694047">
        <w:t>исследовать</w:t>
      </w:r>
      <w:r w:rsidRPr="00694047">
        <w:t xml:space="preserve"> использование базовых станций IMT </w:t>
      </w:r>
      <w:r w:rsidR="002F47D3" w:rsidRPr="00694047">
        <w:t>на высотной платформе</w:t>
      </w:r>
      <w:r w:rsidR="008C2E71" w:rsidRPr="00694047">
        <w:t xml:space="preserve"> </w:t>
      </w:r>
      <w:r w:rsidRPr="00694047">
        <w:t xml:space="preserve">в полосах ниже 2,7 ГГц, уже </w:t>
      </w:r>
      <w:r w:rsidR="006C198F" w:rsidRPr="00694047">
        <w:t>согласованны</w:t>
      </w:r>
      <w:r w:rsidR="00565935" w:rsidRPr="00694047">
        <w:t>х</w:t>
      </w:r>
      <w:r w:rsidR="006C198F" w:rsidRPr="00694047">
        <w:t xml:space="preserve"> </w:t>
      </w:r>
      <w:r w:rsidR="00565935" w:rsidRPr="00694047">
        <w:t xml:space="preserve">для IMT </w:t>
      </w:r>
      <w:r w:rsidR="006C198F" w:rsidRPr="00694047">
        <w:t xml:space="preserve">на </w:t>
      </w:r>
      <w:r w:rsidRPr="00694047">
        <w:t>региональ</w:t>
      </w:r>
      <w:r w:rsidR="006C198F" w:rsidRPr="00694047">
        <w:t>ном уровне</w:t>
      </w:r>
      <w:r w:rsidRPr="00694047">
        <w:t xml:space="preserve">. Цель исследований </w:t>
      </w:r>
      <w:r w:rsidR="00306731" w:rsidRPr="00694047">
        <w:t>–</w:t>
      </w:r>
      <w:r w:rsidRPr="00694047">
        <w:t xml:space="preserve"> </w:t>
      </w:r>
      <w:r w:rsidR="00584C53" w:rsidRPr="00694047">
        <w:t>добиться</w:t>
      </w:r>
      <w:r w:rsidRPr="00694047">
        <w:t xml:space="preserve"> гибко</w:t>
      </w:r>
      <w:r w:rsidR="00584C53" w:rsidRPr="00694047">
        <w:t>го</w:t>
      </w:r>
      <w:r w:rsidRPr="00694047">
        <w:t xml:space="preserve"> и более широко</w:t>
      </w:r>
      <w:r w:rsidR="00584C53" w:rsidRPr="00694047">
        <w:t>го</w:t>
      </w:r>
      <w:r w:rsidRPr="00694047">
        <w:t xml:space="preserve"> использовани</w:t>
      </w:r>
      <w:r w:rsidR="00584C53" w:rsidRPr="00694047">
        <w:t>я</w:t>
      </w:r>
      <w:r w:rsidRPr="00694047">
        <w:t xml:space="preserve"> </w:t>
      </w:r>
      <w:r w:rsidR="00BC323B" w:rsidRPr="00694047">
        <w:t>имеющихся</w:t>
      </w:r>
      <w:r w:rsidRPr="00694047">
        <w:t xml:space="preserve"> согласованных на региональном уровне полос IMT для дополнения </w:t>
      </w:r>
      <w:r w:rsidR="00D0103A" w:rsidRPr="00694047">
        <w:t>покрытия</w:t>
      </w:r>
      <w:r w:rsidRPr="00694047">
        <w:t xml:space="preserve"> и поддержки </w:t>
      </w:r>
      <w:r w:rsidR="00836AF7" w:rsidRPr="00694047">
        <w:t>сценариев</w:t>
      </w:r>
      <w:r w:rsidRPr="00694047">
        <w:t xml:space="preserve"> использования 5G</w:t>
      </w:r>
      <w:r w:rsidR="00BC0626" w:rsidRPr="00694047">
        <w:t>,</w:t>
      </w:r>
      <w:r w:rsidRPr="00694047">
        <w:t xml:space="preserve"> </w:t>
      </w:r>
      <w:r w:rsidR="00565935" w:rsidRPr="00694047">
        <w:t xml:space="preserve">обеспечив при этом </w:t>
      </w:r>
      <w:r w:rsidRPr="00694047">
        <w:t>совместимост</w:t>
      </w:r>
      <w:r w:rsidR="00BC0626" w:rsidRPr="00694047">
        <w:t>ь</w:t>
      </w:r>
      <w:r w:rsidRPr="00694047">
        <w:t xml:space="preserve"> с существующими </w:t>
      </w:r>
      <w:r w:rsidR="003549CC" w:rsidRPr="00694047">
        <w:t>применениями</w:t>
      </w:r>
      <w:r w:rsidRPr="00694047">
        <w:t xml:space="preserve"> и службами. Следует подчеркнуть, что это предложение не требует </w:t>
      </w:r>
      <w:r w:rsidR="007369D6" w:rsidRPr="00694047">
        <w:t xml:space="preserve">определения нового </w:t>
      </w:r>
      <w:r w:rsidRPr="00694047">
        <w:t xml:space="preserve">спектра для IMT </w:t>
      </w:r>
      <w:r w:rsidR="00B16ECE" w:rsidRPr="00694047">
        <w:t xml:space="preserve">как таковой </w:t>
      </w:r>
      <w:r w:rsidRPr="00694047">
        <w:t>и</w:t>
      </w:r>
      <w:r w:rsidR="00674DFE" w:rsidRPr="00694047">
        <w:t>ли</w:t>
      </w:r>
      <w:r w:rsidRPr="00694047">
        <w:t xml:space="preserve"> пересм</w:t>
      </w:r>
      <w:r w:rsidR="002362FC" w:rsidRPr="00694047">
        <w:t>отра</w:t>
      </w:r>
      <w:r w:rsidRPr="00694047">
        <w:t xml:space="preserve"> каки</w:t>
      </w:r>
      <w:r w:rsidR="002362FC" w:rsidRPr="00694047">
        <w:t>х</w:t>
      </w:r>
      <w:r w:rsidRPr="00694047">
        <w:t xml:space="preserve">-либо </w:t>
      </w:r>
      <w:r w:rsidR="00E6457C" w:rsidRPr="00694047">
        <w:t>имеющихся</w:t>
      </w:r>
      <w:r w:rsidRPr="00694047">
        <w:t xml:space="preserve"> </w:t>
      </w:r>
      <w:r w:rsidR="002362FC" w:rsidRPr="00694047">
        <w:t xml:space="preserve">определений </w:t>
      </w:r>
      <w:r w:rsidR="00F22450" w:rsidRPr="00694047">
        <w:t xml:space="preserve">для </w:t>
      </w:r>
      <w:r w:rsidRPr="00694047">
        <w:t xml:space="preserve">IMT в РР. Исследования будут сосредоточены на возможном пересмотре действующих нормативных положений РР, </w:t>
      </w:r>
      <w:r w:rsidR="008F7DE4" w:rsidRPr="00694047">
        <w:t>связанных с</w:t>
      </w:r>
      <w:r w:rsidRPr="00694047">
        <w:t xml:space="preserve"> </w:t>
      </w:r>
      <w:r w:rsidR="00674DFE" w:rsidRPr="00694047">
        <w:t xml:space="preserve">положениями </w:t>
      </w:r>
      <w:r w:rsidRPr="00694047">
        <w:t>п.</w:t>
      </w:r>
      <w:r w:rsidR="000D28B3" w:rsidRPr="00694047">
        <w:t> </w:t>
      </w:r>
      <w:proofErr w:type="spellStart"/>
      <w:r w:rsidRPr="00694047">
        <w:rPr>
          <w:b/>
          <w:bCs/>
        </w:rPr>
        <w:t>5.388А</w:t>
      </w:r>
      <w:proofErr w:type="spellEnd"/>
      <w:r w:rsidRPr="00694047">
        <w:t xml:space="preserve">. </w:t>
      </w:r>
      <w:r w:rsidR="00674DFE" w:rsidRPr="00694047">
        <w:t>Далее ВКР-23 обсудит р</w:t>
      </w:r>
      <w:r w:rsidRPr="00694047">
        <w:t xml:space="preserve">езультаты исследования и </w:t>
      </w:r>
      <w:r w:rsidR="005902FA" w:rsidRPr="00694047">
        <w:t>возможные</w:t>
      </w:r>
      <w:r w:rsidRPr="00694047">
        <w:t xml:space="preserve"> изменения </w:t>
      </w:r>
      <w:r w:rsidR="005F7C12" w:rsidRPr="00694047">
        <w:t>в Р</w:t>
      </w:r>
      <w:r w:rsidRPr="00694047">
        <w:t>Р.</w:t>
      </w:r>
    </w:p>
    <w:p w14:paraId="48EF60B8" w14:textId="77777777" w:rsidR="009B5CC2" w:rsidRPr="0069404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94047">
        <w:br w:type="page"/>
      </w:r>
    </w:p>
    <w:p w14:paraId="225E438B" w14:textId="77777777" w:rsidR="0085455C" w:rsidRPr="00694047" w:rsidRDefault="007B4753">
      <w:pPr>
        <w:pStyle w:val="Proposal"/>
      </w:pPr>
      <w:proofErr w:type="spellStart"/>
      <w:r w:rsidRPr="00694047">
        <w:lastRenderedPageBreak/>
        <w:t>ADD</w:t>
      </w:r>
      <w:proofErr w:type="spellEnd"/>
      <w:r w:rsidRPr="00694047">
        <w:tab/>
      </w:r>
      <w:proofErr w:type="spellStart"/>
      <w:r w:rsidRPr="00694047">
        <w:t>IAP</w:t>
      </w:r>
      <w:proofErr w:type="spellEnd"/>
      <w:r w:rsidRPr="00694047">
        <w:t>/</w:t>
      </w:r>
      <w:proofErr w:type="spellStart"/>
      <w:r w:rsidRPr="00694047">
        <w:t>11A24A2</w:t>
      </w:r>
      <w:proofErr w:type="spellEnd"/>
      <w:r w:rsidRPr="00694047">
        <w:t>/1</w:t>
      </w:r>
    </w:p>
    <w:p w14:paraId="1551F707" w14:textId="32944256" w:rsidR="0085455C" w:rsidRPr="00694047" w:rsidRDefault="007B4753">
      <w:pPr>
        <w:pStyle w:val="ResNo"/>
      </w:pPr>
      <w:r w:rsidRPr="00694047">
        <w:t>Проект новой Резолюции [</w:t>
      </w:r>
      <w:proofErr w:type="spellStart"/>
      <w:r w:rsidRPr="00694047">
        <w:t>IAP</w:t>
      </w:r>
      <w:proofErr w:type="spellEnd"/>
      <w:r w:rsidR="00694047" w:rsidRPr="00694047">
        <w:t>/</w:t>
      </w:r>
      <w:r w:rsidRPr="00694047">
        <w:t>10(B)</w:t>
      </w:r>
      <w:r w:rsidR="00422403" w:rsidRPr="00694047">
        <w:t>-2023] (</w:t>
      </w:r>
      <w:r w:rsidR="0000766F" w:rsidRPr="00694047">
        <w:t>ВКР</w:t>
      </w:r>
      <w:r w:rsidR="00422403" w:rsidRPr="00694047">
        <w:t>-19)</w:t>
      </w:r>
    </w:p>
    <w:p w14:paraId="7C25E7FC" w14:textId="609F46DC" w:rsidR="00BC7EF5" w:rsidRPr="00694047" w:rsidRDefault="00541881" w:rsidP="00BC7EF5">
      <w:pPr>
        <w:pStyle w:val="Restitle"/>
        <w:rPr>
          <w:rFonts w:asciiTheme="minorHAnsi" w:hAnsiTheme="minorHAnsi"/>
        </w:rPr>
      </w:pPr>
      <w:r w:rsidRPr="00694047">
        <w:t>Повестка дня Всемирной конференции радиосвязи 2023 год</w:t>
      </w:r>
      <w:r w:rsidR="00661450" w:rsidRPr="00694047">
        <w:rPr>
          <w:rFonts w:asciiTheme="minorHAnsi" w:hAnsiTheme="minorHAnsi"/>
        </w:rPr>
        <w:t>а</w:t>
      </w:r>
    </w:p>
    <w:p w14:paraId="07860F51" w14:textId="324048C5" w:rsidR="00422403" w:rsidRPr="00694047" w:rsidRDefault="00541881" w:rsidP="00422403">
      <w:pPr>
        <w:pStyle w:val="Normalaftertitle"/>
      </w:pPr>
      <w:r w:rsidRPr="00694047">
        <w:t>Всемирная конференция радиосвязи (Шарм-эль-Шейх, 2019 г.),</w:t>
      </w:r>
    </w:p>
    <w:p w14:paraId="3D0652E5" w14:textId="77777777" w:rsidR="00422403" w:rsidRPr="00694047" w:rsidRDefault="00422403" w:rsidP="00422403">
      <w:r w:rsidRPr="00694047">
        <w:t>…</w:t>
      </w:r>
    </w:p>
    <w:p w14:paraId="36A6E512" w14:textId="38CCA780" w:rsidR="00422403" w:rsidRPr="00694047" w:rsidRDefault="00422403" w:rsidP="00422403">
      <w:proofErr w:type="spellStart"/>
      <w:r w:rsidRPr="00694047">
        <w:rPr>
          <w:b/>
        </w:rPr>
        <w:t>1.X</w:t>
      </w:r>
      <w:proofErr w:type="spellEnd"/>
      <w:r w:rsidRPr="00694047">
        <w:rPr>
          <w:b/>
        </w:rPr>
        <w:tab/>
      </w:r>
      <w:r w:rsidRPr="00694047">
        <w:t xml:space="preserve"> </w:t>
      </w:r>
      <w:r w:rsidR="00541881" w:rsidRPr="00694047">
        <w:t xml:space="preserve">рассмотреть в соответствии с Резолюцией </w:t>
      </w:r>
      <w:r w:rsidR="00541881" w:rsidRPr="00694047">
        <w:rPr>
          <w:b/>
          <w:bCs/>
        </w:rPr>
        <w:t>[</w:t>
      </w:r>
      <w:proofErr w:type="spellStart"/>
      <w:r w:rsidR="00604967" w:rsidRPr="00694047">
        <w:rPr>
          <w:b/>
          <w:bCs/>
        </w:rPr>
        <w:t>IAP</w:t>
      </w:r>
      <w:proofErr w:type="spellEnd"/>
      <w:r w:rsidR="00604967" w:rsidRPr="00694047">
        <w:rPr>
          <w:b/>
          <w:bCs/>
        </w:rPr>
        <w:t>/10(B)/</w:t>
      </w:r>
      <w:proofErr w:type="spellStart"/>
      <w:r w:rsidR="00604967" w:rsidRPr="00694047">
        <w:rPr>
          <w:b/>
          <w:bCs/>
        </w:rPr>
        <w:t>HA</w:t>
      </w:r>
      <w:proofErr w:type="spellEnd"/>
      <w:r w:rsidR="00604967" w:rsidRPr="00694047">
        <w:rPr>
          <w:b/>
          <w:bCs/>
        </w:rPr>
        <w:t>-IMT</w:t>
      </w:r>
      <w:r w:rsidR="00541881" w:rsidRPr="00694047">
        <w:rPr>
          <w:b/>
          <w:bCs/>
        </w:rPr>
        <w:t>]</w:t>
      </w:r>
      <w:r w:rsidR="00541881" w:rsidRPr="00694047">
        <w:t xml:space="preserve"> </w:t>
      </w:r>
      <w:r w:rsidR="00541881" w:rsidRPr="00694047">
        <w:rPr>
          <w:b/>
          <w:bCs/>
        </w:rPr>
        <w:t>(ВКР-19)</w:t>
      </w:r>
      <w:r w:rsidR="00541881" w:rsidRPr="00694047">
        <w:t xml:space="preserve"> использование базовых станций IMT </w:t>
      </w:r>
      <w:r w:rsidR="00604967" w:rsidRPr="00694047">
        <w:t xml:space="preserve">на высотной платформе </w:t>
      </w:r>
      <w:r w:rsidR="00541881" w:rsidRPr="00694047">
        <w:t xml:space="preserve">в </w:t>
      </w:r>
      <w:r w:rsidR="00510B80" w:rsidRPr="00694047">
        <w:t>некоторых</w:t>
      </w:r>
      <w:r w:rsidR="00541881" w:rsidRPr="00694047">
        <w:t xml:space="preserve"> полосах ниже 2,7 ГГц, уже определенных для IMT на глобально</w:t>
      </w:r>
      <w:r w:rsidR="00CD65CB" w:rsidRPr="00694047">
        <w:t>м</w:t>
      </w:r>
      <w:r w:rsidR="00541881" w:rsidRPr="00694047">
        <w:t xml:space="preserve"> или регионально</w:t>
      </w:r>
      <w:r w:rsidR="00CD65CB" w:rsidRPr="00694047">
        <w:t>м</w:t>
      </w:r>
      <w:r w:rsidR="00541881" w:rsidRPr="00694047">
        <w:t xml:space="preserve"> уров</w:t>
      </w:r>
      <w:r w:rsidR="00CD65CB" w:rsidRPr="00694047">
        <w:t>не</w:t>
      </w:r>
      <w:r w:rsidR="00541881" w:rsidRPr="00694047">
        <w:t xml:space="preserve">. </w:t>
      </w:r>
    </w:p>
    <w:p w14:paraId="4CE4AF8D" w14:textId="676BF9F3" w:rsidR="0085455C" w:rsidRPr="00694047" w:rsidRDefault="007B4753">
      <w:pPr>
        <w:pStyle w:val="Reasons"/>
      </w:pPr>
      <w:r w:rsidRPr="00694047">
        <w:rPr>
          <w:b/>
        </w:rPr>
        <w:t>Основания</w:t>
      </w:r>
      <w:r w:rsidRPr="00694047">
        <w:rPr>
          <w:bCs/>
        </w:rPr>
        <w:t>:</w:t>
      </w:r>
      <w:r w:rsidRPr="00694047">
        <w:tab/>
      </w:r>
      <w:r w:rsidR="009D1D2F" w:rsidRPr="00694047">
        <w:t xml:space="preserve">Новый пункт повестки дня, касающийся </w:t>
      </w:r>
      <w:r w:rsidR="00674DFE" w:rsidRPr="00694047">
        <w:t>исследования</w:t>
      </w:r>
      <w:r w:rsidR="009D1D2F" w:rsidRPr="00694047">
        <w:t xml:space="preserve"> </w:t>
      </w:r>
      <w:r w:rsidR="00B94C99" w:rsidRPr="00694047">
        <w:t xml:space="preserve">использования </w:t>
      </w:r>
      <w:r w:rsidR="009D1D2F" w:rsidRPr="00694047">
        <w:t xml:space="preserve">базовых станций IMT на высотной платформе в некоторых имеющихся согласованных на глобальном или региональном </w:t>
      </w:r>
      <w:r w:rsidR="00543DD2" w:rsidRPr="00694047">
        <w:t xml:space="preserve">уровне </w:t>
      </w:r>
      <w:r w:rsidR="009D1D2F" w:rsidRPr="00694047">
        <w:t xml:space="preserve">полосах IMT ниже 2,7 ГГц, </w:t>
      </w:r>
      <w:r w:rsidR="00D15D4F" w:rsidRPr="00694047">
        <w:t>имеет целью обеспечить более гибкое использование этих полос</w:t>
      </w:r>
      <w:r w:rsidR="00541881" w:rsidRPr="00694047">
        <w:t xml:space="preserve">, с тем чтобы удовлетворить потребность в расширении </w:t>
      </w:r>
      <w:r w:rsidR="00D0103A" w:rsidRPr="00694047">
        <w:t>покрытия</w:t>
      </w:r>
      <w:r w:rsidR="00541881" w:rsidRPr="00694047">
        <w:t xml:space="preserve"> и пропускной способности </w:t>
      </w:r>
      <w:r w:rsidR="00FB0E07" w:rsidRPr="00694047">
        <w:t xml:space="preserve">сетей </w:t>
      </w:r>
      <w:r w:rsidR="00541881" w:rsidRPr="00694047">
        <w:t xml:space="preserve">подвижной широкополосной связи. </w:t>
      </w:r>
      <w:r w:rsidR="005279FE" w:rsidRPr="00694047">
        <w:t>Данный пункт повестки дня не предполагает п</w:t>
      </w:r>
      <w:r w:rsidR="00541881" w:rsidRPr="00694047">
        <w:t>ересмотр</w:t>
      </w:r>
      <w:r w:rsidR="005279FE" w:rsidRPr="00694047">
        <w:t>а</w:t>
      </w:r>
      <w:r w:rsidR="00541881" w:rsidRPr="00694047">
        <w:t xml:space="preserve"> </w:t>
      </w:r>
      <w:r w:rsidR="007E74FA" w:rsidRPr="00694047">
        <w:t>действующих</w:t>
      </w:r>
      <w:r w:rsidR="00541881" w:rsidRPr="00694047">
        <w:t xml:space="preserve"> </w:t>
      </w:r>
      <w:r w:rsidR="00FB0E07" w:rsidRPr="00694047">
        <w:t>определений для</w:t>
      </w:r>
      <w:r w:rsidR="00541881" w:rsidRPr="00694047">
        <w:t xml:space="preserve"> IMT в Регламенте радиосвязи. </w:t>
      </w:r>
      <w:r w:rsidR="007E74FA" w:rsidRPr="00694047">
        <w:t>Далее ВКР</w:t>
      </w:r>
      <w:r w:rsidR="00A54A54">
        <w:noBreakHyphen/>
      </w:r>
      <w:r w:rsidR="007E74FA" w:rsidRPr="00694047">
        <w:t>23 обсудит результаты исследования и возможные изменения в РР</w:t>
      </w:r>
      <w:r w:rsidR="00541881" w:rsidRPr="00694047">
        <w:t xml:space="preserve">. </w:t>
      </w:r>
    </w:p>
    <w:p w14:paraId="7C2F946D" w14:textId="77777777" w:rsidR="0085455C" w:rsidRPr="00694047" w:rsidRDefault="007B4753">
      <w:pPr>
        <w:pStyle w:val="Proposal"/>
      </w:pPr>
      <w:proofErr w:type="spellStart"/>
      <w:r w:rsidRPr="00694047">
        <w:t>ADD</w:t>
      </w:r>
      <w:proofErr w:type="spellEnd"/>
      <w:r w:rsidRPr="00694047">
        <w:tab/>
      </w:r>
      <w:proofErr w:type="spellStart"/>
      <w:r w:rsidRPr="00694047">
        <w:t>IAP</w:t>
      </w:r>
      <w:proofErr w:type="spellEnd"/>
      <w:r w:rsidRPr="00694047">
        <w:t>/</w:t>
      </w:r>
      <w:proofErr w:type="spellStart"/>
      <w:r w:rsidRPr="00694047">
        <w:t>11A24A2</w:t>
      </w:r>
      <w:proofErr w:type="spellEnd"/>
      <w:r w:rsidRPr="00694047">
        <w:t>/2</w:t>
      </w:r>
    </w:p>
    <w:p w14:paraId="485E227E" w14:textId="2D93DE12" w:rsidR="0085455C" w:rsidRPr="00694047" w:rsidRDefault="007B4753">
      <w:pPr>
        <w:pStyle w:val="ResNo"/>
      </w:pPr>
      <w:r w:rsidRPr="00694047">
        <w:t>Проект новой Резолюции [</w:t>
      </w:r>
      <w:proofErr w:type="spellStart"/>
      <w:r w:rsidRPr="00694047">
        <w:t>IAP</w:t>
      </w:r>
      <w:proofErr w:type="spellEnd"/>
      <w:r w:rsidR="00694047" w:rsidRPr="00694047">
        <w:t>/</w:t>
      </w:r>
      <w:r w:rsidRPr="00694047">
        <w:t>10(B)/</w:t>
      </w:r>
      <w:proofErr w:type="spellStart"/>
      <w:r w:rsidRPr="00694047">
        <w:t>HA</w:t>
      </w:r>
      <w:proofErr w:type="spellEnd"/>
      <w:r w:rsidRPr="00694047">
        <w:t>-IMT]</w:t>
      </w:r>
      <w:r w:rsidR="00422403" w:rsidRPr="00694047">
        <w:rPr>
          <w:caps w:val="0"/>
          <w:sz w:val="24"/>
        </w:rPr>
        <w:t xml:space="preserve"> </w:t>
      </w:r>
      <w:r w:rsidR="00422403" w:rsidRPr="00694047">
        <w:t>(</w:t>
      </w:r>
      <w:r w:rsidR="0000766F" w:rsidRPr="00694047">
        <w:t>ВКР</w:t>
      </w:r>
      <w:r w:rsidR="00422403" w:rsidRPr="00694047">
        <w:t>-19)</w:t>
      </w:r>
    </w:p>
    <w:p w14:paraId="38F64D92" w14:textId="7B9A2323" w:rsidR="00422403" w:rsidRPr="00694047" w:rsidRDefault="00541881" w:rsidP="00422403">
      <w:pPr>
        <w:pStyle w:val="Restitle"/>
      </w:pPr>
      <w:r w:rsidRPr="00694047">
        <w:t xml:space="preserve">Использование базовых станций IMT </w:t>
      </w:r>
      <w:r w:rsidR="006E06B6" w:rsidRPr="00694047">
        <w:t xml:space="preserve">на высотной платформе </w:t>
      </w:r>
      <w:r w:rsidRPr="00694047">
        <w:t xml:space="preserve">в </w:t>
      </w:r>
      <w:r w:rsidR="00F725D7" w:rsidRPr="00694047">
        <w:t>некоторых</w:t>
      </w:r>
      <w:r w:rsidRPr="00694047">
        <w:t xml:space="preserve"> полосах ниже 2,7 ГГц, согласованных на региональном уровне для IMT</w:t>
      </w:r>
    </w:p>
    <w:p w14:paraId="5C0AAE08" w14:textId="2606EE83" w:rsidR="00422403" w:rsidRPr="00694047" w:rsidRDefault="00541881" w:rsidP="00422403">
      <w:pPr>
        <w:pStyle w:val="Normalaftertitle"/>
      </w:pPr>
      <w:r w:rsidRPr="00694047">
        <w:t>Всемирная конференция радиосвязи (Шарм-эль-Шейх, 2019 г.),</w:t>
      </w:r>
    </w:p>
    <w:p w14:paraId="20C35A80" w14:textId="1CBB2964" w:rsidR="00422403" w:rsidRPr="00694047" w:rsidRDefault="00541881" w:rsidP="00422403">
      <w:pPr>
        <w:pStyle w:val="Call"/>
      </w:pPr>
      <w:r w:rsidRPr="00694047">
        <w:t>учитывая</w:t>
      </w:r>
      <w:r w:rsidRPr="00694047">
        <w:rPr>
          <w:i w:val="0"/>
          <w:iCs/>
        </w:rPr>
        <w:t>,</w:t>
      </w:r>
    </w:p>
    <w:p w14:paraId="0173A211" w14:textId="2D97DD15" w:rsidR="00422403" w:rsidRPr="00694047" w:rsidRDefault="00422403" w:rsidP="00422403">
      <w:r w:rsidRPr="00694047">
        <w:rPr>
          <w:i/>
        </w:rPr>
        <w:t>a)</w:t>
      </w:r>
      <w:r w:rsidRPr="00694047">
        <w:rPr>
          <w:i/>
        </w:rPr>
        <w:tab/>
      </w:r>
      <w:r w:rsidR="002B55D3" w:rsidRPr="00694047">
        <w:rPr>
          <w:iCs/>
        </w:rPr>
        <w:t xml:space="preserve">что </w:t>
      </w:r>
      <w:r w:rsidR="00D0103A" w:rsidRPr="00694047">
        <w:rPr>
          <w:iCs/>
        </w:rPr>
        <w:t>возрастает спрос на</w:t>
      </w:r>
      <w:r w:rsidR="00541881" w:rsidRPr="00694047">
        <w:rPr>
          <w:iCs/>
        </w:rPr>
        <w:t xml:space="preserve"> доступ к подвижной широкополосной связи</w:t>
      </w:r>
      <w:r w:rsidR="002B00A3" w:rsidRPr="00694047">
        <w:rPr>
          <w:iCs/>
        </w:rPr>
        <w:t xml:space="preserve">, </w:t>
      </w:r>
      <w:r w:rsidR="00541881" w:rsidRPr="00694047">
        <w:rPr>
          <w:iCs/>
        </w:rPr>
        <w:t>требу</w:t>
      </w:r>
      <w:r w:rsidR="002B00A3" w:rsidRPr="00694047">
        <w:rPr>
          <w:iCs/>
        </w:rPr>
        <w:t>я</w:t>
      </w:r>
      <w:r w:rsidR="00541881" w:rsidRPr="00694047">
        <w:rPr>
          <w:iCs/>
        </w:rPr>
        <w:t xml:space="preserve"> большей гибкости подход</w:t>
      </w:r>
      <w:r w:rsidR="008E753C" w:rsidRPr="00694047">
        <w:rPr>
          <w:iCs/>
        </w:rPr>
        <w:t>ов</w:t>
      </w:r>
      <w:r w:rsidR="00541881" w:rsidRPr="00694047">
        <w:rPr>
          <w:iCs/>
        </w:rPr>
        <w:t xml:space="preserve"> к расширению </w:t>
      </w:r>
      <w:r w:rsidR="00677AEC" w:rsidRPr="00694047">
        <w:t xml:space="preserve">пропускной способности </w:t>
      </w:r>
      <w:r w:rsidR="00541881" w:rsidRPr="00694047">
        <w:rPr>
          <w:iCs/>
        </w:rPr>
        <w:t xml:space="preserve">и </w:t>
      </w:r>
      <w:r w:rsidR="00677AEC" w:rsidRPr="00694047">
        <w:rPr>
          <w:iCs/>
        </w:rPr>
        <w:t>покрытия</w:t>
      </w:r>
      <w:r w:rsidR="00541881" w:rsidRPr="00694047">
        <w:rPr>
          <w:iCs/>
        </w:rPr>
        <w:t>, обеспечиваемых системами IMT</w:t>
      </w:r>
      <w:r w:rsidRPr="00694047">
        <w:t>;</w:t>
      </w:r>
    </w:p>
    <w:p w14:paraId="4C1D172E" w14:textId="2807601C" w:rsidR="00422403" w:rsidRPr="00694047" w:rsidRDefault="00422403" w:rsidP="00422403">
      <w:r w:rsidRPr="00694047">
        <w:rPr>
          <w:i/>
        </w:rPr>
        <w:t>b)</w:t>
      </w:r>
      <w:r w:rsidRPr="00694047">
        <w:tab/>
      </w:r>
      <w:r w:rsidR="00541881" w:rsidRPr="00694047">
        <w:t>что</w:t>
      </w:r>
      <w:r w:rsidR="00D0103A" w:rsidRPr="00694047">
        <w:t xml:space="preserve"> для</w:t>
      </w:r>
      <w:r w:rsidR="00541881" w:rsidRPr="00694047">
        <w:t xml:space="preserve"> значительн</w:t>
      </w:r>
      <w:r w:rsidR="00D0103A" w:rsidRPr="00694047">
        <w:t>ой</w:t>
      </w:r>
      <w:r w:rsidR="00541881" w:rsidRPr="00694047">
        <w:t xml:space="preserve"> част</w:t>
      </w:r>
      <w:r w:rsidR="00D0103A" w:rsidRPr="00694047">
        <w:t>и</w:t>
      </w:r>
      <w:r w:rsidR="00541881" w:rsidRPr="00694047">
        <w:t xml:space="preserve"> населения мира по-прежнему не </w:t>
      </w:r>
      <w:r w:rsidR="00D0103A" w:rsidRPr="00694047">
        <w:t xml:space="preserve">обеспечена возможность </w:t>
      </w:r>
      <w:r w:rsidR="00BE26F7" w:rsidRPr="00694047">
        <w:t>установления соединений</w:t>
      </w:r>
      <w:r w:rsidR="00541881" w:rsidRPr="00694047">
        <w:t xml:space="preserve"> и </w:t>
      </w:r>
      <w:r w:rsidR="00DC4BD1" w:rsidRPr="00694047">
        <w:t xml:space="preserve">что </w:t>
      </w:r>
      <w:r w:rsidR="00D0103A" w:rsidRPr="00694047">
        <w:t xml:space="preserve">продолжается </w:t>
      </w:r>
      <w:r w:rsidR="0009786C" w:rsidRPr="00694047">
        <w:t>работа</w:t>
      </w:r>
      <w:r w:rsidR="00541881" w:rsidRPr="00694047">
        <w:t>, направленн</w:t>
      </w:r>
      <w:r w:rsidR="0009786C" w:rsidRPr="00694047">
        <w:t>ая</w:t>
      </w:r>
      <w:r w:rsidR="00541881" w:rsidRPr="00694047">
        <w:t xml:space="preserve"> на сокращение цифрового разрыва</w:t>
      </w:r>
      <w:r w:rsidRPr="00694047">
        <w:t>;</w:t>
      </w:r>
    </w:p>
    <w:p w14:paraId="130F119D" w14:textId="72C38C9D" w:rsidR="00422403" w:rsidRPr="00694047" w:rsidRDefault="00422403" w:rsidP="00422403">
      <w:r w:rsidRPr="00694047">
        <w:rPr>
          <w:i/>
        </w:rPr>
        <w:t>c)</w:t>
      </w:r>
      <w:r w:rsidRPr="00694047">
        <w:tab/>
      </w:r>
      <w:r w:rsidR="00541881" w:rsidRPr="00694047">
        <w:t xml:space="preserve">что </w:t>
      </w:r>
      <w:r w:rsidR="00D0103A" w:rsidRPr="00694047">
        <w:t>в результате стандартизации IMT-</w:t>
      </w:r>
      <w:proofErr w:type="spellStart"/>
      <w:r w:rsidR="00D0103A" w:rsidRPr="00694047">
        <w:t>Advanced</w:t>
      </w:r>
      <w:proofErr w:type="spellEnd"/>
      <w:r w:rsidR="00D0103A" w:rsidRPr="00694047">
        <w:t xml:space="preserve"> и IMT-2020 произошло значительное развитие систем IMT в части определения спектра, развертывания сетей и технологии радиодоступа</w:t>
      </w:r>
      <w:r w:rsidRPr="00694047">
        <w:t>;</w:t>
      </w:r>
    </w:p>
    <w:p w14:paraId="44236111" w14:textId="0978F775" w:rsidR="00422403" w:rsidRPr="00694047" w:rsidRDefault="00422403" w:rsidP="00422403">
      <w:r w:rsidRPr="00694047">
        <w:rPr>
          <w:i/>
        </w:rPr>
        <w:t>d)</w:t>
      </w:r>
      <w:r w:rsidRPr="00694047">
        <w:tab/>
      </w:r>
      <w:r w:rsidR="00541881" w:rsidRPr="00694047">
        <w:t>что исследования новых топологий сет</w:t>
      </w:r>
      <w:r w:rsidR="004C769B" w:rsidRPr="00694047">
        <w:t>ей</w:t>
      </w:r>
      <w:r w:rsidR="00541881" w:rsidRPr="00694047">
        <w:t xml:space="preserve"> IMT могут обеспечить </w:t>
      </w:r>
      <w:r w:rsidR="00ED6079" w:rsidRPr="00694047">
        <w:t>более</w:t>
      </w:r>
      <w:r w:rsidR="00541881" w:rsidRPr="00694047">
        <w:t xml:space="preserve"> эффективно</w:t>
      </w:r>
      <w:r w:rsidR="00ED6079" w:rsidRPr="00694047">
        <w:t>е</w:t>
      </w:r>
      <w:r w:rsidR="00541881" w:rsidRPr="00694047">
        <w:t xml:space="preserve"> использовани</w:t>
      </w:r>
      <w:r w:rsidR="00ED6079" w:rsidRPr="00694047">
        <w:t>е</w:t>
      </w:r>
      <w:r w:rsidR="00541881" w:rsidRPr="00694047">
        <w:t xml:space="preserve"> спектра </w:t>
      </w:r>
      <w:r w:rsidR="00ED6079" w:rsidRPr="00694047">
        <w:t>в</w:t>
      </w:r>
      <w:r w:rsidR="00541881" w:rsidRPr="00694047">
        <w:t xml:space="preserve"> полос</w:t>
      </w:r>
      <w:r w:rsidR="00ED6079" w:rsidRPr="00694047">
        <w:t>ах</w:t>
      </w:r>
      <w:r w:rsidR="00541881" w:rsidRPr="00694047">
        <w:t>, уже определенных для IMT</w:t>
      </w:r>
      <w:r w:rsidRPr="00694047">
        <w:t>;</w:t>
      </w:r>
    </w:p>
    <w:p w14:paraId="1C4FA963" w14:textId="57898485" w:rsidR="00422403" w:rsidRPr="00694047" w:rsidRDefault="00422403" w:rsidP="00422403">
      <w:r w:rsidRPr="00694047">
        <w:rPr>
          <w:i/>
        </w:rPr>
        <w:t>e)</w:t>
      </w:r>
      <w:r w:rsidRPr="00694047">
        <w:rPr>
          <w:i/>
        </w:rPr>
        <w:tab/>
      </w:r>
      <w:r w:rsidR="00541881" w:rsidRPr="00694047">
        <w:rPr>
          <w:iCs/>
        </w:rPr>
        <w:t>что базовые станции IMT на высот</w:t>
      </w:r>
      <w:r w:rsidR="007F35F8" w:rsidRPr="00694047">
        <w:rPr>
          <w:iCs/>
        </w:rPr>
        <w:t>ной платформе</w:t>
      </w:r>
      <w:r w:rsidR="00541881" w:rsidRPr="00694047">
        <w:rPr>
          <w:iCs/>
        </w:rPr>
        <w:t xml:space="preserve"> могут использоваться для расширения </w:t>
      </w:r>
      <w:r w:rsidR="00002FA6" w:rsidRPr="00694047">
        <w:rPr>
          <w:iCs/>
        </w:rPr>
        <w:t xml:space="preserve">возможности установления </w:t>
      </w:r>
      <w:r w:rsidR="00CF58AE" w:rsidRPr="00694047">
        <w:rPr>
          <w:iCs/>
        </w:rPr>
        <w:t>подвижных</w:t>
      </w:r>
      <w:r w:rsidR="00002FA6" w:rsidRPr="00694047">
        <w:rPr>
          <w:iCs/>
        </w:rPr>
        <w:t xml:space="preserve"> соединений</w:t>
      </w:r>
      <w:r w:rsidR="00010CCE" w:rsidRPr="00694047">
        <w:rPr>
          <w:iCs/>
        </w:rPr>
        <w:t xml:space="preserve"> </w:t>
      </w:r>
      <w:r w:rsidR="00416D73" w:rsidRPr="00694047">
        <w:rPr>
          <w:iCs/>
        </w:rPr>
        <w:t>благодаря сво</w:t>
      </w:r>
      <w:r w:rsidR="0084041E" w:rsidRPr="00694047">
        <w:rPr>
          <w:iCs/>
        </w:rPr>
        <w:t>ей способности</w:t>
      </w:r>
      <w:r w:rsidR="00541881" w:rsidRPr="00694047">
        <w:rPr>
          <w:iCs/>
        </w:rPr>
        <w:t xml:space="preserve"> </w:t>
      </w:r>
      <w:r w:rsidR="00911424" w:rsidRPr="00694047">
        <w:rPr>
          <w:iCs/>
        </w:rPr>
        <w:t xml:space="preserve">обслуживать большую зону </w:t>
      </w:r>
      <w:r w:rsidR="00541881" w:rsidRPr="00694047">
        <w:rPr>
          <w:iCs/>
        </w:rPr>
        <w:t xml:space="preserve">с </w:t>
      </w:r>
      <w:r w:rsidR="00911424" w:rsidRPr="00694047">
        <w:rPr>
          <w:iCs/>
        </w:rPr>
        <w:t>малой</w:t>
      </w:r>
      <w:r w:rsidR="00541881" w:rsidRPr="00694047">
        <w:rPr>
          <w:iCs/>
        </w:rPr>
        <w:t xml:space="preserve"> задержкой</w:t>
      </w:r>
      <w:r w:rsidRPr="00694047">
        <w:t>;</w:t>
      </w:r>
    </w:p>
    <w:p w14:paraId="3721F722" w14:textId="4509CFCC" w:rsidR="00422403" w:rsidRPr="00694047" w:rsidRDefault="00422403" w:rsidP="00422403">
      <w:r w:rsidRPr="00694047">
        <w:rPr>
          <w:i/>
        </w:rPr>
        <w:t>f)</w:t>
      </w:r>
      <w:r w:rsidRPr="00694047">
        <w:rPr>
          <w:i/>
        </w:rPr>
        <w:tab/>
      </w:r>
      <w:r w:rsidR="00551E38" w:rsidRPr="00694047">
        <w:rPr>
          <w:iCs/>
        </w:rPr>
        <w:t xml:space="preserve">что </w:t>
      </w:r>
      <w:r w:rsidR="00E3329F" w:rsidRPr="00694047">
        <w:rPr>
          <w:iCs/>
        </w:rPr>
        <w:t>недавние</w:t>
      </w:r>
      <w:r w:rsidR="00551E38" w:rsidRPr="00694047">
        <w:rPr>
          <w:iCs/>
        </w:rPr>
        <w:t xml:space="preserve"> достижения в </w:t>
      </w:r>
      <w:r w:rsidR="00217B7C" w:rsidRPr="00694047">
        <w:rPr>
          <w:iCs/>
        </w:rPr>
        <w:t xml:space="preserve">области </w:t>
      </w:r>
      <w:r w:rsidR="00551E38" w:rsidRPr="00694047">
        <w:rPr>
          <w:iCs/>
        </w:rPr>
        <w:t>технологи</w:t>
      </w:r>
      <w:r w:rsidR="00217B7C" w:rsidRPr="00694047">
        <w:rPr>
          <w:iCs/>
        </w:rPr>
        <w:t>й</w:t>
      </w:r>
      <w:r w:rsidR="0084041E" w:rsidRPr="00694047">
        <w:rPr>
          <w:iCs/>
        </w:rPr>
        <w:t xml:space="preserve"> производства</w:t>
      </w:r>
      <w:r w:rsidR="00551E38" w:rsidRPr="00694047">
        <w:rPr>
          <w:iCs/>
        </w:rPr>
        <w:t xml:space="preserve"> </w:t>
      </w:r>
      <w:r w:rsidR="0084041E" w:rsidRPr="00694047">
        <w:rPr>
          <w:iCs/>
        </w:rPr>
        <w:t xml:space="preserve">аккумуляторных </w:t>
      </w:r>
      <w:r w:rsidR="00551E38" w:rsidRPr="00694047">
        <w:rPr>
          <w:iCs/>
        </w:rPr>
        <w:t xml:space="preserve">батарей и солнечных </w:t>
      </w:r>
      <w:r w:rsidR="0084041E" w:rsidRPr="00694047">
        <w:rPr>
          <w:iCs/>
        </w:rPr>
        <w:t>панелей</w:t>
      </w:r>
      <w:r w:rsidR="00217B7C" w:rsidRPr="00694047">
        <w:rPr>
          <w:iCs/>
        </w:rPr>
        <w:t xml:space="preserve"> </w:t>
      </w:r>
      <w:r w:rsidR="0084041E" w:rsidRPr="00694047">
        <w:rPr>
          <w:iCs/>
        </w:rPr>
        <w:t xml:space="preserve">обеспечивают </w:t>
      </w:r>
      <w:r w:rsidR="00D30123" w:rsidRPr="00694047">
        <w:rPr>
          <w:iCs/>
        </w:rPr>
        <w:t xml:space="preserve">дополнительно </w:t>
      </w:r>
      <w:r w:rsidR="0084041E" w:rsidRPr="00694047">
        <w:rPr>
          <w:iCs/>
        </w:rPr>
        <w:t>поддержку</w:t>
      </w:r>
      <w:r w:rsidR="00551E38" w:rsidRPr="00694047">
        <w:rPr>
          <w:iCs/>
        </w:rPr>
        <w:t xml:space="preserve"> развертывани</w:t>
      </w:r>
      <w:r w:rsidR="0084041E" w:rsidRPr="00694047">
        <w:rPr>
          <w:iCs/>
        </w:rPr>
        <w:t>я</w:t>
      </w:r>
      <w:r w:rsidR="00551E38" w:rsidRPr="00694047">
        <w:rPr>
          <w:iCs/>
        </w:rPr>
        <w:t xml:space="preserve"> базовых станций IMT</w:t>
      </w:r>
      <w:r w:rsidR="00551E38" w:rsidRPr="00694047">
        <w:rPr>
          <w:i/>
        </w:rPr>
        <w:t xml:space="preserve"> </w:t>
      </w:r>
      <w:r w:rsidR="00C03045" w:rsidRPr="00694047">
        <w:rPr>
          <w:iCs/>
        </w:rPr>
        <w:t>на высотной платформе</w:t>
      </w:r>
      <w:r w:rsidRPr="00694047">
        <w:t>;</w:t>
      </w:r>
    </w:p>
    <w:p w14:paraId="2D12A7B9" w14:textId="116122BB" w:rsidR="00422403" w:rsidRPr="00694047" w:rsidRDefault="00422403" w:rsidP="00422403">
      <w:r w:rsidRPr="00694047">
        <w:rPr>
          <w:i/>
        </w:rPr>
        <w:t>g)</w:t>
      </w:r>
      <w:r w:rsidRPr="00694047">
        <w:rPr>
          <w:i/>
        </w:rPr>
        <w:tab/>
      </w:r>
      <w:r w:rsidR="001168A2" w:rsidRPr="00694047">
        <w:rPr>
          <w:iCs/>
        </w:rPr>
        <w:t xml:space="preserve">что базовые станции IMT </w:t>
      </w:r>
      <w:r w:rsidR="00D67D16" w:rsidRPr="00694047">
        <w:rPr>
          <w:iCs/>
        </w:rPr>
        <w:t xml:space="preserve">на высотной платформе </w:t>
      </w:r>
      <w:r w:rsidR="001168A2" w:rsidRPr="00694047">
        <w:rPr>
          <w:iCs/>
        </w:rPr>
        <w:t xml:space="preserve">будут использоваться </w:t>
      </w:r>
      <w:r w:rsidR="00490EB1" w:rsidRPr="00694047">
        <w:rPr>
          <w:iCs/>
        </w:rPr>
        <w:t>для</w:t>
      </w:r>
      <w:r w:rsidR="001168A2" w:rsidRPr="00694047">
        <w:rPr>
          <w:iCs/>
        </w:rPr>
        <w:t xml:space="preserve"> дополнения наземных сетей IMT и могут </w:t>
      </w:r>
      <w:r w:rsidR="00E82C79" w:rsidRPr="00694047">
        <w:rPr>
          <w:iCs/>
        </w:rPr>
        <w:t xml:space="preserve">работать </w:t>
      </w:r>
      <w:r w:rsidR="00362017" w:rsidRPr="00694047">
        <w:rPr>
          <w:iCs/>
        </w:rPr>
        <w:t>в</w:t>
      </w:r>
      <w:r w:rsidR="001168A2" w:rsidRPr="00694047">
        <w:rPr>
          <w:iCs/>
        </w:rPr>
        <w:t xml:space="preserve"> те</w:t>
      </w:r>
      <w:r w:rsidR="00E82C79" w:rsidRPr="00694047">
        <w:rPr>
          <w:iCs/>
        </w:rPr>
        <w:t>х</w:t>
      </w:r>
      <w:r w:rsidR="001168A2" w:rsidRPr="00694047">
        <w:rPr>
          <w:iCs/>
        </w:rPr>
        <w:t xml:space="preserve"> же полос</w:t>
      </w:r>
      <w:r w:rsidR="00E82C79" w:rsidRPr="00694047">
        <w:rPr>
          <w:iCs/>
        </w:rPr>
        <w:t>ах</w:t>
      </w:r>
      <w:r w:rsidR="001168A2" w:rsidRPr="00694047">
        <w:rPr>
          <w:iCs/>
        </w:rPr>
        <w:t xml:space="preserve"> частот, что и базовые станции IMT</w:t>
      </w:r>
      <w:r w:rsidR="00BA0F8B" w:rsidRPr="00694047">
        <w:rPr>
          <w:iCs/>
        </w:rPr>
        <w:t xml:space="preserve"> наземного </w:t>
      </w:r>
      <w:r w:rsidR="00334811" w:rsidRPr="00694047">
        <w:rPr>
          <w:iCs/>
        </w:rPr>
        <w:lastRenderedPageBreak/>
        <w:t>баз</w:t>
      </w:r>
      <w:r w:rsidR="00BA0F8B" w:rsidRPr="00694047">
        <w:rPr>
          <w:iCs/>
        </w:rPr>
        <w:t>ирования</w:t>
      </w:r>
      <w:r w:rsidR="001168A2" w:rsidRPr="00694047">
        <w:rPr>
          <w:iCs/>
        </w:rPr>
        <w:t xml:space="preserve">, чтобы обеспечить </w:t>
      </w:r>
      <w:r w:rsidR="00B156C7" w:rsidRPr="00694047">
        <w:rPr>
          <w:iCs/>
        </w:rPr>
        <w:t xml:space="preserve">возможность установления </w:t>
      </w:r>
      <w:r w:rsidR="00CF58AE" w:rsidRPr="00694047">
        <w:rPr>
          <w:iCs/>
        </w:rPr>
        <w:t>подвижных</w:t>
      </w:r>
      <w:r w:rsidR="00B156C7" w:rsidRPr="00694047">
        <w:rPr>
          <w:iCs/>
        </w:rPr>
        <w:t xml:space="preserve"> соединений </w:t>
      </w:r>
      <w:r w:rsidR="001168A2" w:rsidRPr="00694047">
        <w:rPr>
          <w:iCs/>
        </w:rPr>
        <w:t xml:space="preserve">для недостаточно обслуживаемых сообществ, а также </w:t>
      </w:r>
      <w:r w:rsidR="000904E7" w:rsidRPr="00694047">
        <w:rPr>
          <w:iCs/>
        </w:rPr>
        <w:t xml:space="preserve">в </w:t>
      </w:r>
      <w:r w:rsidR="001168A2" w:rsidRPr="00694047">
        <w:rPr>
          <w:iCs/>
        </w:rPr>
        <w:t>сельских и отдаленных район</w:t>
      </w:r>
      <w:r w:rsidR="003D6B2F" w:rsidRPr="00694047">
        <w:rPr>
          <w:iCs/>
        </w:rPr>
        <w:t>ов</w:t>
      </w:r>
      <w:r w:rsidRPr="00694047">
        <w:t>;</w:t>
      </w:r>
    </w:p>
    <w:p w14:paraId="3FB92BEA" w14:textId="50FC622C" w:rsidR="00422403" w:rsidRPr="00694047" w:rsidRDefault="00422403" w:rsidP="00422403">
      <w:r w:rsidRPr="00694047">
        <w:rPr>
          <w:i/>
        </w:rPr>
        <w:t>h)</w:t>
      </w:r>
      <w:r w:rsidRPr="00694047">
        <w:tab/>
      </w:r>
      <w:r w:rsidR="00CF1305" w:rsidRPr="00694047">
        <w:t xml:space="preserve">что </w:t>
      </w:r>
      <w:r w:rsidR="009A53C3" w:rsidRPr="00694047">
        <w:t xml:space="preserve">оборудование пользователя, </w:t>
      </w:r>
      <w:r w:rsidR="00362017" w:rsidRPr="00694047">
        <w:t xml:space="preserve">которое будет </w:t>
      </w:r>
      <w:r w:rsidR="009A53C3" w:rsidRPr="00694047">
        <w:t>обслужива</w:t>
      </w:r>
      <w:r w:rsidR="00362017" w:rsidRPr="00694047">
        <w:t>ться</w:t>
      </w:r>
      <w:r w:rsidR="009A53C3" w:rsidRPr="00694047">
        <w:t xml:space="preserve"> базовыми станциями IMT на высотной платформе или базовыми станциями IMT наземного базирования</w:t>
      </w:r>
      <w:r w:rsidR="00CF1305" w:rsidRPr="00694047">
        <w:t xml:space="preserve">, </w:t>
      </w:r>
      <w:r w:rsidR="00180E2C" w:rsidRPr="00694047">
        <w:t xml:space="preserve">является </w:t>
      </w:r>
      <w:r w:rsidR="009A53C3" w:rsidRPr="00694047">
        <w:t>од</w:t>
      </w:r>
      <w:r w:rsidR="00362017" w:rsidRPr="00694047">
        <w:t>инаковым</w:t>
      </w:r>
      <w:r w:rsidR="009A53C3" w:rsidRPr="00694047">
        <w:t xml:space="preserve"> </w:t>
      </w:r>
      <w:r w:rsidR="00CF1305" w:rsidRPr="00694047">
        <w:t xml:space="preserve">и в настоящее время поддерживает </w:t>
      </w:r>
      <w:r w:rsidR="00362017" w:rsidRPr="00694047">
        <w:t>большое число различных</w:t>
      </w:r>
      <w:r w:rsidR="00CF1305" w:rsidRPr="00694047">
        <w:t xml:space="preserve"> полос частот, определенных для IMT</w:t>
      </w:r>
      <w:r w:rsidRPr="00694047">
        <w:t>;</w:t>
      </w:r>
    </w:p>
    <w:p w14:paraId="3DD68354" w14:textId="788DDC7C" w:rsidR="00422403" w:rsidRPr="00694047" w:rsidRDefault="00422403" w:rsidP="00422403">
      <w:r w:rsidRPr="00694047">
        <w:rPr>
          <w:i/>
        </w:rPr>
        <w:t>i)</w:t>
      </w:r>
      <w:r w:rsidRPr="00694047">
        <w:tab/>
      </w:r>
      <w:r w:rsidR="00551E38" w:rsidRPr="00694047">
        <w:t xml:space="preserve">что использование базовых станций IMT </w:t>
      </w:r>
      <w:r w:rsidR="00A5341C" w:rsidRPr="00694047">
        <w:t xml:space="preserve">на высотной платформе </w:t>
      </w:r>
      <w:r w:rsidR="00551E38" w:rsidRPr="00694047">
        <w:t xml:space="preserve">в наземном </w:t>
      </w:r>
      <w:r w:rsidR="00363A3F" w:rsidRPr="00694047">
        <w:t>сегменте</w:t>
      </w:r>
      <w:r w:rsidR="00551E38" w:rsidRPr="00694047">
        <w:t xml:space="preserve"> IMT не должно иметь какого</w:t>
      </w:r>
      <w:r w:rsidR="003072EB" w:rsidRPr="00694047">
        <w:t xml:space="preserve"> бы то ни </w:t>
      </w:r>
      <w:r w:rsidR="000904E7" w:rsidRPr="00694047">
        <w:t>было</w:t>
      </w:r>
      <w:r w:rsidR="003072EB" w:rsidRPr="00694047">
        <w:t xml:space="preserve"> </w:t>
      </w:r>
      <w:r w:rsidR="00551E38" w:rsidRPr="00694047">
        <w:t xml:space="preserve">приоритета и не должно </w:t>
      </w:r>
      <w:r w:rsidR="007B0C43" w:rsidRPr="00694047">
        <w:t>повлечь за собой</w:t>
      </w:r>
      <w:r w:rsidR="00551E38" w:rsidRPr="00694047">
        <w:t xml:space="preserve"> каки</w:t>
      </w:r>
      <w:r w:rsidR="00AB695D" w:rsidRPr="00694047">
        <w:t>е</w:t>
      </w:r>
      <w:r w:rsidR="00551E38" w:rsidRPr="00694047">
        <w:t xml:space="preserve">-либо </w:t>
      </w:r>
      <w:r w:rsidR="000904E7" w:rsidRPr="00694047">
        <w:t>чрезмерные</w:t>
      </w:r>
      <w:r w:rsidR="00551E38" w:rsidRPr="00694047">
        <w:t xml:space="preserve"> ограничения, которые прив</w:t>
      </w:r>
      <w:r w:rsidR="009E34E5" w:rsidRPr="00694047">
        <w:t>ели бы</w:t>
      </w:r>
      <w:r w:rsidR="00551E38" w:rsidRPr="00694047">
        <w:t xml:space="preserve"> к </w:t>
      </w:r>
      <w:r w:rsidR="00BF3014" w:rsidRPr="00694047">
        <w:t>регламентарн</w:t>
      </w:r>
      <w:r w:rsidR="00E62783" w:rsidRPr="00694047">
        <w:t>ым</w:t>
      </w:r>
      <w:r w:rsidR="00BF3014" w:rsidRPr="00694047">
        <w:t xml:space="preserve"> </w:t>
      </w:r>
      <w:r w:rsidR="00551E38" w:rsidRPr="00694047">
        <w:t>изменени</w:t>
      </w:r>
      <w:r w:rsidR="003B594B" w:rsidRPr="00694047">
        <w:t>ям</w:t>
      </w:r>
      <w:r w:rsidR="00ED5E3D" w:rsidRPr="00694047">
        <w:t xml:space="preserve"> в</w:t>
      </w:r>
      <w:r w:rsidR="00551E38" w:rsidRPr="00694047">
        <w:t xml:space="preserve"> </w:t>
      </w:r>
      <w:r w:rsidR="003072EB" w:rsidRPr="00694047">
        <w:t>действующих</w:t>
      </w:r>
      <w:r w:rsidR="00551E38" w:rsidRPr="00694047">
        <w:t xml:space="preserve"> </w:t>
      </w:r>
      <w:r w:rsidR="003708F0" w:rsidRPr="00694047">
        <w:t>определени</w:t>
      </w:r>
      <w:r w:rsidR="00ED5E3D" w:rsidRPr="00694047">
        <w:t>я</w:t>
      </w:r>
      <w:r w:rsidR="00BF3014" w:rsidRPr="00694047">
        <w:t>х</w:t>
      </w:r>
      <w:r w:rsidR="003708F0" w:rsidRPr="00694047">
        <w:t xml:space="preserve"> для </w:t>
      </w:r>
      <w:r w:rsidR="00551E38" w:rsidRPr="00694047">
        <w:t>IMT в Регламенте радиосвязи</w:t>
      </w:r>
      <w:r w:rsidRPr="00694047">
        <w:t>;</w:t>
      </w:r>
    </w:p>
    <w:p w14:paraId="697906C1" w14:textId="532F946E" w:rsidR="00422403" w:rsidRPr="00694047" w:rsidRDefault="00422403" w:rsidP="00422403">
      <w:r w:rsidRPr="00694047">
        <w:rPr>
          <w:i/>
        </w:rPr>
        <w:t>j</w:t>
      </w:r>
      <w:r w:rsidRPr="00694047">
        <w:t>)</w:t>
      </w:r>
      <w:r w:rsidRPr="00694047">
        <w:tab/>
      </w:r>
      <w:r w:rsidR="00551E38" w:rsidRPr="00694047">
        <w:t>что необходимо провести исследования</w:t>
      </w:r>
      <w:r w:rsidR="000904E7" w:rsidRPr="00694047">
        <w:t xml:space="preserve"> для доказательного подтверждения возможности</w:t>
      </w:r>
      <w:r w:rsidR="00551E38" w:rsidRPr="00694047">
        <w:t xml:space="preserve"> совместно</w:t>
      </w:r>
      <w:r w:rsidR="000904E7" w:rsidRPr="00694047">
        <w:t>го</w:t>
      </w:r>
      <w:r w:rsidR="00551E38" w:rsidRPr="00694047">
        <w:t xml:space="preserve"> использовани</w:t>
      </w:r>
      <w:r w:rsidR="000904E7" w:rsidRPr="00694047">
        <w:t>я частот</w:t>
      </w:r>
      <w:r w:rsidR="00551E38" w:rsidRPr="00694047">
        <w:t xml:space="preserve"> с существующими службами в </w:t>
      </w:r>
      <w:r w:rsidR="00637346" w:rsidRPr="00694047">
        <w:t xml:space="preserve">данной </w:t>
      </w:r>
      <w:r w:rsidR="00551E38" w:rsidRPr="00694047">
        <w:t xml:space="preserve">полосе, включая другие </w:t>
      </w:r>
      <w:r w:rsidR="000904E7" w:rsidRPr="00694047">
        <w:t xml:space="preserve">виды </w:t>
      </w:r>
      <w:r w:rsidR="00551E38" w:rsidRPr="00694047">
        <w:t xml:space="preserve">использования IMT, </w:t>
      </w:r>
      <w:r w:rsidR="00637346" w:rsidRPr="00694047">
        <w:t xml:space="preserve">а также </w:t>
      </w:r>
      <w:r w:rsidR="000904E7" w:rsidRPr="00694047">
        <w:t xml:space="preserve">защиты </w:t>
      </w:r>
      <w:r w:rsidR="00551E38" w:rsidRPr="00694047">
        <w:t>эти</w:t>
      </w:r>
      <w:r w:rsidR="000904E7" w:rsidRPr="00694047">
        <w:t>х</w:t>
      </w:r>
      <w:r w:rsidR="00551E38" w:rsidRPr="00694047">
        <w:t xml:space="preserve"> существующи</w:t>
      </w:r>
      <w:r w:rsidR="000904E7" w:rsidRPr="00694047">
        <w:t>х</w:t>
      </w:r>
      <w:r w:rsidR="00551E38" w:rsidRPr="00694047">
        <w:t xml:space="preserve"> служб без</w:t>
      </w:r>
      <w:r w:rsidR="000904E7" w:rsidRPr="00694047">
        <w:t xml:space="preserve"> введения</w:t>
      </w:r>
      <w:r w:rsidR="00551E38" w:rsidRPr="00694047">
        <w:t xml:space="preserve"> каких-либо новых регламентарных ограничений в отношении </w:t>
      </w:r>
      <w:r w:rsidR="00B81737" w:rsidRPr="00694047">
        <w:t xml:space="preserve">имеющихся </w:t>
      </w:r>
      <w:r w:rsidR="000904E7" w:rsidRPr="00694047">
        <w:t>видов</w:t>
      </w:r>
      <w:r w:rsidR="00B81737" w:rsidRPr="00694047">
        <w:t xml:space="preserve"> </w:t>
      </w:r>
      <w:r w:rsidR="00551E38" w:rsidRPr="00694047">
        <w:t>использования</w:t>
      </w:r>
      <w:r w:rsidRPr="00694047">
        <w:t>,</w:t>
      </w:r>
    </w:p>
    <w:p w14:paraId="630500C3" w14:textId="635E1527" w:rsidR="00422403" w:rsidRPr="00694047" w:rsidRDefault="000F07A9" w:rsidP="00422403">
      <w:pPr>
        <w:pStyle w:val="Call"/>
      </w:pPr>
      <w:r w:rsidRPr="00694047">
        <w:t>отмечая</w:t>
      </w:r>
      <w:r w:rsidRPr="00694047">
        <w:rPr>
          <w:i w:val="0"/>
          <w:iCs/>
        </w:rPr>
        <w:t>,</w:t>
      </w:r>
    </w:p>
    <w:p w14:paraId="51FB3332" w14:textId="5297E771" w:rsidR="00422403" w:rsidRPr="00694047" w:rsidRDefault="000F07A9" w:rsidP="00422403">
      <w:r w:rsidRPr="00694047">
        <w:t xml:space="preserve">что в Рекомендациях МСЭ-R </w:t>
      </w:r>
      <w:proofErr w:type="spellStart"/>
      <w:r w:rsidRPr="00694047">
        <w:t>M.1456</w:t>
      </w:r>
      <w:proofErr w:type="spellEnd"/>
      <w:r w:rsidRPr="00694047">
        <w:t xml:space="preserve"> и </w:t>
      </w:r>
      <w:proofErr w:type="spellStart"/>
      <w:r w:rsidRPr="00694047">
        <w:t>M.1641</w:t>
      </w:r>
      <w:proofErr w:type="spellEnd"/>
      <w:r w:rsidRPr="00694047">
        <w:t xml:space="preserve"> представлены технические характеристики и условия</w:t>
      </w:r>
      <w:r w:rsidR="00115E7C" w:rsidRPr="00694047">
        <w:t xml:space="preserve"> эксплуатации</w:t>
      </w:r>
      <w:r w:rsidRPr="00694047">
        <w:t>, а также мет</w:t>
      </w:r>
      <w:r w:rsidR="00637346" w:rsidRPr="00694047">
        <w:t>одика</w:t>
      </w:r>
      <w:r w:rsidR="00B06264" w:rsidRPr="00694047">
        <w:t xml:space="preserve"> </w:t>
      </w:r>
      <w:r w:rsidR="00637346" w:rsidRPr="00694047">
        <w:t xml:space="preserve">проведения </w:t>
      </w:r>
      <w:r w:rsidRPr="00694047">
        <w:t>исследовани</w:t>
      </w:r>
      <w:r w:rsidR="00637346" w:rsidRPr="00694047">
        <w:t>й, касающихся</w:t>
      </w:r>
      <w:r w:rsidRPr="00694047">
        <w:t xml:space="preserve"> базовы</w:t>
      </w:r>
      <w:r w:rsidR="006B623F" w:rsidRPr="00694047">
        <w:t>х</w:t>
      </w:r>
      <w:r w:rsidRPr="00694047">
        <w:t xml:space="preserve"> станци</w:t>
      </w:r>
      <w:r w:rsidR="006B623F" w:rsidRPr="00694047">
        <w:t>й</w:t>
      </w:r>
      <w:r w:rsidRPr="00694047">
        <w:t xml:space="preserve"> IMT </w:t>
      </w:r>
      <w:r w:rsidR="006B623F" w:rsidRPr="00694047">
        <w:t xml:space="preserve">на высотной платформе </w:t>
      </w:r>
      <w:r w:rsidRPr="00694047">
        <w:t>и систем</w:t>
      </w:r>
      <w:r w:rsidR="00C55231" w:rsidRPr="00694047">
        <w:t>ы</w:t>
      </w:r>
      <w:r w:rsidRPr="00694047">
        <w:t xml:space="preserve"> IMT </w:t>
      </w:r>
      <w:r w:rsidR="00D11B7B" w:rsidRPr="00694047">
        <w:t xml:space="preserve">наземного базирования </w:t>
      </w:r>
      <w:r w:rsidRPr="00694047">
        <w:t xml:space="preserve">в </w:t>
      </w:r>
      <w:r w:rsidR="00F653F2" w:rsidRPr="00694047">
        <w:t>некоторых</w:t>
      </w:r>
      <w:r w:rsidRPr="00694047">
        <w:t xml:space="preserve"> полосах около 1,9/2,1 ГГц</w:t>
      </w:r>
      <w:r w:rsidR="00422403" w:rsidRPr="00694047">
        <w:t>,</w:t>
      </w:r>
    </w:p>
    <w:p w14:paraId="2CE7F6C2" w14:textId="2B5E672A" w:rsidR="00422403" w:rsidRPr="00694047" w:rsidRDefault="000F07A9" w:rsidP="00422403">
      <w:pPr>
        <w:pStyle w:val="Call"/>
      </w:pPr>
      <w:r w:rsidRPr="00694047">
        <w:t>признавая</w:t>
      </w:r>
      <w:r w:rsidRPr="00694047">
        <w:rPr>
          <w:i w:val="0"/>
          <w:iCs/>
        </w:rPr>
        <w:t>,</w:t>
      </w:r>
    </w:p>
    <w:p w14:paraId="59F2320A" w14:textId="2544EF13" w:rsidR="00422403" w:rsidRPr="00694047" w:rsidRDefault="00422403" w:rsidP="00422403">
      <w:pPr>
        <w:rPr>
          <w:rFonts w:ascii="Calibri" w:hAnsi="Calibri" w:cs="Calibri"/>
          <w:b/>
          <w:color w:val="800000"/>
        </w:rPr>
      </w:pPr>
      <w:r w:rsidRPr="00694047">
        <w:rPr>
          <w:i/>
          <w:iCs/>
        </w:rPr>
        <w:t>a)</w:t>
      </w:r>
      <w:r w:rsidRPr="00694047">
        <w:tab/>
      </w:r>
      <w:r w:rsidR="00C55231" w:rsidRPr="00694047">
        <w:t xml:space="preserve">что в п. </w:t>
      </w:r>
      <w:proofErr w:type="spellStart"/>
      <w:r w:rsidR="00C55231" w:rsidRPr="00694047">
        <w:rPr>
          <w:b/>
          <w:bCs/>
        </w:rPr>
        <w:t>1.66A</w:t>
      </w:r>
      <w:proofErr w:type="spellEnd"/>
      <w:r w:rsidR="00C55231" w:rsidRPr="00694047">
        <w:t xml:space="preserve"> станция на высотной платформе определена как станция, расположенная на объекте на высоте 20–50 км в определенной номинальной фиксированной точке относительно Земли</w:t>
      </w:r>
      <w:r w:rsidR="00BA2FE5" w:rsidRPr="00694047">
        <w:rPr>
          <w:color w:val="000000"/>
        </w:rPr>
        <w:t>;</w:t>
      </w:r>
    </w:p>
    <w:p w14:paraId="3B768100" w14:textId="759DA0B3" w:rsidR="00422403" w:rsidRPr="00694047" w:rsidRDefault="00422403" w:rsidP="00422403">
      <w:pPr>
        <w:rPr>
          <w:i/>
        </w:rPr>
      </w:pPr>
      <w:r w:rsidRPr="00694047">
        <w:rPr>
          <w:i/>
          <w:iCs/>
        </w:rPr>
        <w:t>b)</w:t>
      </w:r>
      <w:r w:rsidRPr="00694047">
        <w:tab/>
      </w:r>
      <w:r w:rsidR="00BF4C19" w:rsidRPr="00694047">
        <w:t>что полосы 1885–1980 МГц, 2</w:t>
      </w:r>
      <w:r w:rsidR="00FC2A06" w:rsidRPr="00694047">
        <w:t>010</w:t>
      </w:r>
      <w:r w:rsidR="00BF4C19" w:rsidRPr="00694047">
        <w:t xml:space="preserve">–2025 МГц и 2110–2170 МГц в Районах 1 и 3 и полосы 1885–1980 МГц и 2110–2160 МГц в Районе 2 включены в п. </w:t>
      </w:r>
      <w:proofErr w:type="spellStart"/>
      <w:r w:rsidR="00BF4C19" w:rsidRPr="00694047">
        <w:rPr>
          <w:b/>
          <w:bCs/>
        </w:rPr>
        <w:t>5.388A</w:t>
      </w:r>
      <w:proofErr w:type="spellEnd"/>
      <w:r w:rsidR="00BF4C19" w:rsidRPr="00694047">
        <w:t xml:space="preserve"> для использования базов</w:t>
      </w:r>
      <w:r w:rsidR="00FC2A06" w:rsidRPr="00694047">
        <w:t>ыми</w:t>
      </w:r>
      <w:r w:rsidR="00BF4C19" w:rsidRPr="00694047">
        <w:t xml:space="preserve"> станци</w:t>
      </w:r>
      <w:r w:rsidR="00FC2A06" w:rsidRPr="00694047">
        <w:t>ями</w:t>
      </w:r>
      <w:r w:rsidR="00BF4C19" w:rsidRPr="00694047">
        <w:t xml:space="preserve"> IMT </w:t>
      </w:r>
      <w:r w:rsidR="00FC2A06" w:rsidRPr="00694047">
        <w:t xml:space="preserve">на высотной платформе </w:t>
      </w:r>
      <w:r w:rsidR="00BF4C19" w:rsidRPr="00694047">
        <w:t xml:space="preserve">в соответствии с положениями Резолюции </w:t>
      </w:r>
      <w:r w:rsidR="00BF4C19" w:rsidRPr="00694047">
        <w:rPr>
          <w:b/>
          <w:bCs/>
        </w:rPr>
        <w:t>221 (Пересм. ВКР-07)</w:t>
      </w:r>
      <w:r w:rsidRPr="00694047">
        <w:t xml:space="preserve">; </w:t>
      </w:r>
    </w:p>
    <w:p w14:paraId="4C3FAEE5" w14:textId="0A8179BA" w:rsidR="00422403" w:rsidRPr="00694047" w:rsidRDefault="00422403" w:rsidP="00422403">
      <w:r w:rsidRPr="00694047">
        <w:rPr>
          <w:i/>
        </w:rPr>
        <w:t>c)</w:t>
      </w:r>
      <w:r w:rsidRPr="00694047">
        <w:rPr>
          <w:i/>
        </w:rPr>
        <w:tab/>
      </w:r>
      <w:r w:rsidR="00BF4C19" w:rsidRPr="00694047">
        <w:t>что различные полосы частот ниже 2,7 ГГц согласованы на глобальном или региональном уровн</w:t>
      </w:r>
      <w:r w:rsidR="00CA3D57" w:rsidRPr="00694047">
        <w:t>е</w:t>
      </w:r>
      <w:r w:rsidR="00BF4C19" w:rsidRPr="00694047">
        <w:t xml:space="preserve"> для IMT в соответствии с </w:t>
      </w:r>
      <w:proofErr w:type="spellStart"/>
      <w:r w:rsidR="00BF4C19" w:rsidRPr="00694047">
        <w:t>пп</w:t>
      </w:r>
      <w:proofErr w:type="spellEnd"/>
      <w:r w:rsidR="00BF4C19" w:rsidRPr="00694047">
        <w:t xml:space="preserve">. </w:t>
      </w:r>
      <w:proofErr w:type="spellStart"/>
      <w:r w:rsidR="00337404" w:rsidRPr="00694047">
        <w:rPr>
          <w:b/>
        </w:rPr>
        <w:t>5.286AA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5.317A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5.341A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5.341B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5.341C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5.346A</w:t>
      </w:r>
      <w:proofErr w:type="spellEnd"/>
      <w:r w:rsidR="00337404" w:rsidRPr="00694047">
        <w:t xml:space="preserve">, </w:t>
      </w:r>
      <w:proofErr w:type="spellStart"/>
      <w:r w:rsidR="00337404" w:rsidRPr="00694047">
        <w:rPr>
          <w:b/>
        </w:rPr>
        <w:t>5.384A</w:t>
      </w:r>
      <w:proofErr w:type="spellEnd"/>
      <w:r w:rsidR="00337404" w:rsidRPr="00694047">
        <w:t xml:space="preserve"> и </w:t>
      </w:r>
      <w:r w:rsidR="00337404" w:rsidRPr="00694047">
        <w:rPr>
          <w:b/>
        </w:rPr>
        <w:t>5.388</w:t>
      </w:r>
      <w:r w:rsidRPr="00694047">
        <w:rPr>
          <w:bCs/>
        </w:rPr>
        <w:t>;</w:t>
      </w:r>
      <w:r w:rsidRPr="00694047">
        <w:t xml:space="preserve"> </w:t>
      </w:r>
    </w:p>
    <w:p w14:paraId="4225757C" w14:textId="6EF810DD" w:rsidR="00422403" w:rsidRPr="00694047" w:rsidRDefault="00422403" w:rsidP="00422403">
      <w:r w:rsidRPr="00694047">
        <w:rPr>
          <w:i/>
          <w:iCs/>
        </w:rPr>
        <w:t>d)</w:t>
      </w:r>
      <w:r w:rsidRPr="00694047">
        <w:rPr>
          <w:i/>
          <w:iCs/>
        </w:rPr>
        <w:tab/>
      </w:r>
      <w:r w:rsidR="00BF4C19" w:rsidRPr="00694047">
        <w:t xml:space="preserve">что любые </w:t>
      </w:r>
      <w:r w:rsidR="00AA644B" w:rsidRPr="00694047">
        <w:t>возможные</w:t>
      </w:r>
      <w:r w:rsidR="00BF4C19" w:rsidRPr="00694047">
        <w:t xml:space="preserve"> новые </w:t>
      </w:r>
      <w:r w:rsidR="00CA6B4E" w:rsidRPr="00694047">
        <w:t xml:space="preserve">соображения по </w:t>
      </w:r>
      <w:r w:rsidR="00BF4C19" w:rsidRPr="00694047">
        <w:t>регламентарн</w:t>
      </w:r>
      <w:r w:rsidR="004165AF" w:rsidRPr="00694047">
        <w:t>о-</w:t>
      </w:r>
      <w:r w:rsidR="00BF4C19" w:rsidRPr="00694047">
        <w:t>процедурны</w:t>
      </w:r>
      <w:r w:rsidR="00CA6B4E" w:rsidRPr="00694047">
        <w:t>м вопросам</w:t>
      </w:r>
      <w:r w:rsidR="00BF4C19" w:rsidRPr="00694047">
        <w:t xml:space="preserve">, </w:t>
      </w:r>
      <w:r w:rsidR="00151D16" w:rsidRPr="00694047">
        <w:t xml:space="preserve">которые могут возникнуть в связи с </w:t>
      </w:r>
      <w:r w:rsidR="00637346" w:rsidRPr="00694047">
        <w:t>вероятными</w:t>
      </w:r>
      <w:r w:rsidR="00151D16" w:rsidRPr="00694047">
        <w:t xml:space="preserve"> определениями для </w:t>
      </w:r>
      <w:r w:rsidR="00BF4C19" w:rsidRPr="00694047">
        <w:t>базовых станций IMT</w:t>
      </w:r>
      <w:r w:rsidR="00151D16" w:rsidRPr="00694047">
        <w:t xml:space="preserve"> на высотной платформе</w:t>
      </w:r>
      <w:r w:rsidR="00BF4C19" w:rsidRPr="00694047">
        <w:t xml:space="preserve">, </w:t>
      </w:r>
      <w:r w:rsidR="00FA564A" w:rsidRPr="00694047">
        <w:t xml:space="preserve">не должны применяться </w:t>
      </w:r>
      <w:r w:rsidR="004165AF" w:rsidRPr="00694047">
        <w:t xml:space="preserve">к </w:t>
      </w:r>
      <w:r w:rsidR="00637346" w:rsidRPr="00694047">
        <w:t>существующим</w:t>
      </w:r>
      <w:r w:rsidR="004165AF" w:rsidRPr="00694047">
        <w:t xml:space="preserve"> в РР определениям для IMT</w:t>
      </w:r>
      <w:r w:rsidRPr="00694047">
        <w:t>;</w:t>
      </w:r>
    </w:p>
    <w:p w14:paraId="3218FE46" w14:textId="5FA8829C" w:rsidR="00422403" w:rsidRPr="00694047" w:rsidRDefault="00422403" w:rsidP="00422403">
      <w:r w:rsidRPr="00694047">
        <w:rPr>
          <w:i/>
        </w:rPr>
        <w:t>e)</w:t>
      </w:r>
      <w:r w:rsidRPr="00694047">
        <w:tab/>
      </w:r>
      <w:r w:rsidR="00BF4C19" w:rsidRPr="00694047">
        <w:t xml:space="preserve">что исследования </w:t>
      </w:r>
      <w:r w:rsidR="00011FB5" w:rsidRPr="00694047">
        <w:t>следует</w:t>
      </w:r>
      <w:r w:rsidR="00BF4C19" w:rsidRPr="00694047">
        <w:t xml:space="preserve"> огранич</w:t>
      </w:r>
      <w:r w:rsidR="00011FB5" w:rsidRPr="00694047">
        <w:t>ить</w:t>
      </w:r>
      <w:r w:rsidR="00BF4C19" w:rsidRPr="00694047">
        <w:t xml:space="preserve"> </w:t>
      </w:r>
      <w:r w:rsidR="007A78F0" w:rsidRPr="00694047">
        <w:t xml:space="preserve">вопросом </w:t>
      </w:r>
      <w:r w:rsidR="00BF4C19" w:rsidRPr="00694047">
        <w:t>совместн</w:t>
      </w:r>
      <w:r w:rsidR="007A78F0" w:rsidRPr="00694047">
        <w:t>ого</w:t>
      </w:r>
      <w:r w:rsidR="00BF4C19" w:rsidRPr="00694047">
        <w:t xml:space="preserve"> использовани</w:t>
      </w:r>
      <w:r w:rsidR="007A78F0" w:rsidRPr="00694047">
        <w:t>я</w:t>
      </w:r>
      <w:r w:rsidR="00637346" w:rsidRPr="00694047">
        <w:t xml:space="preserve"> частот</w:t>
      </w:r>
      <w:r w:rsidR="00BF4C19" w:rsidRPr="00694047">
        <w:t xml:space="preserve"> </w:t>
      </w:r>
      <w:r w:rsidR="00637346" w:rsidRPr="00694047">
        <w:t>базовыми станциями IMT на высотной платформе и другими существующими службами и применениями, а также их</w:t>
      </w:r>
      <w:r w:rsidR="00BF4C19" w:rsidRPr="00694047">
        <w:t xml:space="preserve"> совместимост</w:t>
      </w:r>
      <w:r w:rsidR="007A78F0" w:rsidRPr="00694047">
        <w:t>и</w:t>
      </w:r>
      <w:r w:rsidRPr="00694047">
        <w:t>;</w:t>
      </w:r>
    </w:p>
    <w:p w14:paraId="03DF904F" w14:textId="5EA77808" w:rsidR="00422403" w:rsidRPr="00694047" w:rsidRDefault="00422403" w:rsidP="00422403">
      <w:r w:rsidRPr="00694047">
        <w:rPr>
          <w:i/>
          <w:iCs/>
        </w:rPr>
        <w:t>f)</w:t>
      </w:r>
      <w:r w:rsidRPr="00694047">
        <w:tab/>
      </w:r>
      <w:r w:rsidR="00BF4C19" w:rsidRPr="00694047">
        <w:t>что полосы, определенные для IMT</w:t>
      </w:r>
      <w:r w:rsidR="001859C7" w:rsidRPr="00694047">
        <w:t>,</w:t>
      </w:r>
      <w:r w:rsidR="00BF4C19" w:rsidRPr="00694047">
        <w:t xml:space="preserve"> </w:t>
      </w:r>
      <w:r w:rsidR="001859C7" w:rsidRPr="00694047">
        <w:t xml:space="preserve">ниже 2,7 ГГц </w:t>
      </w:r>
      <w:r w:rsidR="0091753F" w:rsidRPr="00694047">
        <w:t>активно</w:t>
      </w:r>
      <w:r w:rsidR="00BF4C19" w:rsidRPr="00694047">
        <w:t xml:space="preserve"> используются для </w:t>
      </w:r>
      <w:r w:rsidR="00173233" w:rsidRPr="00694047">
        <w:t>предоставления услуг подвижной широкополосной</w:t>
      </w:r>
      <w:r w:rsidR="00BF4C19" w:rsidRPr="00694047">
        <w:t xml:space="preserve"> </w:t>
      </w:r>
      <w:r w:rsidR="00634568" w:rsidRPr="00694047">
        <w:t>с помощью</w:t>
      </w:r>
      <w:r w:rsidR="00BF4C19" w:rsidRPr="00694047">
        <w:t xml:space="preserve"> систем IMT</w:t>
      </w:r>
      <w:r w:rsidR="00173233" w:rsidRPr="00694047">
        <w:t xml:space="preserve"> наземного базирования</w:t>
      </w:r>
      <w:r w:rsidRPr="00694047">
        <w:t>,</w:t>
      </w:r>
    </w:p>
    <w:p w14:paraId="32AFE81D" w14:textId="1A9A33D3" w:rsidR="00422403" w:rsidRPr="00694047" w:rsidRDefault="00BF4C19" w:rsidP="00422403">
      <w:pPr>
        <w:pStyle w:val="Call"/>
      </w:pPr>
      <w:r w:rsidRPr="00694047">
        <w:t>решает предложить МСЭ</w:t>
      </w:r>
      <w:r w:rsidR="00422403" w:rsidRPr="00694047">
        <w:t>-R</w:t>
      </w:r>
    </w:p>
    <w:p w14:paraId="216869F8" w14:textId="245379EF" w:rsidR="00422403" w:rsidRPr="00694047" w:rsidRDefault="00422403" w:rsidP="00422403">
      <w:r w:rsidRPr="00694047">
        <w:t>1</w:t>
      </w:r>
      <w:r w:rsidRPr="00694047">
        <w:tab/>
      </w:r>
      <w:r w:rsidR="00637346" w:rsidRPr="00694047">
        <w:t>провести и своевременно завершить к ВКР-23</w:t>
      </w:r>
      <w:r w:rsidR="000E4BCA" w:rsidRPr="00694047">
        <w:t>,</w:t>
      </w:r>
      <w:r w:rsidR="00637346" w:rsidRPr="00694047">
        <w:t xml:space="preserve"> </w:t>
      </w:r>
      <w:r w:rsidR="00EE77F7" w:rsidRPr="00694047">
        <w:t>с учетом результатов уже проведенных и проводимых МСЭ-R исследований</w:t>
      </w:r>
      <w:r w:rsidR="000E4BCA" w:rsidRPr="00694047">
        <w:t>,</w:t>
      </w:r>
      <w:r w:rsidR="00EE77F7" w:rsidRPr="00694047">
        <w:t xml:space="preserve"> необходимые</w:t>
      </w:r>
      <w:r w:rsidR="00B730BD" w:rsidRPr="00694047">
        <w:t xml:space="preserve"> исследовани</w:t>
      </w:r>
      <w:r w:rsidR="00A6124E" w:rsidRPr="00694047">
        <w:t>я</w:t>
      </w:r>
      <w:r w:rsidR="00B730BD" w:rsidRPr="00694047">
        <w:t xml:space="preserve"> совместного использования частот и совместимости для обеспечения защиты служб, которым </w:t>
      </w:r>
      <w:r w:rsidR="00CF58AE" w:rsidRPr="00694047">
        <w:t>данная</w:t>
      </w:r>
      <w:r w:rsidR="00B730BD" w:rsidRPr="00694047">
        <w:t xml:space="preserve"> полоса распределена на первичной основ</w:t>
      </w:r>
      <w:r w:rsidR="009F4424" w:rsidRPr="00694047">
        <w:t>е</w:t>
      </w:r>
      <w:r w:rsidR="00B730BD" w:rsidRPr="00694047">
        <w:t xml:space="preserve">, включая другие </w:t>
      </w:r>
      <w:r w:rsidR="000E4BCA" w:rsidRPr="00694047">
        <w:t>виды</w:t>
      </w:r>
      <w:r w:rsidR="00B730BD" w:rsidRPr="00694047">
        <w:t xml:space="preserve"> использования IMT, </w:t>
      </w:r>
      <w:r w:rsidR="00E773A6" w:rsidRPr="00694047">
        <w:t>а также</w:t>
      </w:r>
      <w:r w:rsidR="000E4BCA" w:rsidRPr="00694047">
        <w:t xml:space="preserve"> служб, работающих в соседних полосах</w:t>
      </w:r>
      <w:r w:rsidR="00E773A6" w:rsidRPr="00694047">
        <w:t>,</w:t>
      </w:r>
      <w:r w:rsidR="00B730BD" w:rsidRPr="00694047">
        <w:t xml:space="preserve"> </w:t>
      </w:r>
      <w:r w:rsidR="000E4BCA" w:rsidRPr="00694047">
        <w:t>в надлежащем случае</w:t>
      </w:r>
      <w:r w:rsidR="00E773A6" w:rsidRPr="00694047">
        <w:t>,</w:t>
      </w:r>
      <w:r w:rsidR="00B730BD" w:rsidRPr="00694047">
        <w:t xml:space="preserve"> </w:t>
      </w:r>
      <w:r w:rsidR="00CF58AE" w:rsidRPr="00694047">
        <w:t>для</w:t>
      </w:r>
      <w:r w:rsidR="00454D99" w:rsidRPr="00694047">
        <w:t xml:space="preserve"> </w:t>
      </w:r>
      <w:r w:rsidR="00B709B1" w:rsidRPr="00694047">
        <w:t>некоторых</w:t>
      </w:r>
      <w:r w:rsidR="0005462B" w:rsidRPr="00694047">
        <w:t xml:space="preserve"> </w:t>
      </w:r>
      <w:r w:rsidR="00454D99" w:rsidRPr="00694047">
        <w:t xml:space="preserve">полос частот </w:t>
      </w:r>
      <w:r w:rsidR="00B730BD" w:rsidRPr="00694047">
        <w:t>ниже 2,7 ГГц, согласованны</w:t>
      </w:r>
      <w:r w:rsidR="000E4BCA" w:rsidRPr="00694047">
        <w:t>х</w:t>
      </w:r>
      <w:r w:rsidR="00B730BD" w:rsidRPr="00694047">
        <w:t xml:space="preserve"> на глобальном или региональном уровне для IMT, т</w:t>
      </w:r>
      <w:r w:rsidR="0099235E" w:rsidRPr="00694047">
        <w:t xml:space="preserve">о </w:t>
      </w:r>
      <w:r w:rsidR="00B730BD" w:rsidRPr="00694047">
        <w:t>е</w:t>
      </w:r>
      <w:r w:rsidR="0099235E" w:rsidRPr="00694047">
        <w:t>сть</w:t>
      </w:r>
      <w:r w:rsidRPr="00694047">
        <w:t>:</w:t>
      </w:r>
    </w:p>
    <w:p w14:paraId="3DB602DF" w14:textId="705EDDE3" w:rsidR="00422403" w:rsidRPr="00694047" w:rsidRDefault="00694047" w:rsidP="00694047">
      <w:pPr>
        <w:pStyle w:val="enumlev1"/>
      </w:pPr>
      <w:r>
        <w:rPr>
          <w:lang w:val="en-GB"/>
        </w:rPr>
        <w:t>−</w:t>
      </w:r>
      <w:r w:rsidR="00422403" w:rsidRPr="00694047">
        <w:tab/>
      </w:r>
      <w:r w:rsidR="00B730BD" w:rsidRPr="00694047">
        <w:t>450–470 МГц, 698–960 МГц, 1427–1518 МГц, 1710–1885 МГц, 2160–2200 МГц, 2300</w:t>
      </w:r>
      <w:r>
        <w:rPr>
          <w:lang w:val="en-GB"/>
        </w:rPr>
        <w:t>−</w:t>
      </w:r>
      <w:r w:rsidR="00B730BD" w:rsidRPr="00694047">
        <w:t>2400 МГц и 2500–2690 МГц</w:t>
      </w:r>
      <w:r w:rsidR="00422403" w:rsidRPr="00694047">
        <w:t xml:space="preserve">, </w:t>
      </w:r>
    </w:p>
    <w:p w14:paraId="0A98EC32" w14:textId="17A256D0" w:rsidR="00422403" w:rsidRPr="00694047" w:rsidRDefault="00422403" w:rsidP="00422403">
      <w:r w:rsidRPr="00694047">
        <w:lastRenderedPageBreak/>
        <w:t>2</w:t>
      </w:r>
      <w:r w:rsidRPr="00694047">
        <w:tab/>
      </w:r>
      <w:r w:rsidR="00B730BD" w:rsidRPr="00694047">
        <w:t xml:space="preserve">изучить соответствующие </w:t>
      </w:r>
      <w:r w:rsidR="00076328" w:rsidRPr="00694047">
        <w:t>изменения</w:t>
      </w:r>
      <w:r w:rsidR="00B730BD" w:rsidRPr="00694047">
        <w:t xml:space="preserve"> </w:t>
      </w:r>
      <w:r w:rsidR="000C12BD" w:rsidRPr="00694047">
        <w:t>действующего</w:t>
      </w:r>
      <w:r w:rsidR="00076328" w:rsidRPr="00694047">
        <w:t xml:space="preserve"> примечания</w:t>
      </w:r>
      <w:r w:rsidR="00B730BD" w:rsidRPr="00694047">
        <w:t xml:space="preserve"> и </w:t>
      </w:r>
      <w:r w:rsidR="00E30E4C" w:rsidRPr="00694047">
        <w:t>связанной с ним</w:t>
      </w:r>
      <w:r w:rsidR="001D6F5E" w:rsidRPr="00694047">
        <w:t xml:space="preserve"> Резолюции</w:t>
      </w:r>
      <w:r w:rsidR="00C20AC8" w:rsidRPr="00694047">
        <w:t>, упомянутой в п</w:t>
      </w:r>
      <w:r w:rsidR="000C12BD" w:rsidRPr="00694047">
        <w:t>ункте</w:t>
      </w:r>
      <w:r w:rsidR="001D6F5E" w:rsidRPr="00694047">
        <w:t xml:space="preserve"> </w:t>
      </w:r>
      <w:r w:rsidR="00C20AC8" w:rsidRPr="00694047">
        <w:rPr>
          <w:i/>
          <w:iCs/>
        </w:rPr>
        <w:t>b)</w:t>
      </w:r>
      <w:r w:rsidR="00C20AC8" w:rsidRPr="00694047">
        <w:t xml:space="preserve"> раздела </w:t>
      </w:r>
      <w:r w:rsidR="00C20AC8" w:rsidRPr="00694047">
        <w:rPr>
          <w:i/>
          <w:iCs/>
        </w:rPr>
        <w:t>признавая</w:t>
      </w:r>
      <w:r w:rsidR="00B730BD" w:rsidRPr="00694047">
        <w:t xml:space="preserve">, чтобы </w:t>
      </w:r>
      <w:r w:rsidR="000C12BD" w:rsidRPr="00694047">
        <w:t>содействовать</w:t>
      </w:r>
      <w:r w:rsidR="00B730BD" w:rsidRPr="00694047">
        <w:t xml:space="preserve"> использовани</w:t>
      </w:r>
      <w:r w:rsidR="000C12BD" w:rsidRPr="00694047">
        <w:t>ю</w:t>
      </w:r>
      <w:r w:rsidR="00B730BD" w:rsidRPr="00694047">
        <w:t xml:space="preserve"> базовых станций IMT </w:t>
      </w:r>
      <w:r w:rsidR="006152B1" w:rsidRPr="00694047">
        <w:t xml:space="preserve">на высотной платформе </w:t>
      </w:r>
      <w:r w:rsidR="00B730BD" w:rsidRPr="00694047">
        <w:t>с новейшими технологиями радиоинтерфейс</w:t>
      </w:r>
      <w:r w:rsidR="00F640A0" w:rsidRPr="00694047">
        <w:t>а</w:t>
      </w:r>
      <w:r w:rsidR="00B730BD" w:rsidRPr="00694047">
        <w:t xml:space="preserve"> систем IMT</w:t>
      </w:r>
      <w:r w:rsidRPr="00694047">
        <w:t>;</w:t>
      </w:r>
    </w:p>
    <w:p w14:paraId="27AA0312" w14:textId="6F32E1B3" w:rsidR="00422403" w:rsidRPr="00694047" w:rsidRDefault="00422403" w:rsidP="00422403">
      <w:r w:rsidRPr="00694047">
        <w:t>3</w:t>
      </w:r>
      <w:r w:rsidRPr="00694047">
        <w:tab/>
      </w:r>
      <w:r w:rsidR="006D2536" w:rsidRPr="00694047">
        <w:t>разработать Рекомендации и/или Отчеты МСЭ-R</w:t>
      </w:r>
      <w:r w:rsidR="000C12BD" w:rsidRPr="00694047">
        <w:t>,</w:t>
      </w:r>
      <w:r w:rsidR="006D2536" w:rsidRPr="00694047">
        <w:t xml:space="preserve"> в зависимости от случая</w:t>
      </w:r>
      <w:r w:rsidR="000C12BD" w:rsidRPr="00694047">
        <w:t>,</w:t>
      </w:r>
      <w:r w:rsidR="006D2536" w:rsidRPr="00694047">
        <w:t xml:space="preserve"> с учетом </w:t>
      </w:r>
      <w:r w:rsidR="000C12BD" w:rsidRPr="00694047">
        <w:t>пунктов</w:t>
      </w:r>
      <w:r w:rsidR="00EF7A39" w:rsidRPr="00694047">
        <w:t xml:space="preserve"> 1 и 2 раздела </w:t>
      </w:r>
      <w:r w:rsidR="007D7525" w:rsidRPr="00694047">
        <w:rPr>
          <w:i/>
          <w:iCs/>
        </w:rPr>
        <w:t>решает предложить МСЭ-R</w:t>
      </w:r>
      <w:r w:rsidR="006D2536" w:rsidRPr="00694047">
        <w:t>,</w:t>
      </w:r>
    </w:p>
    <w:p w14:paraId="40449943" w14:textId="7D9B8516" w:rsidR="00422403" w:rsidRPr="00694047" w:rsidRDefault="006D2536" w:rsidP="00422403">
      <w:pPr>
        <w:pStyle w:val="Call"/>
      </w:pPr>
      <w:r w:rsidRPr="00694047">
        <w:t>далее решает предложить ВКР</w:t>
      </w:r>
      <w:r w:rsidR="00422403" w:rsidRPr="00694047">
        <w:t>-23</w:t>
      </w:r>
    </w:p>
    <w:p w14:paraId="22B8835F" w14:textId="2AB73323" w:rsidR="00422403" w:rsidRPr="00694047" w:rsidRDefault="006D2536" w:rsidP="00422403">
      <w:r w:rsidRPr="00694047">
        <w:t>рассмотреть</w:t>
      </w:r>
      <w:r w:rsidR="000C12BD" w:rsidRPr="00694047">
        <w:t>,</w:t>
      </w:r>
      <w:r w:rsidRPr="00694047">
        <w:t xml:space="preserve"> на основе результатов вышеупомянутых исследований</w:t>
      </w:r>
      <w:r w:rsidR="000C12BD" w:rsidRPr="00694047">
        <w:t>,</w:t>
      </w:r>
      <w:r w:rsidRPr="00694047">
        <w:t xml:space="preserve"> использование базовых станций IMT </w:t>
      </w:r>
      <w:r w:rsidR="001540A6" w:rsidRPr="00694047">
        <w:t xml:space="preserve">на высотной платформе </w:t>
      </w:r>
      <w:r w:rsidRPr="00694047">
        <w:t xml:space="preserve">в </w:t>
      </w:r>
      <w:r w:rsidR="00D51E55" w:rsidRPr="00694047">
        <w:t>некоторых</w:t>
      </w:r>
      <w:r w:rsidRPr="00694047">
        <w:t xml:space="preserve"> полосах ниже 2,7 ГГц, уже определенных для IMT на глобальном или региональном уровне</w:t>
      </w:r>
      <w:r w:rsidR="000856BD" w:rsidRPr="00694047">
        <w:t>,</w:t>
      </w:r>
      <w:r w:rsidRPr="00694047">
        <w:t xml:space="preserve"> и </w:t>
      </w:r>
      <w:r w:rsidR="008364EC" w:rsidRPr="00694047">
        <w:t>в надлежащих случаях</w:t>
      </w:r>
      <w:r w:rsidRPr="00694047">
        <w:t xml:space="preserve"> принять необходимые регламентарные меры</w:t>
      </w:r>
      <w:r w:rsidR="000856BD" w:rsidRPr="00694047">
        <w:t>,</w:t>
      </w:r>
      <w:r w:rsidRPr="00694047">
        <w:t xml:space="preserve"> </w:t>
      </w:r>
      <w:r w:rsidR="000856BD" w:rsidRPr="00694047">
        <w:t>учитывая</w:t>
      </w:r>
      <w:r w:rsidRPr="00694047">
        <w:t xml:space="preserve">, что изменения в </w:t>
      </w:r>
      <w:r w:rsidR="00722AE2" w:rsidRPr="00694047">
        <w:t>примечаниях</w:t>
      </w:r>
      <w:r w:rsidR="00B468A2" w:rsidRPr="00694047">
        <w:t>, указанных</w:t>
      </w:r>
      <w:r w:rsidRPr="00694047">
        <w:t xml:space="preserve"> </w:t>
      </w:r>
      <w:r w:rsidR="00CA0C49" w:rsidRPr="00694047">
        <w:t>в</w:t>
      </w:r>
      <w:r w:rsidR="00FA4C68" w:rsidRPr="00694047">
        <w:t xml:space="preserve"> п</w:t>
      </w:r>
      <w:r w:rsidR="000C12BD" w:rsidRPr="00694047">
        <w:t>ункте</w:t>
      </w:r>
      <w:r w:rsidR="00FA4C68" w:rsidRPr="00694047">
        <w:t xml:space="preserve"> </w:t>
      </w:r>
      <w:r w:rsidR="00FA4C68" w:rsidRPr="00694047">
        <w:rPr>
          <w:i/>
          <w:iCs/>
        </w:rPr>
        <w:t>с)</w:t>
      </w:r>
      <w:r w:rsidR="00FA4C68" w:rsidRPr="00694047">
        <w:t xml:space="preserve"> раздела </w:t>
      </w:r>
      <w:r w:rsidR="00FA4C68" w:rsidRPr="00694047">
        <w:rPr>
          <w:i/>
          <w:iCs/>
        </w:rPr>
        <w:t>признавая</w:t>
      </w:r>
      <w:r w:rsidR="00FA4C68" w:rsidRPr="00694047">
        <w:t xml:space="preserve">, </w:t>
      </w:r>
      <w:r w:rsidR="00E809B6" w:rsidRPr="00694047">
        <w:t>не</w:t>
      </w:r>
      <w:r w:rsidRPr="00694047">
        <w:t xml:space="preserve"> </w:t>
      </w:r>
      <w:r w:rsidR="000C12BD" w:rsidRPr="00694047">
        <w:t>входят в</w:t>
      </w:r>
      <w:r w:rsidR="00E809B6" w:rsidRPr="00694047">
        <w:t xml:space="preserve"> сферу применения</w:t>
      </w:r>
      <w:r w:rsidRPr="00694047">
        <w:t xml:space="preserve"> и </w:t>
      </w:r>
      <w:r w:rsidR="00606AB0" w:rsidRPr="00694047">
        <w:t xml:space="preserve">что </w:t>
      </w:r>
      <w:r w:rsidRPr="00694047">
        <w:t>никаки</w:t>
      </w:r>
      <w:r w:rsidR="00BC25ED" w:rsidRPr="00694047">
        <w:t>е</w:t>
      </w:r>
      <w:r w:rsidRPr="00694047">
        <w:t xml:space="preserve"> дополнительны</w:t>
      </w:r>
      <w:r w:rsidR="00BC25ED" w:rsidRPr="00694047">
        <w:t>е</w:t>
      </w:r>
      <w:r w:rsidRPr="00694047">
        <w:t xml:space="preserve"> регламентарны</w:t>
      </w:r>
      <w:r w:rsidR="00BC25ED" w:rsidRPr="00694047">
        <w:t>е</w:t>
      </w:r>
      <w:r w:rsidRPr="00694047">
        <w:t xml:space="preserve"> или технически</w:t>
      </w:r>
      <w:r w:rsidR="00BC25ED" w:rsidRPr="00694047">
        <w:t>е</w:t>
      </w:r>
      <w:r w:rsidRPr="00694047">
        <w:t xml:space="preserve"> ограничени</w:t>
      </w:r>
      <w:r w:rsidR="00BC25ED" w:rsidRPr="00694047">
        <w:t>я</w:t>
      </w:r>
      <w:r w:rsidR="002C11CD" w:rsidRPr="00694047">
        <w:t xml:space="preserve"> </w:t>
      </w:r>
      <w:r w:rsidR="00BC25ED" w:rsidRPr="00694047">
        <w:t xml:space="preserve">не должны налагаться </w:t>
      </w:r>
      <w:r w:rsidRPr="00694047">
        <w:t xml:space="preserve">на развертывание </w:t>
      </w:r>
      <w:r w:rsidR="00A35741" w:rsidRPr="00694047">
        <w:t xml:space="preserve">в </w:t>
      </w:r>
      <w:r w:rsidRPr="00694047">
        <w:t>полос</w:t>
      </w:r>
      <w:r w:rsidR="00A35741" w:rsidRPr="00694047">
        <w:t>ах</w:t>
      </w:r>
      <w:r w:rsidRPr="00694047">
        <w:t xml:space="preserve">, </w:t>
      </w:r>
      <w:r w:rsidR="006C7089" w:rsidRPr="00694047">
        <w:t xml:space="preserve">указанных </w:t>
      </w:r>
      <w:r w:rsidRPr="00694047">
        <w:t xml:space="preserve">в этих </w:t>
      </w:r>
      <w:r w:rsidR="006C7089" w:rsidRPr="00694047">
        <w:t>примечаниях</w:t>
      </w:r>
      <w:r w:rsidRPr="00694047">
        <w:t xml:space="preserve">, </w:t>
      </w:r>
      <w:r w:rsidR="00851C17" w:rsidRPr="00694047">
        <w:t>в отношении</w:t>
      </w:r>
      <w:r w:rsidR="00CA5B86" w:rsidRPr="00694047">
        <w:t xml:space="preserve"> </w:t>
      </w:r>
      <w:r w:rsidRPr="00694047">
        <w:t xml:space="preserve">систем IMT </w:t>
      </w:r>
      <w:r w:rsidR="00CA5B86" w:rsidRPr="00694047">
        <w:t>наземного базирования</w:t>
      </w:r>
      <w:r w:rsidR="00422403" w:rsidRPr="00694047">
        <w:t>,</w:t>
      </w:r>
    </w:p>
    <w:p w14:paraId="1D1E9DE7" w14:textId="77777777" w:rsidR="00BA2FE5" w:rsidRPr="00694047" w:rsidRDefault="00BA2FE5" w:rsidP="00BA2FE5">
      <w:pPr>
        <w:pStyle w:val="Call"/>
        <w:rPr>
          <w:sz w:val="24"/>
          <w:lang w:eastAsia="en-GB"/>
        </w:rPr>
      </w:pPr>
      <w:r w:rsidRPr="00694047">
        <w:t>предлагает администрациям</w:t>
      </w:r>
    </w:p>
    <w:p w14:paraId="3A9C6DF3" w14:textId="77777777" w:rsidR="00BA2FE5" w:rsidRPr="00694047" w:rsidRDefault="00BA2FE5" w:rsidP="00BA2FE5">
      <w:r w:rsidRPr="00694047">
        <w:t>принять активное участие в этих исследованиях, представляя вклады в МСЭ-R.</w:t>
      </w:r>
    </w:p>
    <w:p w14:paraId="71866D14" w14:textId="04FC6FD2" w:rsidR="00BA2FE5" w:rsidRPr="00694047" w:rsidRDefault="00422403" w:rsidP="00486195">
      <w:pPr>
        <w:pStyle w:val="Reasons"/>
      </w:pPr>
      <w:bookmarkStart w:id="9" w:name="_Hlk19715184"/>
      <w:r w:rsidRPr="00694047">
        <w:rPr>
          <w:b/>
        </w:rPr>
        <w:t>Основания</w:t>
      </w:r>
      <w:r w:rsidRPr="00694047">
        <w:rPr>
          <w:bCs/>
        </w:rPr>
        <w:t>:</w:t>
      </w:r>
      <w:r w:rsidRPr="00694047">
        <w:tab/>
      </w:r>
      <w:r w:rsidR="006D2536" w:rsidRPr="00694047">
        <w:t xml:space="preserve">Предлагаемая Резолюция по новому пункту повестки дня об исследовании базовых станций IMT </w:t>
      </w:r>
      <w:r w:rsidR="009E273E" w:rsidRPr="00694047">
        <w:t xml:space="preserve">на высотной платформе </w:t>
      </w:r>
      <w:r w:rsidR="006D2536" w:rsidRPr="00694047">
        <w:t xml:space="preserve">в </w:t>
      </w:r>
      <w:r w:rsidR="00CF7461" w:rsidRPr="00694047">
        <w:t>имеющихся</w:t>
      </w:r>
      <w:r w:rsidR="006D2536" w:rsidRPr="00694047">
        <w:t xml:space="preserve"> согласованных на региональном уровне полосах IMT ниже 2,7 ГГц </w:t>
      </w:r>
      <w:r w:rsidR="00D15D4F" w:rsidRPr="00694047">
        <w:t>имеет целью обеспечить более гибкое использование этих полос</w:t>
      </w:r>
      <w:r w:rsidR="006D2536" w:rsidRPr="00694047">
        <w:t xml:space="preserve">, </w:t>
      </w:r>
      <w:r w:rsidR="004E1F8C" w:rsidRPr="00694047">
        <w:t xml:space="preserve">с тем чтобы удовлетворить потребность в расширении покрытия и пропускной способности сетей подвижной широкополосной связи. </w:t>
      </w:r>
      <w:r w:rsidR="000C12BD" w:rsidRPr="00694047">
        <w:t>Далее ВКР-23 обсудит результаты исследования и возможные изменения в РР</w:t>
      </w:r>
      <w:r w:rsidR="006D2536" w:rsidRPr="00694047">
        <w:t xml:space="preserve">. </w:t>
      </w:r>
      <w:r w:rsidR="004E1F8C" w:rsidRPr="00694047">
        <w:t xml:space="preserve">Данный пункт повестки дня не предполагает </w:t>
      </w:r>
      <w:r w:rsidR="000C72BF" w:rsidRPr="00694047">
        <w:t xml:space="preserve">изменений </w:t>
      </w:r>
      <w:r w:rsidR="000C12BD" w:rsidRPr="00694047">
        <w:t>действующих</w:t>
      </w:r>
      <w:r w:rsidR="004E1F8C" w:rsidRPr="00694047">
        <w:t xml:space="preserve"> определений для IMT</w:t>
      </w:r>
      <w:bookmarkEnd w:id="9"/>
      <w:r w:rsidRPr="00694047">
        <w:t>.</w:t>
      </w:r>
    </w:p>
    <w:p w14:paraId="71A5D88F" w14:textId="60E6493B" w:rsidR="00BC7EF5" w:rsidRPr="00694047" w:rsidRDefault="00BC7EF5" w:rsidP="00BA2FE5">
      <w:r w:rsidRPr="00694047">
        <w:br w:type="page"/>
      </w:r>
    </w:p>
    <w:p w14:paraId="7D945690" w14:textId="14A8D497" w:rsidR="00BA2FE5" w:rsidRPr="00694047" w:rsidRDefault="00BC7EF5" w:rsidP="00BC7EF5">
      <w:pPr>
        <w:pStyle w:val="AnnexNo"/>
      </w:pPr>
      <w:r w:rsidRPr="00694047">
        <w:lastRenderedPageBreak/>
        <w:t>приложение</w:t>
      </w:r>
    </w:p>
    <w:p w14:paraId="20371F54" w14:textId="0F7DB0B9" w:rsidR="00BC7EF5" w:rsidRPr="00694047" w:rsidRDefault="006D2536" w:rsidP="00BC7EF5">
      <w:pPr>
        <w:pStyle w:val="Annextitle"/>
        <w:rPr>
          <w:rFonts w:eastAsia="Calibri"/>
        </w:rPr>
      </w:pPr>
      <w:r w:rsidRPr="00694047">
        <w:rPr>
          <w:rFonts w:eastAsia="Calibri"/>
        </w:rPr>
        <w:t>Предложение по будущему пункту повестки дня ВКР-23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694047" w:rsidRPr="00694047" w14:paraId="48C40BF7" w14:textId="77777777" w:rsidTr="00694047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D44E14" w14:textId="7748513D" w:rsidR="00694047" w:rsidRPr="00694047" w:rsidRDefault="00694047" w:rsidP="00694047">
            <w:pPr>
              <w:spacing w:before="60" w:after="60"/>
              <w:rPr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5808A8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Предмет</w:t>
            </w:r>
            <w:r w:rsidRPr="00694047">
              <w:rPr>
                <w:color w:val="000000"/>
                <w:szCs w:val="22"/>
                <w:lang w:eastAsia="en-GB"/>
              </w:rPr>
              <w:t>:</w:t>
            </w:r>
            <w:r w:rsidRPr="00694047">
              <w:rPr>
                <w:rFonts w:eastAsia="Calibri"/>
                <w:szCs w:val="22"/>
              </w:rPr>
              <w:t xml:space="preserve"> Предложение по пункту повестки дня ВКР-23 об использовании базовых станций IMT на высотной платформе в полосах ниже 2,7 ГГц, уже определенных для IMT на глобальном или региональном уровне</w:t>
            </w:r>
            <w:r w:rsidRPr="00694047">
              <w:rPr>
                <w:color w:val="000000"/>
                <w:szCs w:val="22"/>
                <w:lang w:eastAsia="en-GB"/>
              </w:rPr>
              <w:t>.</w:t>
            </w:r>
          </w:p>
        </w:tc>
      </w:tr>
      <w:tr w:rsidR="00694047" w:rsidRPr="00694047" w14:paraId="332ABE8E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71B30" w14:textId="2A551DDB" w:rsidR="00694047" w:rsidRPr="00694047" w:rsidRDefault="00694047" w:rsidP="00694047">
            <w:pPr>
              <w:spacing w:before="60" w:after="60"/>
              <w:rPr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5808A8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Источник</w:t>
            </w:r>
            <w:r w:rsidRPr="00694047">
              <w:rPr>
                <w:color w:val="000000"/>
                <w:szCs w:val="22"/>
                <w:lang w:eastAsia="en-GB"/>
              </w:rPr>
              <w:t>: Государства – члены СИТЕЛ</w:t>
            </w:r>
          </w:p>
        </w:tc>
      </w:tr>
      <w:tr w:rsidR="007B4753" w:rsidRPr="00694047" w14:paraId="0897A6D2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76698" w14:textId="7C4742C6" w:rsidR="007B4753" w:rsidRPr="00694047" w:rsidRDefault="007B4753" w:rsidP="00694047">
            <w:pPr>
              <w:spacing w:before="60" w:after="60"/>
              <w:rPr>
                <w:b/>
                <w:bCs/>
                <w:i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Предложение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Pr="00694047">
              <w:rPr>
                <w:rFonts w:ascii="TimesNewRomanPSMT" w:eastAsia="Calibri" w:hAnsi="TimesNewRomanPSMT" w:cs="TimesNewRomanPSMT"/>
                <w:szCs w:val="22"/>
              </w:rPr>
              <w:t xml:space="preserve"> 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рассмотреть в соответствии с Резолюцией </w:t>
            </w:r>
            <w:r w:rsidR="009E16A1" w:rsidRPr="005808A8">
              <w:rPr>
                <w:rFonts w:ascii="TimesNewRomanPSMT" w:eastAsia="Calibri" w:hAnsi="TimesNewRomanPSMT" w:cs="TimesNewRomanPSMT"/>
                <w:b/>
                <w:bCs/>
                <w:szCs w:val="22"/>
              </w:rPr>
              <w:t>[</w:t>
            </w:r>
            <w:proofErr w:type="spellStart"/>
            <w:r w:rsidR="009E16A1" w:rsidRPr="005808A8">
              <w:rPr>
                <w:rFonts w:ascii="TimesNewRomanPSMT" w:eastAsia="Calibri" w:hAnsi="TimesNewRomanPSMT" w:cs="TimesNewRomanPSMT"/>
                <w:b/>
                <w:bCs/>
                <w:szCs w:val="22"/>
              </w:rPr>
              <w:t>IAP</w:t>
            </w:r>
            <w:proofErr w:type="spellEnd"/>
            <w:r w:rsidR="009E16A1" w:rsidRPr="005808A8">
              <w:rPr>
                <w:rFonts w:ascii="TimesNewRomanPSMT" w:eastAsia="Calibri" w:hAnsi="TimesNewRomanPSMT" w:cs="TimesNewRomanPSMT"/>
                <w:b/>
                <w:bCs/>
                <w:szCs w:val="22"/>
              </w:rPr>
              <w:t>/10(B)/</w:t>
            </w:r>
            <w:proofErr w:type="spellStart"/>
            <w:r w:rsidR="009E16A1" w:rsidRPr="005808A8">
              <w:rPr>
                <w:rFonts w:ascii="TimesNewRomanPSMT" w:eastAsia="Calibri" w:hAnsi="TimesNewRomanPSMT" w:cs="TimesNewRomanPSMT"/>
                <w:b/>
                <w:bCs/>
                <w:szCs w:val="22"/>
              </w:rPr>
              <w:t>HA</w:t>
            </w:r>
            <w:proofErr w:type="spellEnd"/>
            <w:r w:rsidR="009E16A1" w:rsidRPr="005808A8">
              <w:rPr>
                <w:rFonts w:ascii="TimesNewRomanPSMT" w:eastAsia="Calibri" w:hAnsi="TimesNewRomanPSMT" w:cs="TimesNewRomanPSMT"/>
                <w:b/>
                <w:bCs/>
                <w:szCs w:val="22"/>
              </w:rPr>
              <w:t>-IMT] (ВКР-19)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 использование базовых станций IMT </w:t>
            </w:r>
            <w:r w:rsidR="00A131DD" w:rsidRPr="00694047">
              <w:rPr>
                <w:rFonts w:ascii="TimesNewRomanPSMT" w:eastAsia="Calibri" w:hAnsi="TimesNewRomanPSMT" w:cs="TimesNewRomanPSMT"/>
                <w:szCs w:val="22"/>
              </w:rPr>
              <w:t xml:space="preserve">на высотной платформе 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в </w:t>
            </w:r>
            <w:r w:rsidR="002714D6" w:rsidRPr="00694047">
              <w:rPr>
                <w:rFonts w:ascii="TimesNewRomanPSMT" w:eastAsia="Calibri" w:hAnsi="TimesNewRomanPSMT" w:cs="TimesNewRomanPSMT"/>
                <w:szCs w:val="22"/>
              </w:rPr>
              <w:t>некоторых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 полосах ниже 2,7 ГГц, уже определенных для IMT на глобально</w:t>
            </w:r>
            <w:r w:rsidR="00441232" w:rsidRPr="00694047">
              <w:rPr>
                <w:rFonts w:ascii="TimesNewRomanPSMT" w:eastAsia="Calibri" w:hAnsi="TimesNewRomanPSMT" w:cs="TimesNewRomanPSMT"/>
                <w:szCs w:val="22"/>
              </w:rPr>
              <w:t>м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 или регионально</w:t>
            </w:r>
            <w:r w:rsidR="00441232" w:rsidRPr="00694047">
              <w:rPr>
                <w:rFonts w:ascii="TimesNewRomanPSMT" w:eastAsia="Calibri" w:hAnsi="TimesNewRomanPSMT" w:cs="TimesNewRomanPSMT"/>
                <w:szCs w:val="22"/>
              </w:rPr>
              <w:t>м</w:t>
            </w:r>
            <w:r w:rsidR="009E16A1" w:rsidRPr="00694047">
              <w:rPr>
                <w:rFonts w:ascii="TimesNewRomanPSMT" w:eastAsia="Calibri" w:hAnsi="TimesNewRomanPSMT" w:cs="TimesNewRomanPSMT"/>
                <w:szCs w:val="22"/>
              </w:rPr>
              <w:t xml:space="preserve"> уров</w:t>
            </w:r>
            <w:r w:rsidR="00441232" w:rsidRPr="00694047">
              <w:rPr>
                <w:rFonts w:ascii="TimesNewRomanPSMT" w:eastAsia="Calibri" w:hAnsi="TimesNewRomanPSMT" w:cs="TimesNewRomanPSMT"/>
                <w:szCs w:val="22"/>
              </w:rPr>
              <w:t>не</w:t>
            </w:r>
          </w:p>
        </w:tc>
      </w:tr>
      <w:tr w:rsidR="007B4753" w:rsidRPr="00694047" w14:paraId="1479E897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77259" w14:textId="5217E733" w:rsidR="007B4753" w:rsidRPr="00694047" w:rsidRDefault="007B4753" w:rsidP="00694047">
            <w:pPr>
              <w:spacing w:before="60" w:after="60"/>
              <w:rPr>
                <w:b/>
                <w:bCs/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Основание/причина</w:t>
            </w:r>
            <w:r w:rsidRPr="005808A8">
              <w:rPr>
                <w:iCs/>
                <w:color w:val="000000"/>
                <w:szCs w:val="22"/>
                <w:lang w:eastAsia="en-GB"/>
              </w:rPr>
              <w:t xml:space="preserve">: </w:t>
            </w:r>
            <w:r w:rsidR="000C12BD" w:rsidRPr="00694047">
              <w:t>Новый пункт повестки дня, касающийся исследования использования базовых станций IMT на высотной платформе в некоторых имеющихся согласованных на глобальном или региональном уровне полосах IMT ниже 2,7 ГГц, имеет целью обеспечить более гибкое использование этих полос, с тем чтобы удовлетворить потребность в расширении покрытия и пропускной способности сетей подвижной широкополосной связи. Далее ВКР-23 обсудит результаты исследования и возможные изменения в РР.</w:t>
            </w:r>
          </w:p>
          <w:p w14:paraId="161A92AE" w14:textId="70A6E046" w:rsidR="007B4753" w:rsidRPr="00694047" w:rsidRDefault="000C12BD" w:rsidP="00694047">
            <w:pPr>
              <w:spacing w:before="60" w:after="60"/>
              <w:rPr>
                <w:iCs/>
                <w:color w:val="000000"/>
                <w:szCs w:val="22"/>
                <w:lang w:eastAsia="en-GB"/>
              </w:rPr>
            </w:pPr>
            <w:r w:rsidRPr="00694047">
              <w:t>Данный пункт повестки дня не предполагает пересмотра действующих определений для IMT в Регламенте радиосвязи.</w:t>
            </w:r>
          </w:p>
        </w:tc>
      </w:tr>
      <w:tr w:rsidR="007B4753" w:rsidRPr="00694047" w14:paraId="44BFBFB8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94A2E" w14:textId="1B622177" w:rsidR="007B4753" w:rsidRPr="00694047" w:rsidRDefault="007B4753" w:rsidP="005808A8">
            <w:pPr>
              <w:spacing w:before="60" w:after="60"/>
              <w:rPr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Затрагиваемые службы радиосвязи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="005808A8">
              <w:rPr>
                <w:iCs/>
                <w:color w:val="000000"/>
                <w:szCs w:val="22"/>
                <w:lang w:eastAsia="en-GB"/>
              </w:rPr>
              <w:t xml:space="preserve"> Р</w:t>
            </w:r>
            <w:r w:rsidR="000B1BA8" w:rsidRPr="00694047">
              <w:rPr>
                <w:iCs/>
                <w:color w:val="000000"/>
                <w:szCs w:val="22"/>
                <w:lang w:eastAsia="en-GB"/>
              </w:rPr>
              <w:t>адиовещательная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, </w:t>
            </w:r>
            <w:r w:rsidR="000B1BA8" w:rsidRPr="00694047">
              <w:rPr>
                <w:iCs/>
                <w:color w:val="000000"/>
                <w:szCs w:val="22"/>
                <w:lang w:eastAsia="en-GB"/>
              </w:rPr>
              <w:t>радиовещательная спутниковая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, фиксированная, фиксированная спутниковая, </w:t>
            </w:r>
            <w:r w:rsidR="0001736C" w:rsidRPr="00694047">
              <w:rPr>
                <w:iCs/>
                <w:color w:val="000000"/>
                <w:szCs w:val="22"/>
                <w:lang w:eastAsia="en-GB"/>
              </w:rPr>
              <w:t>подвижная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, </w:t>
            </w:r>
            <w:r w:rsidR="0001736C" w:rsidRPr="00694047">
              <w:rPr>
                <w:iCs/>
                <w:color w:val="000000"/>
                <w:szCs w:val="22"/>
                <w:lang w:eastAsia="en-GB"/>
              </w:rPr>
              <w:t xml:space="preserve">подвижная 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>спутниковая и радиолокаци</w:t>
            </w:r>
            <w:r w:rsidR="0001736C" w:rsidRPr="00694047">
              <w:rPr>
                <w:iCs/>
                <w:color w:val="000000"/>
                <w:szCs w:val="22"/>
                <w:lang w:eastAsia="en-GB"/>
              </w:rPr>
              <w:t>онная</w:t>
            </w:r>
          </w:p>
        </w:tc>
      </w:tr>
      <w:tr w:rsidR="007B4753" w:rsidRPr="00694047" w14:paraId="2F92DAB5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0C71A" w14:textId="0B05CCA7" w:rsidR="007B4753" w:rsidRPr="00694047" w:rsidRDefault="007B4753" w:rsidP="00694047">
            <w:pPr>
              <w:spacing w:before="60" w:after="60"/>
              <w:rPr>
                <w:b/>
                <w:bCs/>
                <w:i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Указание возможных трудностей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Pr="00694047">
              <w:rPr>
                <w:i/>
                <w:iCs/>
                <w:color w:val="000000"/>
                <w:szCs w:val="22"/>
                <w:lang w:eastAsia="en-GB"/>
              </w:rPr>
              <w:t xml:space="preserve"> </w:t>
            </w:r>
            <w:r w:rsidR="000C12BD" w:rsidRPr="00694047">
              <w:rPr>
                <w:color w:val="000000"/>
                <w:szCs w:val="22"/>
                <w:lang w:eastAsia="en-GB"/>
              </w:rPr>
              <w:t xml:space="preserve">Предлагаемые полосы </w:t>
            </w:r>
            <w:r w:rsidR="00BF42DB" w:rsidRPr="00694047">
              <w:rPr>
                <w:color w:val="000000"/>
                <w:szCs w:val="22"/>
                <w:lang w:eastAsia="en-GB"/>
              </w:rPr>
              <w:t xml:space="preserve">активно используются для наземных и космических служб и </w:t>
            </w:r>
            <w:r w:rsidR="003462FA" w:rsidRPr="00694047">
              <w:rPr>
                <w:color w:val="000000"/>
                <w:szCs w:val="22"/>
                <w:lang w:eastAsia="en-GB"/>
              </w:rPr>
              <w:t>определены для IMT на глобальном или региональном уровне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, </w:t>
            </w:r>
            <w:r w:rsidR="00801A6C" w:rsidRPr="00694047">
              <w:rPr>
                <w:color w:val="000000"/>
                <w:szCs w:val="22"/>
                <w:lang w:eastAsia="en-GB"/>
              </w:rPr>
              <w:t>в отношении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 которы</w:t>
            </w:r>
            <w:r w:rsidR="00801A6C" w:rsidRPr="00694047">
              <w:rPr>
                <w:color w:val="000000"/>
                <w:szCs w:val="22"/>
                <w:lang w:eastAsia="en-GB"/>
              </w:rPr>
              <w:t>х</w:t>
            </w:r>
            <w:r w:rsidR="00190CCC" w:rsidRPr="00694047">
              <w:rPr>
                <w:color w:val="000000"/>
                <w:szCs w:val="22"/>
                <w:lang w:eastAsia="en-GB"/>
              </w:rPr>
              <w:t xml:space="preserve"> вопросы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 совместимост</w:t>
            </w:r>
            <w:r w:rsidR="00190CCC" w:rsidRPr="00694047">
              <w:rPr>
                <w:color w:val="000000"/>
                <w:szCs w:val="22"/>
                <w:lang w:eastAsia="en-GB"/>
              </w:rPr>
              <w:t>и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 уже согласован</w:t>
            </w:r>
            <w:r w:rsidR="00190CCC" w:rsidRPr="00694047">
              <w:rPr>
                <w:color w:val="000000"/>
                <w:szCs w:val="22"/>
                <w:lang w:eastAsia="en-GB"/>
              </w:rPr>
              <w:t>ы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. </w:t>
            </w:r>
            <w:r w:rsidR="00FE4DF0" w:rsidRPr="00694047">
              <w:rPr>
                <w:color w:val="000000"/>
                <w:szCs w:val="22"/>
                <w:lang w:eastAsia="en-GB"/>
              </w:rPr>
              <w:t xml:space="preserve">В отличие от </w:t>
            </w:r>
            <w:r w:rsidR="002A39A1" w:rsidRPr="00694047">
              <w:rPr>
                <w:color w:val="000000"/>
                <w:szCs w:val="22"/>
                <w:lang w:eastAsia="en-GB"/>
              </w:rPr>
              <w:t>имеющихся</w:t>
            </w:r>
            <w:r w:rsidR="00FE4DF0" w:rsidRPr="00694047">
              <w:rPr>
                <w:color w:val="000000"/>
                <w:szCs w:val="22"/>
                <w:lang w:eastAsia="en-GB"/>
              </w:rPr>
              <w:t xml:space="preserve"> определений для IMT,</w:t>
            </w:r>
            <w:r w:rsidR="00FE4DF0"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 xml:space="preserve"> </w:t>
            </w:r>
            <w:r w:rsidR="00FE4DF0" w:rsidRPr="00694047">
              <w:rPr>
                <w:color w:val="000000"/>
                <w:szCs w:val="22"/>
                <w:lang w:eastAsia="en-GB"/>
              </w:rPr>
              <w:t>в</w:t>
            </w:r>
            <w:r w:rsidR="00486195" w:rsidRPr="00694047">
              <w:rPr>
                <w:color w:val="000000"/>
                <w:szCs w:val="22"/>
                <w:lang w:eastAsia="en-GB"/>
              </w:rPr>
              <w:t>озможные определения</w:t>
            </w:r>
            <w:r w:rsidR="00FD1FED" w:rsidRPr="00694047">
              <w:rPr>
                <w:color w:val="000000"/>
                <w:szCs w:val="22"/>
                <w:lang w:eastAsia="en-GB"/>
              </w:rPr>
              <w:t xml:space="preserve"> для</w:t>
            </w:r>
            <w:r w:rsidR="00486195" w:rsidRPr="00694047">
              <w:rPr>
                <w:color w:val="000000"/>
                <w:szCs w:val="22"/>
                <w:lang w:eastAsia="en-GB"/>
              </w:rPr>
              <w:t xml:space="preserve"> базовых станций IMT </w:t>
            </w:r>
            <w:r w:rsidR="00C97C13" w:rsidRPr="00694047">
              <w:rPr>
                <w:color w:val="000000"/>
                <w:szCs w:val="22"/>
                <w:lang w:eastAsia="en-GB"/>
              </w:rPr>
              <w:t xml:space="preserve">на высотной платформе </w:t>
            </w:r>
            <w:r w:rsidR="008D3EF0" w:rsidRPr="00694047">
              <w:rPr>
                <w:color w:val="000000"/>
                <w:szCs w:val="22"/>
                <w:lang w:eastAsia="en-GB"/>
              </w:rPr>
              <w:t>подняли бы ряд</w:t>
            </w:r>
            <w:r w:rsidR="00FD1FED" w:rsidRPr="00694047">
              <w:rPr>
                <w:color w:val="000000"/>
                <w:szCs w:val="22"/>
                <w:lang w:eastAsia="en-GB"/>
              </w:rPr>
              <w:t xml:space="preserve"> </w:t>
            </w:r>
            <w:r w:rsidR="008D3EF0" w:rsidRPr="00694047">
              <w:rPr>
                <w:color w:val="000000"/>
                <w:szCs w:val="22"/>
                <w:lang w:eastAsia="en-GB"/>
              </w:rPr>
              <w:t xml:space="preserve">вопросов </w:t>
            </w:r>
            <w:r w:rsidR="00FD1FED" w:rsidRPr="00694047">
              <w:rPr>
                <w:color w:val="000000"/>
                <w:szCs w:val="22"/>
                <w:lang w:eastAsia="en-GB"/>
              </w:rPr>
              <w:t>регламентарно-процедурн</w:t>
            </w:r>
            <w:r w:rsidR="008D3EF0" w:rsidRPr="00694047">
              <w:rPr>
                <w:color w:val="000000"/>
                <w:szCs w:val="22"/>
                <w:lang w:eastAsia="en-GB"/>
              </w:rPr>
              <w:t>ого характера</w:t>
            </w:r>
            <w:r w:rsidR="003F014C" w:rsidRPr="00694047">
              <w:rPr>
                <w:color w:val="000000"/>
                <w:szCs w:val="22"/>
                <w:lang w:eastAsia="en-GB"/>
              </w:rPr>
              <w:t>.</w:t>
            </w:r>
          </w:p>
        </w:tc>
      </w:tr>
      <w:tr w:rsidR="007B4753" w:rsidRPr="00694047" w14:paraId="5BF58645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DC9E" w14:textId="670A3E9D" w:rsidR="007B4753" w:rsidRPr="00694047" w:rsidRDefault="007B4753" w:rsidP="00694047">
            <w:pPr>
              <w:spacing w:before="60" w:after="60"/>
              <w:rPr>
                <w:b/>
                <w:bCs/>
                <w:i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Ранее проведенные/текущие исследования по данному вопросу</w:t>
            </w:r>
            <w:r w:rsidRPr="00694047">
              <w:rPr>
                <w:iCs/>
                <w:color w:val="000000"/>
                <w:szCs w:val="22"/>
                <w:lang w:eastAsia="en-GB"/>
              </w:rPr>
              <w:t xml:space="preserve">: 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В Рабочей группе </w:t>
            </w:r>
            <w:proofErr w:type="spellStart"/>
            <w:r w:rsidR="00486195" w:rsidRPr="00694047">
              <w:rPr>
                <w:iCs/>
                <w:color w:val="000000"/>
                <w:szCs w:val="22"/>
                <w:lang w:eastAsia="en-GB"/>
              </w:rPr>
              <w:t>5D</w:t>
            </w:r>
            <w:proofErr w:type="spellEnd"/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 МСЭ-R продолжаются исследования </w:t>
            </w:r>
            <w:r w:rsidR="00BF42DB" w:rsidRPr="00694047">
              <w:rPr>
                <w:iCs/>
                <w:color w:val="000000"/>
                <w:szCs w:val="22"/>
                <w:lang w:eastAsia="en-GB"/>
              </w:rPr>
              <w:t xml:space="preserve">совместного использования частот в совмещенном канале применительно к </w:t>
            </w:r>
            <w:r w:rsidR="006F29B5" w:rsidRPr="00694047">
              <w:rPr>
                <w:iCs/>
                <w:color w:val="000000"/>
                <w:szCs w:val="22"/>
                <w:lang w:eastAsia="en-GB"/>
              </w:rPr>
              <w:t>базовы</w:t>
            </w:r>
            <w:r w:rsidR="00BF42DB" w:rsidRPr="00694047">
              <w:rPr>
                <w:iCs/>
                <w:color w:val="000000"/>
                <w:szCs w:val="22"/>
                <w:lang w:eastAsia="en-GB"/>
              </w:rPr>
              <w:t>м</w:t>
            </w:r>
            <w:r w:rsidR="006F29B5" w:rsidRPr="00694047">
              <w:rPr>
                <w:iCs/>
                <w:color w:val="000000"/>
                <w:szCs w:val="22"/>
                <w:lang w:eastAsia="en-GB"/>
              </w:rPr>
              <w:t xml:space="preserve"> станци</w:t>
            </w:r>
            <w:r w:rsidR="00BF42DB" w:rsidRPr="00694047">
              <w:rPr>
                <w:iCs/>
                <w:color w:val="000000"/>
                <w:szCs w:val="22"/>
                <w:lang w:eastAsia="en-GB"/>
              </w:rPr>
              <w:t>ям</w:t>
            </w:r>
            <w:r w:rsidR="006F29B5" w:rsidRPr="00694047">
              <w:rPr>
                <w:iCs/>
                <w:color w:val="000000"/>
                <w:szCs w:val="22"/>
                <w:lang w:eastAsia="en-GB"/>
              </w:rPr>
              <w:t xml:space="preserve"> IMT на высотной платформе </w:t>
            </w:r>
            <w:r w:rsidR="00BF42DB" w:rsidRPr="00694047">
              <w:rPr>
                <w:iCs/>
                <w:color w:val="000000"/>
                <w:szCs w:val="22"/>
                <w:lang w:eastAsia="en-GB"/>
              </w:rPr>
              <w:t xml:space="preserve">с учетом 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>IMT-</w:t>
            </w:r>
            <w:proofErr w:type="spellStart"/>
            <w:r w:rsidR="00486195" w:rsidRPr="00694047">
              <w:rPr>
                <w:iCs/>
                <w:color w:val="000000"/>
                <w:szCs w:val="22"/>
                <w:lang w:eastAsia="en-GB"/>
              </w:rPr>
              <w:t>Advanced</w:t>
            </w:r>
            <w:proofErr w:type="spellEnd"/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 в соответствии с п. </w:t>
            </w:r>
            <w:proofErr w:type="spellStart"/>
            <w:r w:rsidR="00486195" w:rsidRPr="00694047">
              <w:rPr>
                <w:b/>
                <w:bCs/>
                <w:iCs/>
                <w:color w:val="000000"/>
                <w:szCs w:val="22"/>
                <w:lang w:eastAsia="en-GB"/>
              </w:rPr>
              <w:t>5.338A</w:t>
            </w:r>
            <w:proofErr w:type="spellEnd"/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. В </w:t>
            </w:r>
            <w:r w:rsidR="004F4093" w:rsidRPr="00694047">
              <w:t xml:space="preserve">Рекомендациях МСЭ-R </w:t>
            </w:r>
            <w:proofErr w:type="spellStart"/>
            <w:r w:rsidR="004F4093" w:rsidRPr="00694047">
              <w:t>M.1456</w:t>
            </w:r>
            <w:proofErr w:type="spellEnd"/>
            <w:r w:rsidR="004F4093" w:rsidRPr="00694047">
              <w:t xml:space="preserve"> и </w:t>
            </w:r>
            <w:proofErr w:type="spellStart"/>
            <w:r w:rsidR="004F4093" w:rsidRPr="00694047">
              <w:t>M.1641</w:t>
            </w:r>
            <w:proofErr w:type="spellEnd"/>
            <w:r w:rsidR="004F4093" w:rsidRPr="00694047">
              <w:t xml:space="preserve"> представлены технические требования и метод</w:t>
            </w:r>
            <w:r w:rsidR="00BF42DB" w:rsidRPr="00694047">
              <w:t>ика</w:t>
            </w:r>
            <w:r w:rsidR="004F4093" w:rsidRPr="00694047">
              <w:t xml:space="preserve"> исследования </w:t>
            </w:r>
            <w:r w:rsidR="00BF42DB" w:rsidRPr="00694047">
              <w:t xml:space="preserve">использования </w:t>
            </w:r>
            <w:r w:rsidR="004F4093" w:rsidRPr="00694047">
              <w:t>базовых станций IMT на высотной платформе в полосах около 1,9/2,1 ГГц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. </w:t>
            </w:r>
          </w:p>
        </w:tc>
      </w:tr>
      <w:tr w:rsidR="007B4753" w:rsidRPr="00694047" w14:paraId="46CD7E18" w14:textId="77777777" w:rsidTr="00694047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020FF" w14:textId="09017662" w:rsidR="007B4753" w:rsidRPr="005808A8" w:rsidRDefault="007B4753" w:rsidP="005808A8">
            <w:pPr>
              <w:spacing w:before="60" w:after="60"/>
              <w:rPr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Кем будут проводиться исследования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="005808A8">
              <w:rPr>
                <w:iCs/>
                <w:color w:val="000000"/>
                <w:szCs w:val="22"/>
                <w:lang w:eastAsia="en-GB"/>
              </w:rPr>
              <w:t xml:space="preserve"> </w:t>
            </w:r>
            <w:r w:rsidR="00486195" w:rsidRPr="005808A8">
              <w:rPr>
                <w:color w:val="000000"/>
                <w:szCs w:val="22"/>
                <w:lang w:eastAsia="en-GB"/>
              </w:rPr>
              <w:t xml:space="preserve">Рабочая группа </w:t>
            </w:r>
            <w:proofErr w:type="spellStart"/>
            <w:r w:rsidR="00486195" w:rsidRPr="005808A8">
              <w:rPr>
                <w:color w:val="000000"/>
                <w:szCs w:val="22"/>
                <w:lang w:eastAsia="en-GB"/>
              </w:rPr>
              <w:t>5D</w:t>
            </w:r>
            <w:proofErr w:type="spellEnd"/>
            <w:r w:rsidR="00486195" w:rsidRPr="005808A8">
              <w:rPr>
                <w:color w:val="000000"/>
                <w:szCs w:val="22"/>
                <w:lang w:eastAsia="en-GB"/>
              </w:rPr>
              <w:t xml:space="preserve"> МСЭ-R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EB760" w14:textId="3433AED3" w:rsidR="007B4753" w:rsidRPr="00694047" w:rsidRDefault="007B4753" w:rsidP="005808A8">
            <w:pPr>
              <w:spacing w:before="60" w:after="60"/>
              <w:rPr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с участием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="005808A8" w:rsidRPr="005808A8">
              <w:rPr>
                <w:iCs/>
                <w:color w:val="000000"/>
                <w:szCs w:val="22"/>
                <w:lang w:eastAsia="en-GB"/>
              </w:rPr>
              <w:t xml:space="preserve"> 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>Член</w:t>
            </w:r>
            <w:r w:rsidR="005808A8">
              <w:rPr>
                <w:iCs/>
                <w:color w:val="000000"/>
                <w:szCs w:val="22"/>
                <w:lang w:eastAsia="en-GB"/>
              </w:rPr>
              <w:t>ов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 xml:space="preserve"> МСЭ-R </w:t>
            </w:r>
          </w:p>
        </w:tc>
      </w:tr>
      <w:tr w:rsidR="007B4753" w:rsidRPr="00694047" w14:paraId="0908AA77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0DC1A" w14:textId="3DA9E048" w:rsidR="007B4753" w:rsidRPr="00694047" w:rsidRDefault="007B4753" w:rsidP="00A54A54">
            <w:pPr>
              <w:spacing w:before="60" w:after="60"/>
              <w:rPr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Затрагиваемые исследовательские комиссии МСЭ-R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="00A54A54">
              <w:rPr>
                <w:iCs/>
                <w:color w:val="000000"/>
                <w:szCs w:val="22"/>
                <w:lang w:eastAsia="en-GB"/>
              </w:rPr>
              <w:t xml:space="preserve"> </w:t>
            </w:r>
            <w:r w:rsidR="00486195" w:rsidRPr="00694047">
              <w:rPr>
                <w:iCs/>
                <w:color w:val="000000"/>
                <w:szCs w:val="22"/>
                <w:lang w:eastAsia="en-GB"/>
              </w:rPr>
              <w:t>4-я, 5-я и 6-я Исследовательские комиссии МСЭ-R</w:t>
            </w:r>
          </w:p>
        </w:tc>
      </w:tr>
      <w:tr w:rsidR="007B4753" w:rsidRPr="00694047" w14:paraId="3E0D29CC" w14:textId="77777777" w:rsidTr="0069404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86164" w14:textId="38C332F1" w:rsidR="007B4753" w:rsidRPr="00694047" w:rsidRDefault="007B4753" w:rsidP="00694047">
            <w:pPr>
              <w:spacing w:before="60" w:after="60"/>
              <w:rPr>
                <w:b/>
                <w:bCs/>
                <w:i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 xml:space="preserve">Влияние на ресурсы МСЭ, включая финансовые последствия (см. </w:t>
            </w:r>
            <w:proofErr w:type="spellStart"/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K126</w:t>
            </w:r>
            <w:proofErr w:type="spellEnd"/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)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Pr="00694047">
              <w:rPr>
                <w:rFonts w:ascii="TimesNewRomanPSMT" w:eastAsia="Calibri" w:hAnsi="TimesNewRomanPSMT" w:cs="TimesNewRomanPSMT"/>
                <w:szCs w:val="22"/>
              </w:rPr>
              <w:t xml:space="preserve"> 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Минимальное, поскольку 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 xml:space="preserve">исследования по 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>предлагаем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>ому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 пункт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>у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 повестки дня долж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>ны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 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>проводиться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 РГ </w:t>
            </w:r>
            <w:proofErr w:type="spellStart"/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>5D</w:t>
            </w:r>
            <w:proofErr w:type="spellEnd"/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 МСЭ</w:t>
            </w:r>
            <w:r w:rsidR="00694047">
              <w:rPr>
                <w:rFonts w:asciiTheme="minorHAnsi" w:eastAsia="Calibri" w:hAnsiTheme="minorHAnsi" w:cs="TimesNewRomanPSMT"/>
                <w:szCs w:val="22"/>
              </w:rPr>
              <w:noBreakHyphen/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 xml:space="preserve">R в рамках </w:t>
            </w:r>
            <w:r w:rsidR="00BF42DB" w:rsidRPr="00694047">
              <w:rPr>
                <w:rFonts w:asciiTheme="minorHAnsi" w:eastAsia="Calibri" w:hAnsiTheme="minorHAnsi" w:cs="TimesNewRomanPSMT"/>
                <w:szCs w:val="22"/>
              </w:rPr>
              <w:t>существующего</w:t>
            </w:r>
            <w:r w:rsidR="00D37430" w:rsidRPr="00694047">
              <w:rPr>
                <w:rFonts w:ascii="TimesNewRomanPSMT" w:eastAsia="Calibri" w:hAnsi="TimesNewRomanPSMT" w:cs="TimesNewRomanPSMT"/>
                <w:szCs w:val="22"/>
              </w:rPr>
              <w:t xml:space="preserve"> графика собраний</w:t>
            </w:r>
            <w:r w:rsidR="00486195" w:rsidRPr="00694047">
              <w:rPr>
                <w:rFonts w:ascii="TimesNewRomanPSMT" w:eastAsia="Calibri" w:hAnsi="TimesNewRomanPSMT" w:cs="TimesNewRomanPSMT"/>
                <w:szCs w:val="22"/>
              </w:rPr>
              <w:t>.</w:t>
            </w:r>
          </w:p>
        </w:tc>
      </w:tr>
      <w:tr w:rsidR="007B4753" w:rsidRPr="00694047" w14:paraId="446CF560" w14:textId="77777777" w:rsidTr="005808A8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9433D" w14:textId="620DAAF8" w:rsidR="007B4753" w:rsidRPr="00694047" w:rsidRDefault="007B4753" w:rsidP="00694047">
            <w:pPr>
              <w:spacing w:before="60" w:after="60"/>
              <w:rPr>
                <w:b/>
                <w:bCs/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color w:val="000000"/>
                <w:szCs w:val="22"/>
                <w:lang w:eastAsia="en-GB"/>
              </w:rPr>
              <w:t>Общее региональное предложение</w:t>
            </w:r>
            <w:r w:rsidRPr="00694047">
              <w:rPr>
                <w:iCs/>
                <w:color w:val="000000"/>
                <w:szCs w:val="22"/>
                <w:lang w:eastAsia="en-GB"/>
              </w:rPr>
              <w:t xml:space="preserve">: </w:t>
            </w:r>
            <w:r w:rsidR="00694047" w:rsidRPr="00694047">
              <w:rPr>
                <w:color w:val="000000"/>
                <w:szCs w:val="22"/>
                <w:lang w:eastAsia="en-GB"/>
              </w:rPr>
              <w:t>[</w:t>
            </w:r>
            <w:r w:rsidRPr="00694047">
              <w:rPr>
                <w:color w:val="000000"/>
                <w:szCs w:val="22"/>
                <w:lang w:eastAsia="en-GB"/>
              </w:rPr>
              <w:t>Да/нет</w:t>
            </w:r>
            <w:r w:rsidR="00694047" w:rsidRPr="00694047">
              <w:rPr>
                <w:color w:val="000000"/>
                <w:szCs w:val="22"/>
                <w:lang w:eastAsia="en-GB"/>
              </w:rPr>
              <w:t>]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5439D" w14:textId="34734E02" w:rsidR="007B4753" w:rsidRPr="00694047" w:rsidRDefault="007B4753" w:rsidP="00694047">
            <w:pPr>
              <w:spacing w:before="60" w:after="60"/>
              <w:rPr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Предложение группы стран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  <w:r w:rsidRPr="00694047">
              <w:rPr>
                <w:color w:val="000000"/>
                <w:szCs w:val="22"/>
                <w:lang w:eastAsia="en-GB"/>
              </w:rPr>
              <w:t xml:space="preserve"> </w:t>
            </w:r>
            <w:r w:rsidR="00694047" w:rsidRPr="00694047">
              <w:rPr>
                <w:color w:val="000000"/>
                <w:szCs w:val="22"/>
                <w:lang w:eastAsia="en-GB"/>
              </w:rPr>
              <w:t>[</w:t>
            </w:r>
            <w:r w:rsidRPr="00694047">
              <w:rPr>
                <w:color w:val="000000"/>
                <w:szCs w:val="22"/>
                <w:lang w:eastAsia="en-GB"/>
              </w:rPr>
              <w:t>Да/нет</w:t>
            </w:r>
            <w:r w:rsidR="00694047" w:rsidRPr="00694047">
              <w:rPr>
                <w:color w:val="000000"/>
                <w:szCs w:val="22"/>
                <w:lang w:eastAsia="en-GB"/>
              </w:rPr>
              <w:t>]</w:t>
            </w:r>
          </w:p>
          <w:p w14:paraId="60555363" w14:textId="182736BD" w:rsidR="007B4753" w:rsidRPr="005808A8" w:rsidRDefault="007B4753" w:rsidP="00694047">
            <w:pPr>
              <w:spacing w:before="60" w:after="60"/>
              <w:rPr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Количество стран</w:t>
            </w:r>
            <w:r w:rsidRPr="00694047">
              <w:rPr>
                <w:iCs/>
                <w:color w:val="000000"/>
                <w:szCs w:val="22"/>
                <w:lang w:eastAsia="en-GB"/>
              </w:rPr>
              <w:t>:</w:t>
            </w:r>
          </w:p>
        </w:tc>
      </w:tr>
      <w:tr w:rsidR="007B4753" w:rsidRPr="00694047" w14:paraId="2988305B" w14:textId="77777777" w:rsidTr="005808A8"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30E39BF" w14:textId="39CA78A9" w:rsidR="007B4753" w:rsidRPr="00694047" w:rsidRDefault="007B4753" w:rsidP="00694047">
            <w:pPr>
              <w:spacing w:before="60" w:after="60"/>
              <w:rPr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694047">
              <w:rPr>
                <w:b/>
                <w:bCs/>
                <w:i/>
                <w:iCs/>
                <w:color w:val="000000"/>
                <w:szCs w:val="22"/>
                <w:lang w:eastAsia="en-GB"/>
              </w:rPr>
              <w:t>Примечания</w:t>
            </w:r>
            <w:r w:rsidR="005808A8" w:rsidRPr="005808A8">
              <w:rPr>
                <w:color w:val="000000"/>
                <w:szCs w:val="22"/>
                <w:lang w:eastAsia="en-GB"/>
              </w:rPr>
              <w:t>:</w:t>
            </w:r>
          </w:p>
          <w:p w14:paraId="73CA0E01" w14:textId="77777777" w:rsidR="007B4753" w:rsidRPr="00694047" w:rsidRDefault="007B4753" w:rsidP="00694047">
            <w:pPr>
              <w:spacing w:before="60" w:after="60"/>
              <w:rPr>
                <w:b/>
                <w:bCs/>
                <w:i/>
                <w:color w:val="000000"/>
                <w:szCs w:val="22"/>
                <w:lang w:eastAsia="en-GB"/>
              </w:rPr>
            </w:pPr>
          </w:p>
        </w:tc>
      </w:tr>
    </w:tbl>
    <w:p w14:paraId="4D138835" w14:textId="77777777" w:rsidR="00BA2FE5" w:rsidRPr="00694047" w:rsidRDefault="00BA2FE5" w:rsidP="00A54A54">
      <w:pPr>
        <w:spacing w:before="480"/>
        <w:jc w:val="center"/>
      </w:pPr>
      <w:r w:rsidRPr="00694047">
        <w:t>______________</w:t>
      </w:r>
    </w:p>
    <w:sectPr w:rsidR="00BA2FE5" w:rsidRPr="00694047" w:rsidSect="00A54A5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84F0" w14:textId="77777777" w:rsidR="00FA18CD" w:rsidRDefault="00FA18CD">
      <w:r>
        <w:separator/>
      </w:r>
    </w:p>
  </w:endnote>
  <w:endnote w:type="continuationSeparator" w:id="0">
    <w:p w14:paraId="4C861314" w14:textId="77777777" w:rsidR="00FA18CD" w:rsidRDefault="00FA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FDC1" w14:textId="77777777" w:rsidR="00FA18CD" w:rsidRDefault="00FA18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F09960" w14:textId="0F28FF17" w:rsidR="00FA18CD" w:rsidRPr="001A0FB9" w:rsidRDefault="00FA18CD">
    <w:pPr>
      <w:ind w:right="360"/>
      <w:rPr>
        <w:lang w:val="en-US"/>
      </w:rPr>
    </w:pPr>
    <w:r>
      <w:fldChar w:fldCharType="begin"/>
    </w:r>
    <w:r w:rsidRPr="001A0FB9">
      <w:rPr>
        <w:lang w:val="en-US"/>
      </w:rPr>
      <w:instrText xml:space="preserve"> FILENAME \p  \* MERGEFORMAT </w:instrText>
    </w:r>
    <w:r>
      <w:fldChar w:fldCharType="separate"/>
    </w:r>
    <w:r w:rsidR="003B397B">
      <w:rPr>
        <w:noProof/>
        <w:lang w:val="en-US"/>
      </w:rPr>
      <w:t>P:\RUS\ITU-R\CONF-R\CMR19\000\011ADD24ADD02R.docx</w:t>
    </w:r>
    <w:r>
      <w:fldChar w:fldCharType="end"/>
    </w:r>
    <w:r w:rsidRPr="001A0FB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397B">
      <w:rPr>
        <w:noProof/>
      </w:rPr>
      <w:t>15.10.19</w:t>
    </w:r>
    <w:r>
      <w:fldChar w:fldCharType="end"/>
    </w:r>
    <w:r w:rsidRPr="001A0FB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397B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EDF1" w14:textId="45795CD5" w:rsidR="00FA18CD" w:rsidRPr="00422403" w:rsidRDefault="00FA18CD" w:rsidP="00422403">
    <w:pPr>
      <w:pStyle w:val="Footer"/>
    </w:pPr>
    <w:r>
      <w:fldChar w:fldCharType="begin"/>
    </w:r>
    <w:r w:rsidRPr="00422403">
      <w:instrText xml:space="preserve"> FILENAME \p  \* MERGEFORMAT </w:instrText>
    </w:r>
    <w:r>
      <w:fldChar w:fldCharType="separate"/>
    </w:r>
    <w:r w:rsidR="003B397B">
      <w:t>P:\RUS\ITU-R\CONF-R\CMR19\000\011ADD24ADD02R.docx</w:t>
    </w:r>
    <w:r>
      <w:fldChar w:fldCharType="end"/>
    </w:r>
    <w:r>
      <w:t xml:space="preserve"> (460761)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05A2" w14:textId="6661FED2" w:rsidR="00FA18CD" w:rsidRPr="00422403" w:rsidRDefault="00FA18CD" w:rsidP="00FB67E5">
    <w:pPr>
      <w:pStyle w:val="Footer"/>
    </w:pPr>
    <w:r>
      <w:fldChar w:fldCharType="begin"/>
    </w:r>
    <w:r w:rsidRPr="00422403">
      <w:instrText xml:space="preserve"> FILENAME \p  \* MERGEFORMAT </w:instrText>
    </w:r>
    <w:r>
      <w:fldChar w:fldCharType="separate"/>
    </w:r>
    <w:r w:rsidR="003B397B">
      <w:t>P:\RUS\ITU-R\CONF-R\CMR19\000\011ADD24ADD02R.docx</w:t>
    </w:r>
    <w:r>
      <w:fldChar w:fldCharType="end"/>
    </w:r>
    <w:r>
      <w:t xml:space="preserve"> (460761)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8955" w14:textId="77777777" w:rsidR="00FA18CD" w:rsidRDefault="00FA18CD">
      <w:r>
        <w:rPr>
          <w:b/>
        </w:rPr>
        <w:t>_______________</w:t>
      </w:r>
    </w:p>
  </w:footnote>
  <w:footnote w:type="continuationSeparator" w:id="0">
    <w:p w14:paraId="593399EA" w14:textId="77777777" w:rsidR="00FA18CD" w:rsidRDefault="00FA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3B07" w14:textId="77777777" w:rsidR="00FA18CD" w:rsidRPr="00434A7C" w:rsidRDefault="00FA18C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0642CFE" w14:textId="77777777" w:rsidR="00FA18CD" w:rsidRDefault="00FA18CD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/11(</w:t>
    </w:r>
    <w:proofErr w:type="spellStart"/>
    <w:r>
      <w:t>Add.</w:t>
    </w:r>
    <w:proofErr w:type="gramStart"/>
    <w:r>
      <w:t>24</w:t>
    </w:r>
    <w:proofErr w:type="spellEnd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FA6"/>
    <w:rsid w:val="0000766F"/>
    <w:rsid w:val="00010CCE"/>
    <w:rsid w:val="00011FB5"/>
    <w:rsid w:val="00015D36"/>
    <w:rsid w:val="0001736C"/>
    <w:rsid w:val="00023B0C"/>
    <w:rsid w:val="000260F1"/>
    <w:rsid w:val="0003535B"/>
    <w:rsid w:val="00040C03"/>
    <w:rsid w:val="00047E3E"/>
    <w:rsid w:val="0005462B"/>
    <w:rsid w:val="000546AE"/>
    <w:rsid w:val="00075CA2"/>
    <w:rsid w:val="00076328"/>
    <w:rsid w:val="00081215"/>
    <w:rsid w:val="00081A98"/>
    <w:rsid w:val="000856BD"/>
    <w:rsid w:val="000904E7"/>
    <w:rsid w:val="0009786C"/>
    <w:rsid w:val="000A0EF3"/>
    <w:rsid w:val="000A6F64"/>
    <w:rsid w:val="000B1BA8"/>
    <w:rsid w:val="000C12BD"/>
    <w:rsid w:val="000C34AA"/>
    <w:rsid w:val="000C3F55"/>
    <w:rsid w:val="000C72BF"/>
    <w:rsid w:val="000D25E0"/>
    <w:rsid w:val="000D28B3"/>
    <w:rsid w:val="000E4BCA"/>
    <w:rsid w:val="000F07A9"/>
    <w:rsid w:val="000F294A"/>
    <w:rsid w:val="000F33D8"/>
    <w:rsid w:val="000F39B4"/>
    <w:rsid w:val="00111E9A"/>
    <w:rsid w:val="00113D0B"/>
    <w:rsid w:val="00115E7C"/>
    <w:rsid w:val="001168A2"/>
    <w:rsid w:val="001226EC"/>
    <w:rsid w:val="00123B68"/>
    <w:rsid w:val="00124C09"/>
    <w:rsid w:val="00126F2E"/>
    <w:rsid w:val="0014014A"/>
    <w:rsid w:val="00150C3B"/>
    <w:rsid w:val="00151D16"/>
    <w:rsid w:val="001521AE"/>
    <w:rsid w:val="001540A6"/>
    <w:rsid w:val="001570BC"/>
    <w:rsid w:val="001647F8"/>
    <w:rsid w:val="0016529B"/>
    <w:rsid w:val="00173233"/>
    <w:rsid w:val="0017799A"/>
    <w:rsid w:val="00180C94"/>
    <w:rsid w:val="00180E2C"/>
    <w:rsid w:val="001859C7"/>
    <w:rsid w:val="00186444"/>
    <w:rsid w:val="00190CCC"/>
    <w:rsid w:val="001A0911"/>
    <w:rsid w:val="001A0FB9"/>
    <w:rsid w:val="001A1115"/>
    <w:rsid w:val="001A28EA"/>
    <w:rsid w:val="001A5585"/>
    <w:rsid w:val="001D6F5E"/>
    <w:rsid w:val="001E0C3A"/>
    <w:rsid w:val="001E2587"/>
    <w:rsid w:val="001E4D37"/>
    <w:rsid w:val="001E502B"/>
    <w:rsid w:val="001E5FB4"/>
    <w:rsid w:val="00202CA0"/>
    <w:rsid w:val="002045DB"/>
    <w:rsid w:val="00206ED6"/>
    <w:rsid w:val="00217B7C"/>
    <w:rsid w:val="00223CAB"/>
    <w:rsid w:val="00230582"/>
    <w:rsid w:val="002362FC"/>
    <w:rsid w:val="0023638A"/>
    <w:rsid w:val="002417F3"/>
    <w:rsid w:val="002449AA"/>
    <w:rsid w:val="0024506C"/>
    <w:rsid w:val="00245A1F"/>
    <w:rsid w:val="002648FB"/>
    <w:rsid w:val="00265397"/>
    <w:rsid w:val="002662CF"/>
    <w:rsid w:val="002714D6"/>
    <w:rsid w:val="00283EB7"/>
    <w:rsid w:val="00290C74"/>
    <w:rsid w:val="002A1313"/>
    <w:rsid w:val="002A2D3F"/>
    <w:rsid w:val="002A37E2"/>
    <w:rsid w:val="002A39A1"/>
    <w:rsid w:val="002B00A3"/>
    <w:rsid w:val="002B55D3"/>
    <w:rsid w:val="002C11CD"/>
    <w:rsid w:val="002D081C"/>
    <w:rsid w:val="002E0F57"/>
    <w:rsid w:val="002F47D3"/>
    <w:rsid w:val="00300F84"/>
    <w:rsid w:val="00303C3C"/>
    <w:rsid w:val="00304E7E"/>
    <w:rsid w:val="00306731"/>
    <w:rsid w:val="003072EB"/>
    <w:rsid w:val="003258F2"/>
    <w:rsid w:val="00334811"/>
    <w:rsid w:val="00337404"/>
    <w:rsid w:val="003415D2"/>
    <w:rsid w:val="00344EB8"/>
    <w:rsid w:val="003462FA"/>
    <w:rsid w:val="00346BEC"/>
    <w:rsid w:val="003549CC"/>
    <w:rsid w:val="00362017"/>
    <w:rsid w:val="00363A3F"/>
    <w:rsid w:val="003708F0"/>
    <w:rsid w:val="00371E4B"/>
    <w:rsid w:val="00372BBB"/>
    <w:rsid w:val="003750D3"/>
    <w:rsid w:val="00390BF9"/>
    <w:rsid w:val="0039594F"/>
    <w:rsid w:val="00396CF6"/>
    <w:rsid w:val="003A21D4"/>
    <w:rsid w:val="003B15F4"/>
    <w:rsid w:val="003B397B"/>
    <w:rsid w:val="003B594B"/>
    <w:rsid w:val="003B7091"/>
    <w:rsid w:val="003C583C"/>
    <w:rsid w:val="003C69BD"/>
    <w:rsid w:val="003D6B2F"/>
    <w:rsid w:val="003F0078"/>
    <w:rsid w:val="003F014C"/>
    <w:rsid w:val="00405E6F"/>
    <w:rsid w:val="004165AF"/>
    <w:rsid w:val="00416D73"/>
    <w:rsid w:val="00420E35"/>
    <w:rsid w:val="004210A8"/>
    <w:rsid w:val="00422403"/>
    <w:rsid w:val="00434A7C"/>
    <w:rsid w:val="004372DF"/>
    <w:rsid w:val="00441232"/>
    <w:rsid w:val="00443DE8"/>
    <w:rsid w:val="0045143A"/>
    <w:rsid w:val="00454D99"/>
    <w:rsid w:val="004650DD"/>
    <w:rsid w:val="00465E60"/>
    <w:rsid w:val="00480D9F"/>
    <w:rsid w:val="004839A0"/>
    <w:rsid w:val="004847F9"/>
    <w:rsid w:val="00486195"/>
    <w:rsid w:val="00486C56"/>
    <w:rsid w:val="004870E9"/>
    <w:rsid w:val="00487D3A"/>
    <w:rsid w:val="00490B7D"/>
    <w:rsid w:val="00490EB1"/>
    <w:rsid w:val="004A1167"/>
    <w:rsid w:val="004A3EA8"/>
    <w:rsid w:val="004A58F4"/>
    <w:rsid w:val="004B5703"/>
    <w:rsid w:val="004B716F"/>
    <w:rsid w:val="004C1369"/>
    <w:rsid w:val="004C47ED"/>
    <w:rsid w:val="004C74E8"/>
    <w:rsid w:val="004C769B"/>
    <w:rsid w:val="004D3048"/>
    <w:rsid w:val="004E0A04"/>
    <w:rsid w:val="004E1F8C"/>
    <w:rsid w:val="004E66D9"/>
    <w:rsid w:val="004F3B0D"/>
    <w:rsid w:val="004F4093"/>
    <w:rsid w:val="00506298"/>
    <w:rsid w:val="0050669D"/>
    <w:rsid w:val="00510B80"/>
    <w:rsid w:val="0051315E"/>
    <w:rsid w:val="005144A9"/>
    <w:rsid w:val="00514E1F"/>
    <w:rsid w:val="00521B1D"/>
    <w:rsid w:val="00522F03"/>
    <w:rsid w:val="00525026"/>
    <w:rsid w:val="005279FE"/>
    <w:rsid w:val="005305D5"/>
    <w:rsid w:val="00532E4C"/>
    <w:rsid w:val="00540D1E"/>
    <w:rsid w:val="0054187C"/>
    <w:rsid w:val="00541881"/>
    <w:rsid w:val="00543DD2"/>
    <w:rsid w:val="00551E38"/>
    <w:rsid w:val="005651C9"/>
    <w:rsid w:val="00565697"/>
    <w:rsid w:val="00565935"/>
    <w:rsid w:val="00567276"/>
    <w:rsid w:val="005755E2"/>
    <w:rsid w:val="005808A8"/>
    <w:rsid w:val="00584BE3"/>
    <w:rsid w:val="00584C53"/>
    <w:rsid w:val="005902FA"/>
    <w:rsid w:val="005913D6"/>
    <w:rsid w:val="00593050"/>
    <w:rsid w:val="00597005"/>
    <w:rsid w:val="005A295E"/>
    <w:rsid w:val="005D1879"/>
    <w:rsid w:val="005D38C8"/>
    <w:rsid w:val="005D79A3"/>
    <w:rsid w:val="005E61DD"/>
    <w:rsid w:val="005F7C12"/>
    <w:rsid w:val="00601594"/>
    <w:rsid w:val="006023DF"/>
    <w:rsid w:val="00604967"/>
    <w:rsid w:val="00606AB0"/>
    <w:rsid w:val="006115BE"/>
    <w:rsid w:val="00611EC8"/>
    <w:rsid w:val="00612AE0"/>
    <w:rsid w:val="00614771"/>
    <w:rsid w:val="006152B1"/>
    <w:rsid w:val="00617CA1"/>
    <w:rsid w:val="00620DD7"/>
    <w:rsid w:val="00634568"/>
    <w:rsid w:val="00637346"/>
    <w:rsid w:val="006570F3"/>
    <w:rsid w:val="00657DE0"/>
    <w:rsid w:val="00661450"/>
    <w:rsid w:val="00662D69"/>
    <w:rsid w:val="00674DFE"/>
    <w:rsid w:val="00677AEC"/>
    <w:rsid w:val="006908C5"/>
    <w:rsid w:val="0069168C"/>
    <w:rsid w:val="00692C06"/>
    <w:rsid w:val="00693FC1"/>
    <w:rsid w:val="00694047"/>
    <w:rsid w:val="006A2F5C"/>
    <w:rsid w:val="006A6E9B"/>
    <w:rsid w:val="006B623F"/>
    <w:rsid w:val="006B7107"/>
    <w:rsid w:val="006C198F"/>
    <w:rsid w:val="006C7089"/>
    <w:rsid w:val="006D2536"/>
    <w:rsid w:val="006E06B6"/>
    <w:rsid w:val="006F01D5"/>
    <w:rsid w:val="006F29B5"/>
    <w:rsid w:val="00700C5D"/>
    <w:rsid w:val="00702D51"/>
    <w:rsid w:val="00722AE2"/>
    <w:rsid w:val="007369D6"/>
    <w:rsid w:val="00763F4F"/>
    <w:rsid w:val="00765F0B"/>
    <w:rsid w:val="00775720"/>
    <w:rsid w:val="007917AE"/>
    <w:rsid w:val="0079376F"/>
    <w:rsid w:val="007A08B5"/>
    <w:rsid w:val="007A2D11"/>
    <w:rsid w:val="007A4C73"/>
    <w:rsid w:val="007A6DFF"/>
    <w:rsid w:val="007A78F0"/>
    <w:rsid w:val="007B0C43"/>
    <w:rsid w:val="007B4753"/>
    <w:rsid w:val="007C0C40"/>
    <w:rsid w:val="007C154B"/>
    <w:rsid w:val="007D7525"/>
    <w:rsid w:val="007E1225"/>
    <w:rsid w:val="007E74FA"/>
    <w:rsid w:val="007F35F8"/>
    <w:rsid w:val="0080115D"/>
    <w:rsid w:val="00801A6C"/>
    <w:rsid w:val="00805F1B"/>
    <w:rsid w:val="00811633"/>
    <w:rsid w:val="00811CF9"/>
    <w:rsid w:val="00812452"/>
    <w:rsid w:val="00815749"/>
    <w:rsid w:val="00817F0A"/>
    <w:rsid w:val="008364EC"/>
    <w:rsid w:val="00836AF7"/>
    <w:rsid w:val="0084041E"/>
    <w:rsid w:val="00845F45"/>
    <w:rsid w:val="00851C17"/>
    <w:rsid w:val="0085455C"/>
    <w:rsid w:val="00872FC8"/>
    <w:rsid w:val="00882DA1"/>
    <w:rsid w:val="008979D9"/>
    <w:rsid w:val="008A321D"/>
    <w:rsid w:val="008B43F2"/>
    <w:rsid w:val="008C2008"/>
    <w:rsid w:val="008C2E71"/>
    <w:rsid w:val="008C3257"/>
    <w:rsid w:val="008C401C"/>
    <w:rsid w:val="008D0322"/>
    <w:rsid w:val="008D08C9"/>
    <w:rsid w:val="008D3EF0"/>
    <w:rsid w:val="008E753C"/>
    <w:rsid w:val="008F4331"/>
    <w:rsid w:val="008F7DE4"/>
    <w:rsid w:val="00905439"/>
    <w:rsid w:val="00911424"/>
    <w:rsid w:val="009119CC"/>
    <w:rsid w:val="00913F6D"/>
    <w:rsid w:val="009168AD"/>
    <w:rsid w:val="00916AA5"/>
    <w:rsid w:val="00916CF5"/>
    <w:rsid w:val="0091753F"/>
    <w:rsid w:val="00917C0A"/>
    <w:rsid w:val="00926B62"/>
    <w:rsid w:val="00940BCD"/>
    <w:rsid w:val="00940E30"/>
    <w:rsid w:val="00941A02"/>
    <w:rsid w:val="009551D3"/>
    <w:rsid w:val="009568FF"/>
    <w:rsid w:val="0096134D"/>
    <w:rsid w:val="00966C93"/>
    <w:rsid w:val="00980635"/>
    <w:rsid w:val="00987FA4"/>
    <w:rsid w:val="0099235E"/>
    <w:rsid w:val="009923F0"/>
    <w:rsid w:val="00993E74"/>
    <w:rsid w:val="009A53C3"/>
    <w:rsid w:val="009B5CC2"/>
    <w:rsid w:val="009C2DC5"/>
    <w:rsid w:val="009D135B"/>
    <w:rsid w:val="009D1D2F"/>
    <w:rsid w:val="009D3D63"/>
    <w:rsid w:val="009E16A1"/>
    <w:rsid w:val="009E273E"/>
    <w:rsid w:val="009E34E5"/>
    <w:rsid w:val="009E41D9"/>
    <w:rsid w:val="009E5FC8"/>
    <w:rsid w:val="009F4424"/>
    <w:rsid w:val="00A01A83"/>
    <w:rsid w:val="00A117A3"/>
    <w:rsid w:val="00A131DD"/>
    <w:rsid w:val="00A138D0"/>
    <w:rsid w:val="00A141AF"/>
    <w:rsid w:val="00A14F37"/>
    <w:rsid w:val="00A17BF2"/>
    <w:rsid w:val="00A2044F"/>
    <w:rsid w:val="00A22117"/>
    <w:rsid w:val="00A24C88"/>
    <w:rsid w:val="00A27AD1"/>
    <w:rsid w:val="00A35741"/>
    <w:rsid w:val="00A4600A"/>
    <w:rsid w:val="00A5341C"/>
    <w:rsid w:val="00A53D3B"/>
    <w:rsid w:val="00A54A54"/>
    <w:rsid w:val="00A57C04"/>
    <w:rsid w:val="00A61057"/>
    <w:rsid w:val="00A6124E"/>
    <w:rsid w:val="00A710E7"/>
    <w:rsid w:val="00A7265D"/>
    <w:rsid w:val="00A804F4"/>
    <w:rsid w:val="00A81026"/>
    <w:rsid w:val="00A97EC0"/>
    <w:rsid w:val="00AA33EB"/>
    <w:rsid w:val="00AA644B"/>
    <w:rsid w:val="00AB3520"/>
    <w:rsid w:val="00AB695D"/>
    <w:rsid w:val="00AB7F36"/>
    <w:rsid w:val="00AC66E6"/>
    <w:rsid w:val="00AD496E"/>
    <w:rsid w:val="00AF2BE0"/>
    <w:rsid w:val="00AF3E39"/>
    <w:rsid w:val="00B055FA"/>
    <w:rsid w:val="00B06264"/>
    <w:rsid w:val="00B15272"/>
    <w:rsid w:val="00B156C7"/>
    <w:rsid w:val="00B16ECE"/>
    <w:rsid w:val="00B24E60"/>
    <w:rsid w:val="00B360FD"/>
    <w:rsid w:val="00B44CDA"/>
    <w:rsid w:val="00B468A2"/>
    <w:rsid w:val="00B468A6"/>
    <w:rsid w:val="00B66505"/>
    <w:rsid w:val="00B709B1"/>
    <w:rsid w:val="00B726AC"/>
    <w:rsid w:val="00B730BD"/>
    <w:rsid w:val="00B75113"/>
    <w:rsid w:val="00B81737"/>
    <w:rsid w:val="00B838AB"/>
    <w:rsid w:val="00B83F1B"/>
    <w:rsid w:val="00B9297A"/>
    <w:rsid w:val="00B94C99"/>
    <w:rsid w:val="00BA0F8B"/>
    <w:rsid w:val="00BA13A4"/>
    <w:rsid w:val="00BA1AA1"/>
    <w:rsid w:val="00BA2F60"/>
    <w:rsid w:val="00BA2FE5"/>
    <w:rsid w:val="00BA35DC"/>
    <w:rsid w:val="00BB6BE5"/>
    <w:rsid w:val="00BC0626"/>
    <w:rsid w:val="00BC25ED"/>
    <w:rsid w:val="00BC323B"/>
    <w:rsid w:val="00BC3354"/>
    <w:rsid w:val="00BC5313"/>
    <w:rsid w:val="00BC57DC"/>
    <w:rsid w:val="00BC7EF5"/>
    <w:rsid w:val="00BD0D2F"/>
    <w:rsid w:val="00BD1129"/>
    <w:rsid w:val="00BD3DA6"/>
    <w:rsid w:val="00BD7B88"/>
    <w:rsid w:val="00BE26F7"/>
    <w:rsid w:val="00BE6A62"/>
    <w:rsid w:val="00BF3014"/>
    <w:rsid w:val="00BF42DB"/>
    <w:rsid w:val="00BF4C19"/>
    <w:rsid w:val="00C03045"/>
    <w:rsid w:val="00C0572C"/>
    <w:rsid w:val="00C11603"/>
    <w:rsid w:val="00C132DC"/>
    <w:rsid w:val="00C20466"/>
    <w:rsid w:val="00C20AC8"/>
    <w:rsid w:val="00C266F4"/>
    <w:rsid w:val="00C324A8"/>
    <w:rsid w:val="00C52281"/>
    <w:rsid w:val="00C55231"/>
    <w:rsid w:val="00C56E7A"/>
    <w:rsid w:val="00C70534"/>
    <w:rsid w:val="00C779CE"/>
    <w:rsid w:val="00C916AF"/>
    <w:rsid w:val="00C966F3"/>
    <w:rsid w:val="00C97C13"/>
    <w:rsid w:val="00CA0C49"/>
    <w:rsid w:val="00CA3440"/>
    <w:rsid w:val="00CA3D57"/>
    <w:rsid w:val="00CA4439"/>
    <w:rsid w:val="00CA5B86"/>
    <w:rsid w:val="00CA67E6"/>
    <w:rsid w:val="00CA6B4E"/>
    <w:rsid w:val="00CB090F"/>
    <w:rsid w:val="00CC4106"/>
    <w:rsid w:val="00CC47C6"/>
    <w:rsid w:val="00CC4DE6"/>
    <w:rsid w:val="00CC75AE"/>
    <w:rsid w:val="00CD65CB"/>
    <w:rsid w:val="00CE5E47"/>
    <w:rsid w:val="00CF020F"/>
    <w:rsid w:val="00CF1305"/>
    <w:rsid w:val="00CF3D11"/>
    <w:rsid w:val="00CF58AE"/>
    <w:rsid w:val="00CF7461"/>
    <w:rsid w:val="00D0103A"/>
    <w:rsid w:val="00D1106F"/>
    <w:rsid w:val="00D11B7B"/>
    <w:rsid w:val="00D15B83"/>
    <w:rsid w:val="00D15D4F"/>
    <w:rsid w:val="00D2247B"/>
    <w:rsid w:val="00D27D4A"/>
    <w:rsid w:val="00D30123"/>
    <w:rsid w:val="00D37430"/>
    <w:rsid w:val="00D40929"/>
    <w:rsid w:val="00D40E22"/>
    <w:rsid w:val="00D5030E"/>
    <w:rsid w:val="00D51E55"/>
    <w:rsid w:val="00D53715"/>
    <w:rsid w:val="00D63A4A"/>
    <w:rsid w:val="00D67D16"/>
    <w:rsid w:val="00D708A5"/>
    <w:rsid w:val="00D75CC0"/>
    <w:rsid w:val="00D763BA"/>
    <w:rsid w:val="00D81829"/>
    <w:rsid w:val="00D864FF"/>
    <w:rsid w:val="00D87AB2"/>
    <w:rsid w:val="00DB37E5"/>
    <w:rsid w:val="00DC4BD1"/>
    <w:rsid w:val="00DE2EBA"/>
    <w:rsid w:val="00DE5D73"/>
    <w:rsid w:val="00DF3055"/>
    <w:rsid w:val="00DF3EFE"/>
    <w:rsid w:val="00DF5AE3"/>
    <w:rsid w:val="00E2253F"/>
    <w:rsid w:val="00E30E4C"/>
    <w:rsid w:val="00E3329F"/>
    <w:rsid w:val="00E432E2"/>
    <w:rsid w:val="00E43E99"/>
    <w:rsid w:val="00E5155F"/>
    <w:rsid w:val="00E52B88"/>
    <w:rsid w:val="00E62783"/>
    <w:rsid w:val="00E6457C"/>
    <w:rsid w:val="00E65919"/>
    <w:rsid w:val="00E773A6"/>
    <w:rsid w:val="00E809B6"/>
    <w:rsid w:val="00E82C79"/>
    <w:rsid w:val="00E976C1"/>
    <w:rsid w:val="00EA0C0C"/>
    <w:rsid w:val="00EB66F7"/>
    <w:rsid w:val="00ED5E3D"/>
    <w:rsid w:val="00ED6079"/>
    <w:rsid w:val="00EE3BD3"/>
    <w:rsid w:val="00EE77F7"/>
    <w:rsid w:val="00EF7A39"/>
    <w:rsid w:val="00F11B1F"/>
    <w:rsid w:val="00F1578A"/>
    <w:rsid w:val="00F21153"/>
    <w:rsid w:val="00F21A03"/>
    <w:rsid w:val="00F22450"/>
    <w:rsid w:val="00F33B22"/>
    <w:rsid w:val="00F57774"/>
    <w:rsid w:val="00F6159C"/>
    <w:rsid w:val="00F640A0"/>
    <w:rsid w:val="00F65316"/>
    <w:rsid w:val="00F653F2"/>
    <w:rsid w:val="00F65C19"/>
    <w:rsid w:val="00F70F0D"/>
    <w:rsid w:val="00F72237"/>
    <w:rsid w:val="00F725D7"/>
    <w:rsid w:val="00F761D2"/>
    <w:rsid w:val="00F85C9F"/>
    <w:rsid w:val="00F91583"/>
    <w:rsid w:val="00F97203"/>
    <w:rsid w:val="00FA18CD"/>
    <w:rsid w:val="00FA4C68"/>
    <w:rsid w:val="00FA52E5"/>
    <w:rsid w:val="00FA564A"/>
    <w:rsid w:val="00FB0E07"/>
    <w:rsid w:val="00FB67E5"/>
    <w:rsid w:val="00FC0488"/>
    <w:rsid w:val="00FC1D05"/>
    <w:rsid w:val="00FC2A06"/>
    <w:rsid w:val="00FC63FD"/>
    <w:rsid w:val="00FD18DB"/>
    <w:rsid w:val="00FD1FED"/>
    <w:rsid w:val="00FD51E3"/>
    <w:rsid w:val="00FE0F4B"/>
    <w:rsid w:val="00FE344F"/>
    <w:rsid w:val="00FE34E7"/>
    <w:rsid w:val="00FE4DF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4764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dpstylecall">
    <w:name w:val="dpstylecall"/>
    <w:basedOn w:val="Normal"/>
    <w:rsid w:val="00BA2F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A2F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annexno">
    <w:name w:val="dpstyleannexno"/>
    <w:basedOn w:val="Normal"/>
    <w:rsid w:val="00BC7EF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annextitle">
    <w:name w:val="dpstyleannextitle"/>
    <w:basedOn w:val="Normal"/>
    <w:rsid w:val="00BC7EF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6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9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6F76-8114-4870-8E61-3FFDE4BFF1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396894-73E5-4C56-83EC-D95676119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E1FD-98F9-46A9-9EB0-9F5161FFC44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30ECB9-F8B9-49AA-ACBE-0D972FD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6E9355-CEE8-4B4A-A4D5-F8F57356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1817</Words>
  <Characters>11983</Characters>
  <Application>Microsoft Office Word</Application>
  <DocSecurity>0</DocSecurity>
  <Lines>214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R16-WRC19-C-0011!A24-A2!MSW-R</vt:lpstr>
    </vt:vector>
  </TitlesOfParts>
  <Manager>General Secretariat - Pool</Manager>
  <Company>International Telecommunication Union (ITU)</Company>
  <LinksUpToDate>false</LinksUpToDate>
  <CharactersWithSpaces>13721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R16-WRC19-C-0011!A24-A2!MSW-R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15</cp:revision>
  <cp:lastPrinted>2019-10-15T07:58:00Z</cp:lastPrinted>
  <dcterms:created xsi:type="dcterms:W3CDTF">2019-10-06T18:38:00Z</dcterms:created>
  <dcterms:modified xsi:type="dcterms:W3CDTF">2019-10-15T07:58:00Z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