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DD20969" w14:textId="77777777" w:rsidTr="003F6B50">
        <w:trPr>
          <w:cantSplit/>
        </w:trPr>
        <w:tc>
          <w:tcPr>
            <w:tcW w:w="6911" w:type="dxa"/>
          </w:tcPr>
          <w:p w14:paraId="0CBFEE6B" w14:textId="77777777" w:rsidR="00BB1D82" w:rsidRPr="00930FFD" w:rsidRDefault="00851625" w:rsidP="006908DA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A2A24C9" w14:textId="77777777" w:rsidR="00BB1D82" w:rsidRPr="002A6F8F" w:rsidRDefault="000A55AE" w:rsidP="006908DA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A56147B" wp14:editId="635C9B3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6F0F2A5" w14:textId="77777777" w:rsidTr="003F6B5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DBFEB8A" w14:textId="77777777" w:rsidR="00BB1D82" w:rsidRPr="002A6F8F" w:rsidRDefault="00BB1D82" w:rsidP="006908DA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6BC0AA3" w14:textId="77777777" w:rsidR="00BB1D82" w:rsidRPr="002A6F8F" w:rsidRDefault="00BB1D82" w:rsidP="006908DA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03A6D2D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4997F34" w14:textId="77777777" w:rsidR="00BB1D82" w:rsidRPr="002A6F8F" w:rsidRDefault="00BB1D82" w:rsidP="006908D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FB1D0E0" w14:textId="77777777" w:rsidR="00BB1D82" w:rsidRPr="002A6F8F" w:rsidRDefault="00BB1D82" w:rsidP="006908DA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0D5B3E63" w14:textId="77777777" w:rsidTr="00BB1D82">
        <w:trPr>
          <w:cantSplit/>
        </w:trPr>
        <w:tc>
          <w:tcPr>
            <w:tcW w:w="6911" w:type="dxa"/>
          </w:tcPr>
          <w:p w14:paraId="31F2E45C" w14:textId="77777777" w:rsidR="00BB1D82" w:rsidRPr="00930FFD" w:rsidRDefault="006D4724" w:rsidP="006908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4E2F72FD" w14:textId="77777777" w:rsidR="00BB1D82" w:rsidRPr="00BD4709" w:rsidRDefault="006D4724" w:rsidP="006908DA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D4709">
              <w:rPr>
                <w:rFonts w:ascii="Verdana" w:hAnsi="Verdana"/>
                <w:b/>
                <w:sz w:val="20"/>
                <w:lang w:val="fr-CH"/>
              </w:rPr>
              <w:t>Addendum 2 au</w:t>
            </w:r>
            <w:r w:rsidRPr="00BD4709">
              <w:rPr>
                <w:rFonts w:ascii="Verdana" w:hAnsi="Verdana"/>
                <w:b/>
                <w:sz w:val="20"/>
                <w:lang w:val="fr-CH"/>
              </w:rPr>
              <w:br/>
              <w:t>Document 11(Add.</w:t>
            </w:r>
            <w:proofErr w:type="gramStart"/>
            <w:r w:rsidRPr="00BD4709">
              <w:rPr>
                <w:rFonts w:ascii="Verdana" w:hAnsi="Verdana"/>
                <w:b/>
                <w:sz w:val="20"/>
                <w:lang w:val="fr-CH"/>
              </w:rPr>
              <w:t>24)</w:t>
            </w:r>
            <w:r w:rsidR="00BB1D82" w:rsidRPr="00BD4709">
              <w:rPr>
                <w:rFonts w:ascii="Verdana" w:hAnsi="Verdana"/>
                <w:b/>
                <w:sz w:val="20"/>
                <w:lang w:val="fr-CH"/>
              </w:rPr>
              <w:t>-</w:t>
            </w:r>
            <w:proofErr w:type="gramEnd"/>
            <w:r w:rsidRPr="00BD470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6620AD5D" w14:textId="77777777" w:rsidTr="00BB1D82">
        <w:trPr>
          <w:cantSplit/>
        </w:trPr>
        <w:tc>
          <w:tcPr>
            <w:tcW w:w="6911" w:type="dxa"/>
          </w:tcPr>
          <w:p w14:paraId="007513B7" w14:textId="77777777" w:rsidR="00690C7B" w:rsidRPr="00BD4709" w:rsidRDefault="00690C7B" w:rsidP="006908D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6820C5A" w14:textId="77777777" w:rsidR="00690C7B" w:rsidRPr="002A6F8F" w:rsidRDefault="00690C7B" w:rsidP="006908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2019</w:t>
            </w:r>
          </w:p>
        </w:tc>
      </w:tr>
      <w:tr w:rsidR="00690C7B" w:rsidRPr="002A6F8F" w14:paraId="2EDF1070" w14:textId="77777777" w:rsidTr="00BB1D82">
        <w:trPr>
          <w:cantSplit/>
        </w:trPr>
        <w:tc>
          <w:tcPr>
            <w:tcW w:w="6911" w:type="dxa"/>
          </w:tcPr>
          <w:p w14:paraId="0EA7B7DF" w14:textId="77777777" w:rsidR="00690C7B" w:rsidRPr="002A6F8F" w:rsidRDefault="00690C7B" w:rsidP="006908D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345912B" w14:textId="215967E2" w:rsidR="00690C7B" w:rsidRPr="002A6F8F" w:rsidRDefault="00690C7B" w:rsidP="006908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  <w:r w:rsidR="00913C9C">
              <w:rPr>
                <w:rFonts w:ascii="Verdana" w:hAnsi="Verdana"/>
                <w:b/>
                <w:sz w:val="20"/>
                <w:lang w:val="en-US"/>
              </w:rPr>
              <w:t>/</w:t>
            </w:r>
            <w:proofErr w:type="spellStart"/>
            <w:r w:rsidR="00913C9C">
              <w:rPr>
                <w:rFonts w:ascii="Verdana" w:hAnsi="Verdana"/>
                <w:b/>
                <w:sz w:val="20"/>
                <w:lang w:val="en-US"/>
              </w:rPr>
              <w:t>espagnol</w:t>
            </w:r>
            <w:proofErr w:type="spellEnd"/>
          </w:p>
        </w:tc>
      </w:tr>
      <w:tr w:rsidR="00690C7B" w:rsidRPr="002A6F8F" w14:paraId="46631C89" w14:textId="77777777" w:rsidTr="003F6B50">
        <w:trPr>
          <w:cantSplit/>
        </w:trPr>
        <w:tc>
          <w:tcPr>
            <w:tcW w:w="10031" w:type="dxa"/>
            <w:gridSpan w:val="2"/>
          </w:tcPr>
          <w:p w14:paraId="3E866F28" w14:textId="77777777" w:rsidR="00690C7B" w:rsidRPr="002A6F8F" w:rsidRDefault="00690C7B" w:rsidP="006908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3D21D71D" w14:textId="77777777" w:rsidTr="003F6B50">
        <w:trPr>
          <w:cantSplit/>
        </w:trPr>
        <w:tc>
          <w:tcPr>
            <w:tcW w:w="10031" w:type="dxa"/>
            <w:gridSpan w:val="2"/>
          </w:tcPr>
          <w:p w14:paraId="634A86CA" w14:textId="77777777" w:rsidR="00690C7B" w:rsidRPr="00BD4709" w:rsidRDefault="00690C7B" w:rsidP="006908DA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D4709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723290" w14:paraId="60B75D32" w14:textId="77777777" w:rsidTr="003F6B50">
        <w:trPr>
          <w:cantSplit/>
        </w:trPr>
        <w:tc>
          <w:tcPr>
            <w:tcW w:w="10031" w:type="dxa"/>
            <w:gridSpan w:val="2"/>
          </w:tcPr>
          <w:p w14:paraId="5646444F" w14:textId="43111372" w:rsidR="00690C7B" w:rsidRPr="00723290" w:rsidRDefault="00723290" w:rsidP="006908DA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>
              <w:rPr>
                <w:color w:val="000000"/>
              </w:rPr>
              <w:t>propositions pour les travaux de la conférence</w:t>
            </w:r>
          </w:p>
        </w:tc>
      </w:tr>
      <w:tr w:rsidR="00690C7B" w:rsidRPr="00723290" w14:paraId="290DD5F1" w14:textId="77777777" w:rsidTr="003F6B50">
        <w:trPr>
          <w:cantSplit/>
        </w:trPr>
        <w:tc>
          <w:tcPr>
            <w:tcW w:w="10031" w:type="dxa"/>
            <w:gridSpan w:val="2"/>
          </w:tcPr>
          <w:p w14:paraId="757F207A" w14:textId="77777777" w:rsidR="00690C7B" w:rsidRPr="00723290" w:rsidRDefault="00690C7B" w:rsidP="006908DA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1C315713" w14:textId="77777777" w:rsidTr="003F6B50">
        <w:trPr>
          <w:cantSplit/>
        </w:trPr>
        <w:tc>
          <w:tcPr>
            <w:tcW w:w="10031" w:type="dxa"/>
            <w:gridSpan w:val="2"/>
          </w:tcPr>
          <w:p w14:paraId="12D54E81" w14:textId="77777777" w:rsidR="00690C7B" w:rsidRDefault="00690C7B" w:rsidP="006908DA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l'ordre du jour</w:t>
            </w:r>
          </w:p>
        </w:tc>
      </w:tr>
    </w:tbl>
    <w:bookmarkEnd w:id="5"/>
    <w:p w14:paraId="0AA2A7A2" w14:textId="77777777" w:rsidR="003F6B50" w:rsidRDefault="00C3189E" w:rsidP="00C03DA5">
      <w:r w:rsidRPr="009B46DD">
        <w:t>10</w:t>
      </w:r>
      <w:r w:rsidRPr="009B46DD">
        <w:tab/>
        <w:t xml:space="preserve">recommander au Conseil des points à inscrire à l'ordre du jour de la CMR suivante et exposer ses vues sur l'ordre du jour préliminaire de la conférence ultérieure ainsi que sur des points éventuels à inscrire à </w:t>
      </w:r>
      <w:r w:rsidRPr="00B9116D">
        <w:rPr>
          <w:color w:val="000000" w:themeColor="text1"/>
        </w:rPr>
        <w:t xml:space="preserve">l'ordre du </w:t>
      </w:r>
      <w:r w:rsidRPr="009B46DD">
        <w:t>jour de conférences futures, conformément à l'article 7 de la Convention,</w:t>
      </w:r>
    </w:p>
    <w:p w14:paraId="579E6A60" w14:textId="318064B5" w:rsidR="0039008D" w:rsidRPr="00D04C97" w:rsidRDefault="00723290" w:rsidP="00C03DA5">
      <w:pPr>
        <w:pStyle w:val="Headingb"/>
        <w:rPr>
          <w:lang w:val="en-US"/>
        </w:rPr>
      </w:pPr>
      <w:r>
        <w:rPr>
          <w:lang w:val="en-US"/>
        </w:rPr>
        <w:t>Rappel</w:t>
      </w:r>
    </w:p>
    <w:p w14:paraId="7363BEA3" w14:textId="40ECEDAC" w:rsidR="0039008D" w:rsidRPr="002C34A9" w:rsidRDefault="00723290" w:rsidP="00C03DA5">
      <w:pPr>
        <w:rPr>
          <w:lang w:val="fr-CH"/>
        </w:rPr>
      </w:pPr>
      <w:r w:rsidRPr="000D37FC">
        <w:rPr>
          <w:lang w:val="fr-CH"/>
        </w:rPr>
        <w:t>La</w:t>
      </w:r>
      <w:r w:rsidR="0039008D" w:rsidRPr="000D37FC">
        <w:rPr>
          <w:lang w:val="fr-CH"/>
        </w:rPr>
        <w:t xml:space="preserve"> </w:t>
      </w:r>
      <w:r w:rsidRPr="000D37FC">
        <w:rPr>
          <w:lang w:val="fr-CH"/>
        </w:rPr>
        <w:t>CMR</w:t>
      </w:r>
      <w:r w:rsidR="0039008D" w:rsidRPr="000D37FC">
        <w:rPr>
          <w:lang w:val="fr-CH"/>
        </w:rPr>
        <w:t>-2000</w:t>
      </w:r>
      <w:r w:rsidRPr="000D37FC">
        <w:rPr>
          <w:lang w:val="fr-CH"/>
        </w:rPr>
        <w:t xml:space="preserve"> a </w:t>
      </w:r>
      <w:r w:rsidR="00B57258">
        <w:rPr>
          <w:lang w:val="fr-CH"/>
        </w:rPr>
        <w:t>adopté</w:t>
      </w:r>
      <w:r w:rsidR="00B57258" w:rsidRPr="000D37FC">
        <w:rPr>
          <w:lang w:val="fr-CH"/>
        </w:rPr>
        <w:t xml:space="preserve"> </w:t>
      </w:r>
      <w:r w:rsidRPr="000D37FC">
        <w:rPr>
          <w:lang w:val="fr-CH"/>
        </w:rPr>
        <w:t xml:space="preserve">le numéro </w:t>
      </w:r>
      <w:r w:rsidR="0039008D" w:rsidRPr="000D37FC">
        <w:rPr>
          <w:b/>
          <w:lang w:val="fr-CH"/>
        </w:rPr>
        <w:t>5.388A</w:t>
      </w:r>
      <w:r w:rsidRPr="000D37FC">
        <w:rPr>
          <w:lang w:val="fr-CH"/>
        </w:rPr>
        <w:t xml:space="preserve"> </w:t>
      </w:r>
      <w:r w:rsidR="00B57258">
        <w:rPr>
          <w:lang w:val="fr-CH"/>
        </w:rPr>
        <w:t xml:space="preserve">pour permettre l'utilisation des </w:t>
      </w:r>
      <w:r w:rsidRPr="000D37FC">
        <w:rPr>
          <w:lang w:val="fr-CH"/>
        </w:rPr>
        <w:t>bandes 1 885-1 980 MHz, 2 010-2 025 MHz et</w:t>
      </w:r>
      <w:r w:rsidR="00430C67">
        <w:rPr>
          <w:lang w:val="fr-CH"/>
        </w:rPr>
        <w:t xml:space="preserve"> </w:t>
      </w:r>
      <w:r w:rsidRPr="000D37FC">
        <w:rPr>
          <w:lang w:val="fr-CH"/>
        </w:rPr>
        <w:t>2 110-2 170 MHz en R</w:t>
      </w:r>
      <w:r w:rsidR="000D37FC" w:rsidRPr="000D37FC">
        <w:rPr>
          <w:lang w:val="fr-CH"/>
        </w:rPr>
        <w:t>é</w:t>
      </w:r>
      <w:r w:rsidRPr="000D37FC">
        <w:rPr>
          <w:lang w:val="fr-CH"/>
        </w:rPr>
        <w:t>gion</w:t>
      </w:r>
      <w:r w:rsidR="000D37FC" w:rsidRPr="000D37FC">
        <w:rPr>
          <w:lang w:val="fr-CH"/>
        </w:rPr>
        <w:t>s</w:t>
      </w:r>
      <w:r w:rsidRPr="000D37FC">
        <w:rPr>
          <w:lang w:val="fr-CH"/>
        </w:rPr>
        <w:t xml:space="preserve"> 1</w:t>
      </w:r>
      <w:r w:rsidR="000D37FC" w:rsidRPr="000D37FC">
        <w:rPr>
          <w:lang w:val="fr-CH"/>
        </w:rPr>
        <w:t xml:space="preserve"> et 3 et </w:t>
      </w:r>
      <w:r w:rsidR="00B57258">
        <w:rPr>
          <w:lang w:val="fr-CH"/>
        </w:rPr>
        <w:t>des</w:t>
      </w:r>
      <w:r w:rsidR="00B57258" w:rsidRPr="000D37FC">
        <w:rPr>
          <w:lang w:val="fr-CH"/>
        </w:rPr>
        <w:t xml:space="preserve"> </w:t>
      </w:r>
      <w:r w:rsidR="000D37FC" w:rsidRPr="000D37FC">
        <w:rPr>
          <w:lang w:val="fr-CH"/>
        </w:rPr>
        <w:t>bandes 1 885-1 980</w:t>
      </w:r>
      <w:r w:rsidR="0034097A">
        <w:rPr>
          <w:lang w:val="fr-CH"/>
        </w:rPr>
        <w:t> </w:t>
      </w:r>
      <w:r w:rsidR="000D37FC" w:rsidRPr="000D37FC">
        <w:rPr>
          <w:lang w:val="fr-CH"/>
        </w:rPr>
        <w:t>MHz et</w:t>
      </w:r>
      <w:r w:rsidR="00C60CC0">
        <w:rPr>
          <w:lang w:val="fr-CH"/>
        </w:rPr>
        <w:t xml:space="preserve"> </w:t>
      </w:r>
      <w:r w:rsidR="000D37FC" w:rsidRPr="000D37FC">
        <w:rPr>
          <w:lang w:val="fr-CH"/>
        </w:rPr>
        <w:t>2</w:t>
      </w:r>
      <w:r w:rsidR="00A45C6B">
        <w:rPr>
          <w:lang w:val="fr-CH"/>
        </w:rPr>
        <w:t> </w:t>
      </w:r>
      <w:r w:rsidR="000D37FC" w:rsidRPr="000D37FC">
        <w:rPr>
          <w:lang w:val="fr-CH"/>
        </w:rPr>
        <w:t>110</w:t>
      </w:r>
      <w:r w:rsidR="00A45C6B">
        <w:rPr>
          <w:lang w:val="fr-CH"/>
        </w:rPr>
        <w:noBreakHyphen/>
      </w:r>
      <w:r w:rsidR="000D37FC" w:rsidRPr="000D37FC">
        <w:rPr>
          <w:lang w:val="fr-CH"/>
        </w:rPr>
        <w:t>2</w:t>
      </w:r>
      <w:r w:rsidR="00C60CC0">
        <w:rPr>
          <w:lang w:val="fr-CH"/>
        </w:rPr>
        <w:t> </w:t>
      </w:r>
      <w:r w:rsidR="000D37FC" w:rsidRPr="000D37FC">
        <w:rPr>
          <w:lang w:val="fr-CH"/>
        </w:rPr>
        <w:t>160</w:t>
      </w:r>
      <w:r w:rsidR="0034097A">
        <w:rPr>
          <w:lang w:val="fr-CH"/>
        </w:rPr>
        <w:t> </w:t>
      </w:r>
      <w:r w:rsidR="000D37FC" w:rsidRPr="000D37FC">
        <w:rPr>
          <w:lang w:val="fr-CH"/>
        </w:rPr>
        <w:t>MHz en Région 2</w:t>
      </w:r>
      <w:r w:rsidR="00C60CC0">
        <w:rPr>
          <w:lang w:val="fr-CH"/>
        </w:rPr>
        <w:t xml:space="preserve"> </w:t>
      </w:r>
      <w:r w:rsidR="000D37FC" w:rsidRPr="000D37FC">
        <w:rPr>
          <w:lang w:val="fr-CH"/>
        </w:rPr>
        <w:t xml:space="preserve">par les </w:t>
      </w:r>
      <w:r w:rsidRPr="000D37FC">
        <w:rPr>
          <w:color w:val="000000"/>
          <w:lang w:val="fr-CH"/>
        </w:rPr>
        <w:t xml:space="preserve">stations de base IMT </w:t>
      </w:r>
      <w:r w:rsidR="000D37FC" w:rsidRPr="000D37FC">
        <w:rPr>
          <w:color w:val="000000"/>
          <w:lang w:val="fr-CH"/>
        </w:rPr>
        <w:t xml:space="preserve">placées sur des plates-formes </w:t>
      </w:r>
      <w:r w:rsidRPr="000D37FC">
        <w:rPr>
          <w:color w:val="000000"/>
          <w:lang w:val="fr-CH"/>
        </w:rPr>
        <w:t>à haute altitude</w:t>
      </w:r>
      <w:r w:rsidR="000D37FC" w:rsidRPr="000D37FC">
        <w:rPr>
          <w:lang w:val="fr-CH"/>
        </w:rPr>
        <w:t>. En outre, dans</w:t>
      </w:r>
      <w:r w:rsidR="00430C67">
        <w:rPr>
          <w:lang w:val="fr-CH"/>
        </w:rPr>
        <w:t xml:space="preserve"> </w:t>
      </w:r>
      <w:r w:rsidR="000D37FC" w:rsidRPr="000D37FC">
        <w:rPr>
          <w:lang w:val="fr-CH"/>
        </w:rPr>
        <w:t xml:space="preserve">la Résolution </w:t>
      </w:r>
      <w:r w:rsidR="0039008D" w:rsidRPr="000D37FC">
        <w:rPr>
          <w:b/>
          <w:lang w:val="fr-CH"/>
        </w:rPr>
        <w:t>221 (</w:t>
      </w:r>
      <w:r w:rsidRPr="000D37FC">
        <w:rPr>
          <w:b/>
          <w:lang w:val="fr-CH"/>
        </w:rPr>
        <w:t>Rév</w:t>
      </w:r>
      <w:r w:rsidR="0039008D" w:rsidRPr="000D37FC">
        <w:rPr>
          <w:b/>
          <w:lang w:val="fr-CH"/>
        </w:rPr>
        <w:t>.</w:t>
      </w:r>
      <w:r w:rsidRPr="000D37FC">
        <w:rPr>
          <w:b/>
          <w:lang w:val="fr-CH"/>
        </w:rPr>
        <w:t>CMR</w:t>
      </w:r>
      <w:r w:rsidR="0039008D" w:rsidRPr="000D37FC">
        <w:rPr>
          <w:b/>
          <w:lang w:val="fr-CH"/>
        </w:rPr>
        <w:t>-07)</w:t>
      </w:r>
      <w:r w:rsidR="000D37FC" w:rsidRPr="00430C67">
        <w:rPr>
          <w:bCs/>
          <w:lang w:val="fr-CH"/>
        </w:rPr>
        <w:t xml:space="preserve">, </w:t>
      </w:r>
      <w:r w:rsidR="000D37FC" w:rsidRPr="000D37FC">
        <w:rPr>
          <w:bCs/>
          <w:lang w:val="fr-CH"/>
        </w:rPr>
        <w:t xml:space="preserve">la CMR </w:t>
      </w:r>
      <w:r w:rsidR="000D37FC">
        <w:rPr>
          <w:bCs/>
          <w:lang w:val="fr-CH"/>
        </w:rPr>
        <w:t xml:space="preserve">a </w:t>
      </w:r>
      <w:r w:rsidR="000D37FC" w:rsidRPr="000D37FC">
        <w:rPr>
          <w:bCs/>
          <w:lang w:val="fr-CH"/>
        </w:rPr>
        <w:t>défini</w:t>
      </w:r>
      <w:r w:rsidR="00430C67">
        <w:rPr>
          <w:bCs/>
          <w:lang w:val="fr-CH"/>
        </w:rPr>
        <w:t xml:space="preserve"> </w:t>
      </w:r>
      <w:r w:rsidR="000D37FC" w:rsidRPr="000D37FC">
        <w:rPr>
          <w:bCs/>
          <w:lang w:val="fr-CH"/>
        </w:rPr>
        <w:t>les conditions techniques nécessaires pour garantir la</w:t>
      </w:r>
      <w:r w:rsidR="00430C67">
        <w:rPr>
          <w:bCs/>
          <w:lang w:val="fr-CH"/>
        </w:rPr>
        <w:t xml:space="preserve"> </w:t>
      </w:r>
      <w:r w:rsidR="000D37FC" w:rsidRPr="000D37FC">
        <w:rPr>
          <w:color w:val="000000"/>
          <w:lang w:val="fr-CH"/>
        </w:rPr>
        <w:t>protection des stations au sol</w:t>
      </w:r>
      <w:r w:rsidR="0039008D" w:rsidRPr="000D37FC">
        <w:rPr>
          <w:lang w:val="fr-CH"/>
        </w:rPr>
        <w:t xml:space="preserve"> IMT</w:t>
      </w:r>
      <w:r w:rsidR="000D37FC">
        <w:rPr>
          <w:lang w:val="fr-CH"/>
        </w:rPr>
        <w:t xml:space="preserve"> dans les pays voisins, ainsi que celle des autres services ayant des attributions dans ces bandes, vis-à-vis des émissions provenant de stations de base IMT placées sur des plates-formes à haute altitude.</w:t>
      </w:r>
    </w:p>
    <w:p w14:paraId="54956448" w14:textId="78473476" w:rsidR="0039008D" w:rsidRPr="00C213EA" w:rsidRDefault="002C34A9" w:rsidP="00C03DA5">
      <w:pPr>
        <w:rPr>
          <w:lang w:val="fr-CH"/>
        </w:rPr>
      </w:pPr>
      <w:r>
        <w:rPr>
          <w:lang w:val="fr-CH"/>
        </w:rPr>
        <w:t xml:space="preserve">Depuis </w:t>
      </w:r>
      <w:r w:rsidR="00C60CC0">
        <w:rPr>
          <w:lang w:val="fr-CH"/>
        </w:rPr>
        <w:t>l'</w:t>
      </w:r>
      <w:r>
        <w:rPr>
          <w:lang w:val="fr-CH"/>
        </w:rPr>
        <w:t>adoption de cette disposition en 2000, les systèmes IMT ont considérablement évolué</w:t>
      </w:r>
      <w:r w:rsidR="00B517EF">
        <w:rPr>
          <w:lang w:val="fr-CH"/>
        </w:rPr>
        <w:t>,</w:t>
      </w:r>
      <w:r>
        <w:rPr>
          <w:lang w:val="fr-CH"/>
        </w:rPr>
        <w:t xml:space="preserve"> </w:t>
      </w:r>
      <w:r w:rsidR="00C213EA">
        <w:rPr>
          <w:lang w:val="fr-CH"/>
        </w:rPr>
        <w:t xml:space="preserve">tant sur le plan </w:t>
      </w:r>
      <w:r>
        <w:rPr>
          <w:lang w:val="fr-CH"/>
        </w:rPr>
        <w:t xml:space="preserve">de </w:t>
      </w:r>
      <w:r w:rsidR="00C60CC0">
        <w:rPr>
          <w:lang w:val="fr-CH"/>
        </w:rPr>
        <w:t>l'</w:t>
      </w:r>
      <w:r>
        <w:rPr>
          <w:lang w:val="fr-CH"/>
        </w:rPr>
        <w:t>identification de bandes de fréquences</w:t>
      </w:r>
      <w:r w:rsidR="00C213EA">
        <w:rPr>
          <w:lang w:val="fr-CH"/>
        </w:rPr>
        <w:t xml:space="preserve"> que </w:t>
      </w:r>
      <w:r>
        <w:rPr>
          <w:lang w:val="fr-CH"/>
        </w:rPr>
        <w:t xml:space="preserve">du </w:t>
      </w:r>
      <w:r w:rsidR="00B57258">
        <w:rPr>
          <w:lang w:val="fr-CH"/>
        </w:rPr>
        <w:t>point de vue du</w:t>
      </w:r>
      <w:r w:rsidR="00C60CC0">
        <w:rPr>
          <w:lang w:val="fr-CH"/>
        </w:rPr>
        <w:t xml:space="preserve"> </w:t>
      </w:r>
      <w:r>
        <w:rPr>
          <w:lang w:val="fr-CH"/>
        </w:rPr>
        <w:t>déploiement des réseaux</w:t>
      </w:r>
      <w:r w:rsidR="00430C67">
        <w:rPr>
          <w:lang w:val="fr-CH"/>
        </w:rPr>
        <w:t xml:space="preserve"> </w:t>
      </w:r>
      <w:r>
        <w:rPr>
          <w:lang w:val="fr-CH"/>
        </w:rPr>
        <w:t xml:space="preserve">et des technologies </w:t>
      </w:r>
      <w:r w:rsidR="00C60CC0">
        <w:rPr>
          <w:lang w:val="fr-CH"/>
        </w:rPr>
        <w:t>d'</w:t>
      </w:r>
      <w:r>
        <w:rPr>
          <w:lang w:val="fr-CH"/>
        </w:rPr>
        <w:t xml:space="preserve">accès </w:t>
      </w:r>
      <w:r>
        <w:rPr>
          <w:color w:val="000000"/>
        </w:rPr>
        <w:t>hertzien</w:t>
      </w:r>
      <w:r>
        <w:rPr>
          <w:lang w:val="fr-CH"/>
        </w:rPr>
        <w:t>,</w:t>
      </w:r>
      <w:r w:rsidR="00B517EF">
        <w:rPr>
          <w:lang w:val="fr-CH"/>
        </w:rPr>
        <w:t xml:space="preserve"> </w:t>
      </w:r>
      <w:r w:rsidR="00B57258">
        <w:rPr>
          <w:lang w:val="fr-CH"/>
        </w:rPr>
        <w:t>par suite</w:t>
      </w:r>
      <w:r w:rsidR="00B517EF">
        <w:rPr>
          <w:lang w:val="fr-CH"/>
        </w:rPr>
        <w:t xml:space="preserve"> de la normalisation des</w:t>
      </w:r>
      <w:r w:rsidR="00430C67">
        <w:rPr>
          <w:lang w:val="fr-CH"/>
        </w:rPr>
        <w:t xml:space="preserve"> </w:t>
      </w:r>
      <w:r w:rsidR="00B517EF">
        <w:rPr>
          <w:color w:val="000000"/>
        </w:rPr>
        <w:t>IMT-évoluées</w:t>
      </w:r>
      <w:r w:rsidR="00B517EF">
        <w:rPr>
          <w:lang w:val="fr-CH"/>
        </w:rPr>
        <w:t xml:space="preserve"> et des </w:t>
      </w:r>
      <w:r w:rsidR="0039008D" w:rsidRPr="002C34A9">
        <w:rPr>
          <w:lang w:val="fr-CH"/>
        </w:rPr>
        <w:t xml:space="preserve">IMT-2020. </w:t>
      </w:r>
      <w:r w:rsidR="00B517EF" w:rsidRPr="00B517EF">
        <w:rPr>
          <w:lang w:val="fr-CH"/>
        </w:rPr>
        <w:t xml:space="preserve">Compte tenu de cette évolution, le moment est </w:t>
      </w:r>
      <w:r w:rsidR="00C213EA" w:rsidRPr="00C213EA">
        <w:rPr>
          <w:lang w:val="fr-CH"/>
        </w:rPr>
        <w:t xml:space="preserve">désormais </w:t>
      </w:r>
      <w:r w:rsidR="00B517EF" w:rsidRPr="00B517EF">
        <w:rPr>
          <w:lang w:val="fr-CH"/>
        </w:rPr>
        <w:t>venu d</w:t>
      </w:r>
      <w:r w:rsidR="00B517EF">
        <w:rPr>
          <w:lang w:val="fr-CH"/>
        </w:rPr>
        <w:t>e ré</w:t>
      </w:r>
      <w:r w:rsidR="00B517EF" w:rsidRPr="00B517EF">
        <w:rPr>
          <w:lang w:val="fr-CH"/>
        </w:rPr>
        <w:t xml:space="preserve">examiner les dispositions existantes du Règlement des radiocommunications (RR) de </w:t>
      </w:r>
      <w:r w:rsidR="00C60CC0">
        <w:rPr>
          <w:lang w:val="fr-CH"/>
        </w:rPr>
        <w:t>l'</w:t>
      </w:r>
      <w:r w:rsidR="00B517EF" w:rsidRPr="00B517EF">
        <w:rPr>
          <w:lang w:val="fr-CH"/>
        </w:rPr>
        <w:t>UIT</w:t>
      </w:r>
      <w:r w:rsidR="00B517EF">
        <w:rPr>
          <w:lang w:val="fr-CH"/>
        </w:rPr>
        <w:t xml:space="preserve">, afin </w:t>
      </w:r>
      <w:r w:rsidR="00B57258">
        <w:rPr>
          <w:lang w:val="fr-CH"/>
        </w:rPr>
        <w:t xml:space="preserve">de </w:t>
      </w:r>
      <w:r w:rsidR="00B517EF">
        <w:rPr>
          <w:lang w:val="fr-CH"/>
        </w:rPr>
        <w:t>ménager la même souplesse que celle qui est prévue au numéro</w:t>
      </w:r>
      <w:r w:rsidR="00430C67">
        <w:rPr>
          <w:lang w:val="fr-CH"/>
        </w:rPr>
        <w:t xml:space="preserve"> </w:t>
      </w:r>
      <w:r w:rsidR="0039008D" w:rsidRPr="00B517EF">
        <w:rPr>
          <w:b/>
          <w:lang w:val="fr-CH"/>
        </w:rPr>
        <w:t>5.388A</w:t>
      </w:r>
      <w:r w:rsidR="00430C67">
        <w:rPr>
          <w:lang w:val="fr-CH"/>
        </w:rPr>
        <w:t xml:space="preserve"> </w:t>
      </w:r>
      <w:r w:rsidR="00B517EF">
        <w:rPr>
          <w:lang w:val="fr-CH"/>
        </w:rPr>
        <w:t xml:space="preserve">pour </w:t>
      </w:r>
      <w:r w:rsidR="00C60CC0">
        <w:rPr>
          <w:lang w:val="fr-CH"/>
        </w:rPr>
        <w:t>d'</w:t>
      </w:r>
      <w:r w:rsidR="00B517EF">
        <w:rPr>
          <w:lang w:val="fr-CH"/>
        </w:rPr>
        <w:t>autre bandes au-dessous de</w:t>
      </w:r>
      <w:r w:rsidR="006908DA">
        <w:rPr>
          <w:lang w:val="fr-CH"/>
        </w:rPr>
        <w:t> </w:t>
      </w:r>
      <w:r w:rsidR="0039008D" w:rsidRPr="00B517EF">
        <w:rPr>
          <w:lang w:val="fr-CH"/>
        </w:rPr>
        <w:t>6</w:t>
      </w:r>
      <w:r w:rsidR="006908DA">
        <w:rPr>
          <w:lang w:val="fr-CH"/>
        </w:rPr>
        <w:t> </w:t>
      </w:r>
      <w:r w:rsidR="0039008D" w:rsidRPr="00B517EF">
        <w:rPr>
          <w:lang w:val="fr-CH"/>
        </w:rPr>
        <w:t>GHz</w:t>
      </w:r>
      <w:r w:rsidR="002519D1">
        <w:rPr>
          <w:lang w:val="fr-CH"/>
        </w:rPr>
        <w:t xml:space="preserve"> </w:t>
      </w:r>
      <w:r w:rsidR="00B57258">
        <w:rPr>
          <w:lang w:val="fr-CH"/>
        </w:rPr>
        <w:t>qui sont</w:t>
      </w:r>
      <w:r w:rsidR="002519D1">
        <w:rPr>
          <w:lang w:val="fr-CH"/>
        </w:rPr>
        <w:t xml:space="preserve"> harmonisées</w:t>
      </w:r>
      <w:r w:rsidR="00430C67">
        <w:rPr>
          <w:lang w:val="fr-CH"/>
        </w:rPr>
        <w:t xml:space="preserve"> </w:t>
      </w:r>
      <w:r w:rsidR="00B517EF">
        <w:rPr>
          <w:lang w:val="fr-CH"/>
        </w:rPr>
        <w:t>au niveau régional pour les</w:t>
      </w:r>
      <w:r w:rsidR="00430C67">
        <w:rPr>
          <w:lang w:val="fr-CH"/>
        </w:rPr>
        <w:t xml:space="preserve"> </w:t>
      </w:r>
      <w:r w:rsidR="0039008D" w:rsidRPr="00B517EF">
        <w:rPr>
          <w:lang w:val="fr-CH"/>
        </w:rPr>
        <w:t>IMT.</w:t>
      </w:r>
    </w:p>
    <w:p w14:paraId="0234FBBF" w14:textId="0DDE3CCB" w:rsidR="0039008D" w:rsidRPr="002519D1" w:rsidRDefault="00B95DD6" w:rsidP="00C03DA5">
      <w:pPr>
        <w:rPr>
          <w:lang w:val="fr-CH"/>
        </w:rPr>
      </w:pPr>
      <w:r w:rsidRPr="00B95DD6">
        <w:rPr>
          <w:lang w:val="fr-CH"/>
        </w:rPr>
        <w:t xml:space="preserve">De plus, les stations de base IMT placées sur des plates-formes à haute altitude </w:t>
      </w:r>
      <w:r w:rsidR="00B57258">
        <w:rPr>
          <w:lang w:val="fr-CH"/>
        </w:rPr>
        <w:t>ont pour but de</w:t>
      </w:r>
      <w:r w:rsidRPr="00B95DD6">
        <w:rPr>
          <w:lang w:val="fr-CH"/>
        </w:rPr>
        <w:t xml:space="preserve"> complét</w:t>
      </w:r>
      <w:r>
        <w:rPr>
          <w:lang w:val="fr-CH"/>
        </w:rPr>
        <w:t>er</w:t>
      </w:r>
      <w:r w:rsidRPr="00B95DD6">
        <w:rPr>
          <w:lang w:val="fr-CH"/>
        </w:rPr>
        <w:t xml:space="preserve"> les réseaux IMT de Terre</w:t>
      </w:r>
      <w:r w:rsidR="00430C67">
        <w:rPr>
          <w:lang w:val="fr-CH"/>
        </w:rPr>
        <w:t>,</w:t>
      </w:r>
      <w:bookmarkStart w:id="6" w:name="_Hlk9859969"/>
      <w:r>
        <w:rPr>
          <w:lang w:val="fr-CH"/>
        </w:rPr>
        <w:t xml:space="preserve"> de sorte qu</w:t>
      </w:r>
      <w:r w:rsidR="006908DA">
        <w:rPr>
          <w:lang w:val="fr-CH"/>
        </w:rPr>
        <w:t>'</w:t>
      </w:r>
      <w:r>
        <w:rPr>
          <w:lang w:val="fr-CH"/>
        </w:rPr>
        <w:t xml:space="preserve">elles peuvent généralement utiliser les mêmes bandes de fréquences que les stations de base IMT au sol. En conséquence, les équipements </w:t>
      </w:r>
      <w:r w:rsidR="00C60CC0">
        <w:rPr>
          <w:lang w:val="fr-CH"/>
        </w:rPr>
        <w:t>d'</w:t>
      </w:r>
      <w:r>
        <w:rPr>
          <w:lang w:val="fr-CH"/>
        </w:rPr>
        <w:t>utilisateur</w:t>
      </w:r>
      <w:r w:rsidR="00430C67">
        <w:rPr>
          <w:lang w:val="fr-CH"/>
        </w:rPr>
        <w:t xml:space="preserve"> </w:t>
      </w:r>
      <w:r w:rsidR="00094B44">
        <w:rPr>
          <w:lang w:val="fr-CH"/>
        </w:rPr>
        <w:t>qui seront</w:t>
      </w:r>
      <w:r>
        <w:rPr>
          <w:lang w:val="fr-CH"/>
        </w:rPr>
        <w:t xml:space="preserve"> desservis par des stations de base IMT placées sur des plates-formes à haute altitude ou par des stations de base IMT au sol sont les mêmes</w:t>
      </w:r>
      <w:bookmarkEnd w:id="6"/>
      <w:r>
        <w:rPr>
          <w:lang w:val="fr-CH"/>
        </w:rPr>
        <w:t xml:space="preserve">. </w:t>
      </w:r>
      <w:r w:rsidRPr="002519D1">
        <w:rPr>
          <w:lang w:val="fr-CH"/>
        </w:rPr>
        <w:t xml:space="preserve">Actuellement, les équipements </w:t>
      </w:r>
      <w:r w:rsidR="00C60CC0">
        <w:rPr>
          <w:lang w:val="fr-CH"/>
        </w:rPr>
        <w:t>d'</w:t>
      </w:r>
      <w:r w:rsidRPr="002519D1">
        <w:rPr>
          <w:lang w:val="fr-CH"/>
        </w:rPr>
        <w:t>utilisateur prennent déjà en charge diverse</w:t>
      </w:r>
      <w:r w:rsidR="006908DA">
        <w:rPr>
          <w:lang w:val="fr-CH"/>
        </w:rPr>
        <w:t>s</w:t>
      </w:r>
      <w:r w:rsidRPr="002519D1">
        <w:rPr>
          <w:lang w:val="fr-CH"/>
        </w:rPr>
        <w:t xml:space="preserve"> bandes de fréquences identifiées pour les IMT,</w:t>
      </w:r>
      <w:r w:rsidR="0039008D" w:rsidRPr="002519D1">
        <w:rPr>
          <w:lang w:val="fr-CH"/>
        </w:rPr>
        <w:t xml:space="preserve"> </w:t>
      </w:r>
      <w:r w:rsidR="002519D1" w:rsidRPr="002519D1">
        <w:rPr>
          <w:lang w:val="fr-CH"/>
        </w:rPr>
        <w:t xml:space="preserve">ce qui </w:t>
      </w:r>
      <w:r w:rsidR="002519D1" w:rsidRPr="002519D1">
        <w:rPr>
          <w:lang w:val="fr-CH"/>
        </w:rPr>
        <w:lastRenderedPageBreak/>
        <w:t>constitue un autre argument</w:t>
      </w:r>
      <w:r w:rsidR="002519D1">
        <w:rPr>
          <w:lang w:val="fr-CH"/>
        </w:rPr>
        <w:t xml:space="preserve"> </w:t>
      </w:r>
      <w:r w:rsidR="0026157E">
        <w:rPr>
          <w:lang w:val="fr-CH"/>
        </w:rPr>
        <w:t xml:space="preserve">en faveur de </w:t>
      </w:r>
      <w:r w:rsidR="00C60CC0">
        <w:rPr>
          <w:lang w:val="fr-CH"/>
        </w:rPr>
        <w:t>l'</w:t>
      </w:r>
      <w:r w:rsidR="0026157E">
        <w:rPr>
          <w:lang w:val="fr-CH"/>
        </w:rPr>
        <w:t xml:space="preserve">extension de </w:t>
      </w:r>
      <w:r w:rsidR="00C60CC0">
        <w:rPr>
          <w:lang w:val="fr-CH"/>
        </w:rPr>
        <w:t>l'</w:t>
      </w:r>
      <w:r w:rsidR="0026157E">
        <w:rPr>
          <w:lang w:val="fr-CH"/>
        </w:rPr>
        <w:t>utilisation</w:t>
      </w:r>
      <w:r w:rsidR="00430C67">
        <w:rPr>
          <w:lang w:val="fr-CH"/>
        </w:rPr>
        <w:t xml:space="preserve"> </w:t>
      </w:r>
      <w:r w:rsidR="002519D1">
        <w:rPr>
          <w:lang w:val="fr-CH"/>
        </w:rPr>
        <w:t>des stations de base IMT placées sur des plates-formes à haute altitude</w:t>
      </w:r>
      <w:r w:rsidR="00430C67">
        <w:rPr>
          <w:lang w:val="fr-CH"/>
        </w:rPr>
        <w:t xml:space="preserve"> </w:t>
      </w:r>
      <w:r w:rsidR="002519D1">
        <w:rPr>
          <w:lang w:val="fr-CH"/>
        </w:rPr>
        <w:t>aux autres bandes</w:t>
      </w:r>
      <w:r w:rsidR="002519D1" w:rsidRPr="002519D1">
        <w:rPr>
          <w:lang w:val="fr-CH"/>
        </w:rPr>
        <w:t xml:space="preserve"> </w:t>
      </w:r>
      <w:r w:rsidR="0026157E">
        <w:rPr>
          <w:lang w:val="fr-CH"/>
        </w:rPr>
        <w:t>attribuées aux IMT au-dessous de 6 GHz</w:t>
      </w:r>
      <w:r w:rsidR="0026157E" w:rsidRPr="0026157E">
        <w:rPr>
          <w:lang w:val="fr-CH"/>
        </w:rPr>
        <w:t xml:space="preserve"> </w:t>
      </w:r>
      <w:r w:rsidR="0026157E">
        <w:rPr>
          <w:lang w:val="fr-CH"/>
        </w:rPr>
        <w:t>qui sont harmonisées</w:t>
      </w:r>
      <w:r w:rsidR="00430C67">
        <w:rPr>
          <w:lang w:val="fr-CH"/>
        </w:rPr>
        <w:t xml:space="preserve"> </w:t>
      </w:r>
      <w:r w:rsidR="0026157E">
        <w:rPr>
          <w:lang w:val="fr-CH"/>
        </w:rPr>
        <w:t>au niveau régional.</w:t>
      </w:r>
    </w:p>
    <w:p w14:paraId="45AA7CD8" w14:textId="3F9DD4D5" w:rsidR="0039008D" w:rsidRPr="0026157E" w:rsidRDefault="0026157E" w:rsidP="00C03DA5">
      <w:pPr>
        <w:rPr>
          <w:lang w:val="fr-CH"/>
        </w:rPr>
      </w:pPr>
      <w:r w:rsidRPr="0026157E">
        <w:rPr>
          <w:lang w:val="fr-CH"/>
        </w:rPr>
        <w:t xml:space="preserve">Les stations de base IMT placées sur des plates-formes à haute altitude sont des stations des services mobiles </w:t>
      </w:r>
      <w:r>
        <w:rPr>
          <w:lang w:val="fr-CH"/>
        </w:rPr>
        <w:t xml:space="preserve">qui font partie des systèmes IMT. </w:t>
      </w:r>
      <w:r w:rsidRPr="0026157E">
        <w:rPr>
          <w:lang w:val="fr-CH"/>
        </w:rPr>
        <w:t xml:space="preserve">Elles sont sans rapport avec la fourniture des services fixes, </w:t>
      </w:r>
      <w:r>
        <w:rPr>
          <w:lang w:val="fr-CH"/>
        </w:rPr>
        <w:t>tels qu</w:t>
      </w:r>
      <w:r w:rsidR="006908DA">
        <w:rPr>
          <w:lang w:val="fr-CH"/>
        </w:rPr>
        <w:t>'</w:t>
      </w:r>
      <w:r>
        <w:rPr>
          <w:lang w:val="fr-CH"/>
        </w:rPr>
        <w:t>ils sont traités</w:t>
      </w:r>
      <w:r w:rsidR="00430C67">
        <w:rPr>
          <w:lang w:val="fr-CH"/>
        </w:rPr>
        <w:t xml:space="preserve"> </w:t>
      </w:r>
      <w:r>
        <w:rPr>
          <w:lang w:val="fr-CH"/>
        </w:rPr>
        <w:t xml:space="preserve">au point 1.14 de </w:t>
      </w:r>
      <w:r w:rsidR="00C60CC0">
        <w:rPr>
          <w:lang w:val="fr-CH"/>
        </w:rPr>
        <w:t>l'</w:t>
      </w:r>
      <w:r>
        <w:rPr>
          <w:lang w:val="fr-CH"/>
        </w:rPr>
        <w:t>ordre du jour de la</w:t>
      </w:r>
      <w:r w:rsidR="00430C67">
        <w:rPr>
          <w:lang w:val="fr-CH"/>
        </w:rPr>
        <w:t xml:space="preserve"> </w:t>
      </w:r>
      <w:r w:rsidR="00723290" w:rsidRPr="0026157E">
        <w:rPr>
          <w:lang w:val="fr-CH"/>
        </w:rPr>
        <w:t>CMR</w:t>
      </w:r>
      <w:r w:rsidR="0039008D" w:rsidRPr="0026157E">
        <w:rPr>
          <w:lang w:val="fr-CH"/>
        </w:rPr>
        <w:t>-19</w:t>
      </w:r>
      <w:r w:rsidR="00C60CC0">
        <w:rPr>
          <w:lang w:val="fr-CH"/>
        </w:rPr>
        <w:t>.</w:t>
      </w:r>
      <w:r>
        <w:rPr>
          <w:lang w:val="fr-CH"/>
        </w:rPr>
        <w:t xml:space="preserve"> </w:t>
      </w:r>
      <w:r w:rsidRPr="0026157E">
        <w:rPr>
          <w:lang w:val="fr-CH"/>
        </w:rPr>
        <w:t xml:space="preserve">Les nouvelles études proposées devraient </w:t>
      </w:r>
      <w:r w:rsidR="00B57258">
        <w:rPr>
          <w:lang w:val="fr-CH"/>
        </w:rPr>
        <w:t xml:space="preserve">essentiellement </w:t>
      </w:r>
      <w:r w:rsidRPr="0026157E">
        <w:rPr>
          <w:lang w:val="fr-CH"/>
        </w:rPr>
        <w:t xml:space="preserve">avoir pour </w:t>
      </w:r>
      <w:r>
        <w:rPr>
          <w:lang w:val="fr-CH"/>
        </w:rPr>
        <w:t xml:space="preserve">but </w:t>
      </w:r>
      <w:r w:rsidRPr="0026157E">
        <w:rPr>
          <w:lang w:val="fr-CH"/>
        </w:rPr>
        <w:t>de déterminer les moyens</w:t>
      </w:r>
      <w:r>
        <w:rPr>
          <w:lang w:val="fr-CH"/>
        </w:rPr>
        <w:t xml:space="preserve"> </w:t>
      </w:r>
      <w:r w:rsidR="00B57258">
        <w:rPr>
          <w:lang w:val="fr-CH"/>
        </w:rPr>
        <w:t>d'offrir</w:t>
      </w:r>
      <w:r>
        <w:rPr>
          <w:lang w:val="fr-CH"/>
        </w:rPr>
        <w:t xml:space="preserve"> davantage de souplesse en ce qui concerne les bandes actuellement identifiées pour les IMT qui sont harmonisées au niveau régional.</w:t>
      </w:r>
      <w:r w:rsidR="00430C67">
        <w:rPr>
          <w:lang w:val="fr-CH"/>
        </w:rPr>
        <w:t xml:space="preserve"> </w:t>
      </w:r>
    </w:p>
    <w:p w14:paraId="388435A0" w14:textId="4FABF499" w:rsidR="0039008D" w:rsidRPr="008841AE" w:rsidRDefault="0026157E" w:rsidP="00C03DA5">
      <w:pPr>
        <w:rPr>
          <w:lang w:val="fr-CH"/>
        </w:rPr>
      </w:pPr>
      <w:r w:rsidRPr="0026157E">
        <w:rPr>
          <w:lang w:val="fr-CH"/>
        </w:rPr>
        <w:t>En résumé, et étant donné que la demande de services</w:t>
      </w:r>
      <w:r w:rsidR="00430C67">
        <w:rPr>
          <w:lang w:val="fr-CH"/>
        </w:rPr>
        <w:t xml:space="preserve"> </w:t>
      </w:r>
      <w:r w:rsidRPr="0026157E">
        <w:rPr>
          <w:lang w:val="fr-CH"/>
        </w:rPr>
        <w:t>mobiles large</w:t>
      </w:r>
      <w:r w:rsidR="00430C67">
        <w:rPr>
          <w:lang w:val="fr-CH"/>
        </w:rPr>
        <w:t xml:space="preserve"> </w:t>
      </w:r>
      <w:r w:rsidRPr="0026157E">
        <w:rPr>
          <w:lang w:val="fr-CH"/>
        </w:rPr>
        <w:t>bande ne cesse de croître,</w:t>
      </w:r>
      <w:r w:rsidR="00430C67">
        <w:rPr>
          <w:lang w:val="fr-CH"/>
        </w:rPr>
        <w:t xml:space="preserve"> </w:t>
      </w:r>
      <w:r>
        <w:rPr>
          <w:lang w:val="fr-CH"/>
        </w:rPr>
        <w:t xml:space="preserve">il est proposé, au titre de ce nouveau point de </w:t>
      </w:r>
      <w:r w:rsidR="00C60CC0">
        <w:rPr>
          <w:lang w:val="fr-CH"/>
        </w:rPr>
        <w:t>l'</w:t>
      </w:r>
      <w:r>
        <w:rPr>
          <w:lang w:val="fr-CH"/>
        </w:rPr>
        <w:t xml:space="preserve">ordre du jour, </w:t>
      </w:r>
      <w:r w:rsidR="00C60CC0">
        <w:rPr>
          <w:lang w:val="fr-CH"/>
        </w:rPr>
        <w:t>d'</w:t>
      </w:r>
      <w:r>
        <w:rPr>
          <w:lang w:val="fr-CH"/>
        </w:rPr>
        <w:t xml:space="preserve">étudier </w:t>
      </w:r>
      <w:r w:rsidR="00C60CC0">
        <w:rPr>
          <w:lang w:val="fr-CH"/>
        </w:rPr>
        <w:t>l'</w:t>
      </w:r>
      <w:r>
        <w:rPr>
          <w:lang w:val="fr-CH"/>
        </w:rPr>
        <w:t>utilisation des stations de</w:t>
      </w:r>
      <w:r w:rsidR="00C60CC0">
        <w:rPr>
          <w:lang w:val="fr-CH"/>
        </w:rPr>
        <w:t> </w:t>
      </w:r>
      <w:r>
        <w:rPr>
          <w:lang w:val="fr-CH"/>
        </w:rPr>
        <w:t>base</w:t>
      </w:r>
      <w:r w:rsidR="00C60CC0">
        <w:rPr>
          <w:lang w:val="fr-CH"/>
        </w:rPr>
        <w:t> </w:t>
      </w:r>
      <w:r>
        <w:rPr>
          <w:lang w:val="fr-CH"/>
        </w:rPr>
        <w:t>IMT placées sur des plates-formes à haute altitude dans les bandes inférieures à</w:t>
      </w:r>
      <w:r w:rsidR="00430C67">
        <w:rPr>
          <w:lang w:val="fr-CH"/>
        </w:rPr>
        <w:t xml:space="preserve"> </w:t>
      </w:r>
      <w:r w:rsidR="0039008D" w:rsidRPr="0026157E">
        <w:rPr>
          <w:lang w:val="fr-CH"/>
        </w:rPr>
        <w:t>2</w:t>
      </w:r>
      <w:r w:rsidR="00B57258">
        <w:rPr>
          <w:lang w:val="fr-CH"/>
        </w:rPr>
        <w:t>,</w:t>
      </w:r>
      <w:r w:rsidR="0039008D" w:rsidRPr="0026157E">
        <w:rPr>
          <w:lang w:val="fr-CH"/>
        </w:rPr>
        <w:t xml:space="preserve">7 GHz </w:t>
      </w:r>
      <w:r>
        <w:rPr>
          <w:lang w:val="fr-CH"/>
        </w:rPr>
        <w:t>qui sont déjà</w:t>
      </w:r>
      <w:r w:rsidR="00430C67">
        <w:rPr>
          <w:lang w:val="fr-CH"/>
        </w:rPr>
        <w:t xml:space="preserve"> </w:t>
      </w:r>
      <w:r>
        <w:rPr>
          <w:lang w:val="fr-CH"/>
        </w:rPr>
        <w:t>harmonisées au niveau régional pour les IMT</w:t>
      </w:r>
      <w:r w:rsidR="00B57258">
        <w:rPr>
          <w:lang w:val="fr-CH"/>
        </w:rPr>
        <w:t>.</w:t>
      </w:r>
      <w:r>
        <w:rPr>
          <w:lang w:val="fr-CH"/>
        </w:rPr>
        <w:t xml:space="preserve"> </w:t>
      </w:r>
      <w:r w:rsidR="00C60CC0">
        <w:rPr>
          <w:lang w:val="fr-CH"/>
        </w:rPr>
        <w:t>L'</w:t>
      </w:r>
      <w:r>
        <w:rPr>
          <w:lang w:val="fr-CH"/>
        </w:rPr>
        <w:t>objectif de ces études</w:t>
      </w:r>
      <w:r w:rsidR="00430C67">
        <w:rPr>
          <w:lang w:val="fr-CH"/>
        </w:rPr>
        <w:t xml:space="preserve"> </w:t>
      </w:r>
      <w:r w:rsidR="008841AE">
        <w:rPr>
          <w:lang w:val="fr-CH"/>
        </w:rPr>
        <w:t xml:space="preserve">est </w:t>
      </w:r>
      <w:r w:rsidR="00C60CC0">
        <w:rPr>
          <w:lang w:val="fr-CH"/>
        </w:rPr>
        <w:t>d'</w:t>
      </w:r>
      <w:r w:rsidR="008841AE">
        <w:rPr>
          <w:lang w:val="fr-CH"/>
        </w:rPr>
        <w:t xml:space="preserve">accroître la souplesse et de </w:t>
      </w:r>
      <w:r w:rsidR="008841AE" w:rsidRPr="008841AE">
        <w:rPr>
          <w:lang w:val="fr-CH"/>
        </w:rPr>
        <w:t>généraliser davantage</w:t>
      </w:r>
      <w:r w:rsidR="00430C67">
        <w:rPr>
          <w:lang w:val="fr-CH"/>
        </w:rPr>
        <w:t xml:space="preserve"> </w:t>
      </w:r>
      <w:r w:rsidR="00C60CC0">
        <w:rPr>
          <w:lang w:val="fr-CH"/>
        </w:rPr>
        <w:t>l'</w:t>
      </w:r>
      <w:r>
        <w:rPr>
          <w:lang w:val="fr-CH"/>
        </w:rPr>
        <w:t>utilisation des bandes actuellement attribuées</w:t>
      </w:r>
      <w:r w:rsidR="00430C67">
        <w:rPr>
          <w:lang w:val="fr-CH"/>
        </w:rPr>
        <w:t xml:space="preserve"> </w:t>
      </w:r>
      <w:r>
        <w:rPr>
          <w:lang w:val="fr-CH"/>
        </w:rPr>
        <w:t>aux IMT qui sont harmonisées au niveau régional,</w:t>
      </w:r>
      <w:r w:rsidR="00430C67">
        <w:rPr>
          <w:lang w:val="fr-CH"/>
        </w:rPr>
        <w:t xml:space="preserve"> </w:t>
      </w:r>
      <w:r w:rsidR="008841AE">
        <w:rPr>
          <w:lang w:val="fr-CH"/>
        </w:rPr>
        <w:t xml:space="preserve">afin de compléter la couverture et de </w:t>
      </w:r>
      <w:r w:rsidR="00B57258">
        <w:rPr>
          <w:lang w:val="fr-CH"/>
        </w:rPr>
        <w:t xml:space="preserve">permettre </w:t>
      </w:r>
      <w:r w:rsidR="008841AE">
        <w:rPr>
          <w:lang w:val="fr-CH"/>
        </w:rPr>
        <w:t xml:space="preserve">les cas </w:t>
      </w:r>
      <w:r w:rsidR="00C60CC0">
        <w:rPr>
          <w:lang w:val="fr-CH"/>
        </w:rPr>
        <w:t>d'</w:t>
      </w:r>
      <w:r w:rsidR="008841AE">
        <w:rPr>
          <w:lang w:val="fr-CH"/>
        </w:rPr>
        <w:t>utilisation de la</w:t>
      </w:r>
      <w:r w:rsidR="00430C67">
        <w:rPr>
          <w:lang w:val="fr-CH"/>
        </w:rPr>
        <w:t xml:space="preserve"> </w:t>
      </w:r>
      <w:r w:rsidR="0039008D" w:rsidRPr="0026157E">
        <w:rPr>
          <w:lang w:val="fr-CH"/>
        </w:rPr>
        <w:t>5G</w:t>
      </w:r>
      <w:r w:rsidR="008841AE">
        <w:rPr>
          <w:lang w:val="fr-CH"/>
        </w:rPr>
        <w:t>, tout en tenant compte de la compatibilité avec les applications et services existants.</w:t>
      </w:r>
      <w:r w:rsidR="00430C67">
        <w:rPr>
          <w:lang w:val="fr-CH"/>
        </w:rPr>
        <w:t xml:space="preserve"> </w:t>
      </w:r>
      <w:r w:rsidR="008841AE" w:rsidRPr="008841AE">
        <w:rPr>
          <w:lang w:val="fr-CH"/>
        </w:rPr>
        <w:t xml:space="preserve">Il convient de souligner que cette proposition ne nécessite pas </w:t>
      </w:r>
      <w:r w:rsidR="00C60CC0">
        <w:rPr>
          <w:lang w:val="fr-CH"/>
        </w:rPr>
        <w:t>l'</w:t>
      </w:r>
      <w:r w:rsidR="008841AE" w:rsidRPr="008841AE">
        <w:rPr>
          <w:lang w:val="fr-CH"/>
        </w:rPr>
        <w:t>identification de nouvelle</w:t>
      </w:r>
      <w:r w:rsidR="008841AE">
        <w:rPr>
          <w:lang w:val="fr-CH"/>
        </w:rPr>
        <w:t>s</w:t>
      </w:r>
      <w:r w:rsidR="008841AE" w:rsidRPr="008841AE">
        <w:rPr>
          <w:lang w:val="fr-CH"/>
        </w:rPr>
        <w:t xml:space="preserve"> bande</w:t>
      </w:r>
      <w:r w:rsidR="008841AE">
        <w:rPr>
          <w:lang w:val="fr-CH"/>
        </w:rPr>
        <w:t>s</w:t>
      </w:r>
      <w:r w:rsidR="008841AE" w:rsidRPr="008841AE">
        <w:rPr>
          <w:lang w:val="fr-CH"/>
        </w:rPr>
        <w:t xml:space="preserve"> de fréquences pour les IMT en tant que tel</w:t>
      </w:r>
      <w:r w:rsidR="00B57258">
        <w:rPr>
          <w:lang w:val="fr-CH"/>
        </w:rPr>
        <w:t>le</w:t>
      </w:r>
      <w:r w:rsidR="008841AE">
        <w:rPr>
          <w:lang w:val="fr-CH"/>
        </w:rPr>
        <w:t xml:space="preserve">s, ni une modification de bandes actuellement identifiées pour les </w:t>
      </w:r>
      <w:r w:rsidR="008841AE" w:rsidRPr="008841AE">
        <w:rPr>
          <w:lang w:val="fr-CH"/>
        </w:rPr>
        <w:t>IMT</w:t>
      </w:r>
      <w:r w:rsidR="008841AE">
        <w:rPr>
          <w:lang w:val="fr-CH"/>
        </w:rPr>
        <w:t xml:space="preserve"> dans le RR.</w:t>
      </w:r>
      <w:r w:rsidR="00430C67">
        <w:rPr>
          <w:lang w:val="fr-CH"/>
        </w:rPr>
        <w:t xml:space="preserve"> </w:t>
      </w:r>
      <w:r w:rsidR="008841AE" w:rsidRPr="008841AE">
        <w:rPr>
          <w:lang w:val="fr-CH"/>
        </w:rPr>
        <w:t>Les études porteront essentiellement sur la révision éventuelle des dispositions réglementaires actuelles du RR</w:t>
      </w:r>
      <w:r w:rsidR="008841AE">
        <w:rPr>
          <w:lang w:val="fr-CH"/>
        </w:rPr>
        <w:t>, dans le sens des dispositions prévues au numéro</w:t>
      </w:r>
      <w:r w:rsidR="008841AE" w:rsidRPr="008841AE">
        <w:rPr>
          <w:lang w:val="fr-CH"/>
        </w:rPr>
        <w:t xml:space="preserve"> </w:t>
      </w:r>
      <w:r w:rsidR="0039008D" w:rsidRPr="008841AE">
        <w:rPr>
          <w:b/>
          <w:lang w:val="fr-CH"/>
        </w:rPr>
        <w:t>5.388A</w:t>
      </w:r>
      <w:r w:rsidR="0039008D" w:rsidRPr="008841AE">
        <w:rPr>
          <w:lang w:val="fr-CH"/>
        </w:rPr>
        <w:t xml:space="preserve">. </w:t>
      </w:r>
      <w:r w:rsidR="008841AE" w:rsidRPr="008841AE">
        <w:rPr>
          <w:lang w:val="fr-CH"/>
        </w:rPr>
        <w:t xml:space="preserve">Les résultats de ces études et les modifications </w:t>
      </w:r>
      <w:r w:rsidR="008841AE">
        <w:rPr>
          <w:lang w:val="fr-CH"/>
        </w:rPr>
        <w:t>éventuelles à apporter au RR seraient ensuite examinées par la</w:t>
      </w:r>
      <w:r w:rsidR="00430C67">
        <w:rPr>
          <w:lang w:val="fr-CH"/>
        </w:rPr>
        <w:t xml:space="preserve"> </w:t>
      </w:r>
      <w:r w:rsidR="00723290" w:rsidRPr="008841AE">
        <w:rPr>
          <w:lang w:val="fr-CH"/>
        </w:rPr>
        <w:t>CMR</w:t>
      </w:r>
      <w:r w:rsidR="0039008D" w:rsidRPr="008841AE">
        <w:rPr>
          <w:lang w:val="fr-CH"/>
        </w:rPr>
        <w:t>-23.</w:t>
      </w:r>
    </w:p>
    <w:p w14:paraId="03D5A21B" w14:textId="4DF0BF6E" w:rsidR="00B9116D" w:rsidRPr="008841AE" w:rsidRDefault="00B9116D" w:rsidP="00C03DA5">
      <w:pPr>
        <w:rPr>
          <w:color w:val="000000" w:themeColor="text1"/>
          <w:lang w:val="fr-CH"/>
        </w:rPr>
      </w:pPr>
    </w:p>
    <w:p w14:paraId="05274F70" w14:textId="501F40C5" w:rsidR="0062698E" w:rsidRPr="008841AE" w:rsidRDefault="0015203F" w:rsidP="00DF59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480" w:lineRule="auto"/>
        <w:textAlignment w:val="auto"/>
        <w:rPr>
          <w:lang w:val="fr-CH"/>
        </w:rPr>
      </w:pPr>
      <w:r w:rsidRPr="008841AE">
        <w:rPr>
          <w:lang w:val="fr-CH"/>
        </w:rPr>
        <w:br w:type="page"/>
      </w:r>
    </w:p>
    <w:p w14:paraId="3DA21FC3" w14:textId="77777777" w:rsidR="00480BDF" w:rsidRDefault="00C3189E" w:rsidP="00C03DA5">
      <w:pPr>
        <w:pStyle w:val="Proposal"/>
      </w:pPr>
      <w:r>
        <w:lastRenderedPageBreak/>
        <w:t>ADD</w:t>
      </w:r>
      <w:r>
        <w:tab/>
        <w:t>IAP/11A24A2/1</w:t>
      </w:r>
    </w:p>
    <w:p w14:paraId="0FA93E01" w14:textId="58D56EE7" w:rsidR="00480BDF" w:rsidRDefault="00C3189E" w:rsidP="00C03DA5">
      <w:pPr>
        <w:pStyle w:val="ResNo"/>
      </w:pPr>
      <w:r>
        <w:t xml:space="preserve">Projet de nouvelle Résolution </w:t>
      </w:r>
      <w:r w:rsidR="006D1E12" w:rsidRPr="00723290">
        <w:rPr>
          <w:lang w:val="fr-CH"/>
        </w:rPr>
        <w:t>[IAP/10(B)-2023] (</w:t>
      </w:r>
      <w:r w:rsidR="00D36CDB" w:rsidRPr="00D36CDB">
        <w:rPr>
          <w:lang w:val="fr-CH"/>
        </w:rPr>
        <w:t>CMR</w:t>
      </w:r>
      <w:r w:rsidR="006D1E12" w:rsidRPr="00723290">
        <w:rPr>
          <w:lang w:val="fr-CH"/>
        </w:rPr>
        <w:t>-19)</w:t>
      </w:r>
    </w:p>
    <w:p w14:paraId="6ABC6EBF" w14:textId="48B1D40F" w:rsidR="00480BDF" w:rsidRDefault="0062698E" w:rsidP="00C03DA5">
      <w:pPr>
        <w:pStyle w:val="Restitle"/>
      </w:pPr>
      <w:r>
        <w:rPr>
          <w:lang w:val="fr-CH"/>
        </w:rPr>
        <w:t>O</w:t>
      </w:r>
      <w:r w:rsidRPr="0062698E">
        <w:rPr>
          <w:lang w:val="fr-CH"/>
        </w:rPr>
        <w:t xml:space="preserve">rdre du jour de la </w:t>
      </w:r>
      <w:r w:rsidR="00D36CDB">
        <w:rPr>
          <w:lang w:val="fr-CH"/>
        </w:rPr>
        <w:t>C</w:t>
      </w:r>
      <w:r w:rsidRPr="0062698E">
        <w:rPr>
          <w:lang w:val="fr-CH"/>
        </w:rPr>
        <w:t>onférence mondiale des radiocommunications de 2023</w:t>
      </w:r>
    </w:p>
    <w:p w14:paraId="3A40A310" w14:textId="5DB841F6" w:rsidR="0062698E" w:rsidRPr="00D36CDB" w:rsidRDefault="00D36CDB" w:rsidP="00C03DA5">
      <w:pPr>
        <w:pStyle w:val="Normalaftertitle"/>
        <w:rPr>
          <w:lang w:val="fr-CH"/>
        </w:rPr>
      </w:pPr>
      <w:r>
        <w:rPr>
          <w:color w:val="000000"/>
        </w:rPr>
        <w:t>La Conférence mondiale des radiocommunications (</w:t>
      </w:r>
      <w:proofErr w:type="spellStart"/>
      <w:r>
        <w:rPr>
          <w:color w:val="000000"/>
        </w:rPr>
        <w:t>Charm</w:t>
      </w:r>
      <w:proofErr w:type="spellEnd"/>
      <w:r>
        <w:rPr>
          <w:color w:val="000000"/>
        </w:rPr>
        <w:t xml:space="preserve"> el-Cheikh, 2019),</w:t>
      </w:r>
    </w:p>
    <w:p w14:paraId="5CBC6664" w14:textId="77777777" w:rsidR="0062698E" w:rsidRPr="0062698E" w:rsidRDefault="0062698E" w:rsidP="006908DA">
      <w:pPr>
        <w:rPr>
          <w:lang w:val="en-US"/>
        </w:rPr>
      </w:pPr>
      <w:r w:rsidRPr="0062698E">
        <w:rPr>
          <w:lang w:val="en-US"/>
        </w:rPr>
        <w:t>…</w:t>
      </w:r>
    </w:p>
    <w:p w14:paraId="59F1930A" w14:textId="298006EA" w:rsidR="00480BDF" w:rsidRPr="002E1B4C" w:rsidRDefault="0062698E" w:rsidP="006908DA">
      <w:pPr>
        <w:rPr>
          <w:lang w:val="fr-CH"/>
        </w:rPr>
      </w:pPr>
      <w:r w:rsidRPr="00D36CDB">
        <w:rPr>
          <w:b/>
          <w:lang w:val="fr-CH"/>
        </w:rPr>
        <w:t>1.X</w:t>
      </w:r>
      <w:r w:rsidRPr="00D36CDB">
        <w:rPr>
          <w:b/>
          <w:lang w:val="fr-CH"/>
        </w:rPr>
        <w:tab/>
      </w:r>
      <w:r w:rsidR="00D36CDB" w:rsidRPr="00D36CDB">
        <w:rPr>
          <w:lang w:val="fr-CH"/>
        </w:rPr>
        <w:t xml:space="preserve">examiner, conformément à la Résolution </w:t>
      </w:r>
      <w:r w:rsidRPr="00D36CDB">
        <w:rPr>
          <w:lang w:val="fr-CH"/>
        </w:rPr>
        <w:t xml:space="preserve">[IAP/10(B)/HA-IMT] </w:t>
      </w:r>
      <w:r w:rsidRPr="00D36CDB">
        <w:rPr>
          <w:b/>
          <w:lang w:val="fr-CH"/>
        </w:rPr>
        <w:t>(</w:t>
      </w:r>
      <w:r w:rsidR="00723290" w:rsidRPr="00D36CDB">
        <w:rPr>
          <w:b/>
          <w:lang w:val="fr-CH"/>
        </w:rPr>
        <w:t>CMR</w:t>
      </w:r>
      <w:r w:rsidRPr="00D36CDB">
        <w:rPr>
          <w:b/>
          <w:lang w:val="fr-CH"/>
        </w:rPr>
        <w:t>-19)</w:t>
      </w:r>
      <w:r w:rsidRPr="00D36CDB">
        <w:rPr>
          <w:lang w:val="fr-CH"/>
        </w:rPr>
        <w:t xml:space="preserve">, </w:t>
      </w:r>
      <w:r w:rsidR="00C60CC0">
        <w:rPr>
          <w:lang w:val="fr-CH"/>
        </w:rPr>
        <w:t>l'</w:t>
      </w:r>
      <w:r w:rsidR="00D36CDB" w:rsidRPr="00D36CDB">
        <w:rPr>
          <w:lang w:val="fr-CH"/>
        </w:rPr>
        <w:t>utilisation des stations de base</w:t>
      </w:r>
      <w:r w:rsidR="00644738">
        <w:rPr>
          <w:lang w:val="fr-CH"/>
        </w:rPr>
        <w:t xml:space="preserve"> </w:t>
      </w:r>
      <w:r w:rsidR="00D36CDB" w:rsidRPr="00D36CDB">
        <w:rPr>
          <w:lang w:val="fr-CH"/>
        </w:rPr>
        <w:t>IMT placées sur des plates-formes à haute altitude dans certaines bandes au</w:t>
      </w:r>
      <w:r w:rsidR="005E1393">
        <w:rPr>
          <w:lang w:val="fr-CH"/>
        </w:rPr>
        <w:noBreakHyphen/>
      </w:r>
      <w:r w:rsidR="00D36CDB" w:rsidRPr="00D36CDB">
        <w:rPr>
          <w:lang w:val="fr-CH"/>
        </w:rPr>
        <w:t>dessous de</w:t>
      </w:r>
      <w:r w:rsidR="00644738">
        <w:rPr>
          <w:lang w:val="fr-CH"/>
        </w:rPr>
        <w:t xml:space="preserve"> </w:t>
      </w:r>
      <w:r w:rsidRPr="00D36CDB">
        <w:rPr>
          <w:lang w:val="fr-CH"/>
        </w:rPr>
        <w:t>2</w:t>
      </w:r>
      <w:r w:rsidR="00B57258">
        <w:rPr>
          <w:lang w:val="fr-CH"/>
        </w:rPr>
        <w:t>,</w:t>
      </w:r>
      <w:r w:rsidRPr="00D36CDB">
        <w:rPr>
          <w:lang w:val="fr-CH"/>
        </w:rPr>
        <w:t>7 GHz</w:t>
      </w:r>
      <w:r w:rsidR="00B57258">
        <w:rPr>
          <w:lang w:val="fr-CH"/>
        </w:rPr>
        <w:t xml:space="preserve"> qui sont</w:t>
      </w:r>
      <w:r w:rsidRPr="00D36CDB">
        <w:rPr>
          <w:lang w:val="fr-CH"/>
        </w:rPr>
        <w:t xml:space="preserve"> </w:t>
      </w:r>
      <w:r w:rsidR="002E1B4C">
        <w:rPr>
          <w:lang w:val="fr-CH"/>
        </w:rPr>
        <w:t xml:space="preserve">déjà identifiées pour les IMT à </w:t>
      </w:r>
      <w:r w:rsidR="00C60CC0">
        <w:rPr>
          <w:lang w:val="fr-CH"/>
        </w:rPr>
        <w:t>l'</w:t>
      </w:r>
      <w:r w:rsidR="002E1B4C">
        <w:rPr>
          <w:lang w:val="fr-CH"/>
        </w:rPr>
        <w:t>échelle mondiale ou régionale.</w:t>
      </w:r>
    </w:p>
    <w:p w14:paraId="23A2D7ED" w14:textId="00C76ECF" w:rsidR="00480BDF" w:rsidRPr="002E1B4C" w:rsidRDefault="00C3189E" w:rsidP="00C03DA5">
      <w:pPr>
        <w:pStyle w:val="Reasons"/>
        <w:rPr>
          <w:lang w:val="fr-CH"/>
        </w:rPr>
      </w:pPr>
      <w:proofErr w:type="gramStart"/>
      <w:r w:rsidRPr="002E1B4C">
        <w:rPr>
          <w:b/>
          <w:lang w:val="fr-CH"/>
        </w:rPr>
        <w:t>Motifs:</w:t>
      </w:r>
      <w:proofErr w:type="gramEnd"/>
      <w:r w:rsidRPr="002E1B4C">
        <w:rPr>
          <w:lang w:val="fr-CH"/>
        </w:rPr>
        <w:tab/>
      </w:r>
      <w:r w:rsidR="002E1B4C" w:rsidRPr="002E1B4C">
        <w:rPr>
          <w:lang w:val="fr-CH"/>
        </w:rPr>
        <w:t xml:space="preserve">Ce nouveau point de </w:t>
      </w:r>
      <w:r w:rsidR="00C60CC0">
        <w:rPr>
          <w:lang w:val="fr-CH"/>
        </w:rPr>
        <w:t>l'</w:t>
      </w:r>
      <w:r w:rsidR="002E1B4C" w:rsidRPr="002E1B4C">
        <w:rPr>
          <w:lang w:val="fr-CH"/>
        </w:rPr>
        <w:t xml:space="preserve">ordre du jour, </w:t>
      </w:r>
      <w:r w:rsidR="0034097A">
        <w:rPr>
          <w:lang w:val="fr-CH"/>
        </w:rPr>
        <w:t>relatif à</w:t>
      </w:r>
      <w:r w:rsidR="002E1B4C" w:rsidRPr="002E1B4C">
        <w:rPr>
          <w:lang w:val="fr-CH"/>
        </w:rPr>
        <w:t xml:space="preserve"> </w:t>
      </w:r>
      <w:r w:rsidR="00C60CC0">
        <w:rPr>
          <w:lang w:val="fr-CH"/>
        </w:rPr>
        <w:t>l'</w:t>
      </w:r>
      <w:r w:rsidR="002E1B4C" w:rsidRPr="002E1B4C">
        <w:rPr>
          <w:lang w:val="fr-CH"/>
        </w:rPr>
        <w:t>étude des stations de base IMT placées sur des plates-formes à haute altitude dans certaines bandes de fréquences actuellement attribuées au</w:t>
      </w:r>
      <w:r w:rsidR="002E1B4C">
        <w:rPr>
          <w:lang w:val="fr-CH"/>
        </w:rPr>
        <w:t>x</w:t>
      </w:r>
      <w:r w:rsidR="002E1B4C" w:rsidRPr="002E1B4C">
        <w:rPr>
          <w:lang w:val="fr-CH"/>
        </w:rPr>
        <w:t xml:space="preserve"> IMT </w:t>
      </w:r>
      <w:r w:rsidR="002E1B4C">
        <w:rPr>
          <w:lang w:val="fr-CH"/>
        </w:rPr>
        <w:t>et harmonisées au niveau mondial ou régional au-dessous de</w:t>
      </w:r>
      <w:r w:rsidR="00644738">
        <w:rPr>
          <w:lang w:val="fr-CH"/>
        </w:rPr>
        <w:t xml:space="preserve"> </w:t>
      </w:r>
      <w:r w:rsidR="0062698E" w:rsidRPr="002E1B4C">
        <w:rPr>
          <w:lang w:val="fr-CH"/>
        </w:rPr>
        <w:t>2</w:t>
      </w:r>
      <w:r w:rsidR="00B57258">
        <w:rPr>
          <w:lang w:val="fr-CH"/>
        </w:rPr>
        <w:t>,</w:t>
      </w:r>
      <w:r w:rsidR="0062698E" w:rsidRPr="002E1B4C">
        <w:rPr>
          <w:lang w:val="fr-CH"/>
        </w:rPr>
        <w:t>7 GHz</w:t>
      </w:r>
      <w:r w:rsidR="002E1B4C">
        <w:rPr>
          <w:lang w:val="fr-CH"/>
        </w:rPr>
        <w:t xml:space="preserve"> vise</w:t>
      </w:r>
      <w:r w:rsidR="00644738">
        <w:rPr>
          <w:lang w:val="fr-CH"/>
        </w:rPr>
        <w:t xml:space="preserve"> </w:t>
      </w:r>
      <w:r w:rsidR="002E1B4C">
        <w:rPr>
          <w:lang w:val="fr-CH"/>
        </w:rPr>
        <w:t xml:space="preserve">à permettre davantage de souplesse dans </w:t>
      </w:r>
      <w:r w:rsidR="00C60CC0">
        <w:rPr>
          <w:lang w:val="fr-CH"/>
        </w:rPr>
        <w:t>l'</w:t>
      </w:r>
      <w:r w:rsidR="002E1B4C">
        <w:rPr>
          <w:lang w:val="fr-CH"/>
        </w:rPr>
        <w:t>utilisation de ces bandes,</w:t>
      </w:r>
      <w:r w:rsidR="00644738">
        <w:rPr>
          <w:lang w:val="fr-CH"/>
        </w:rPr>
        <w:t xml:space="preserve"> </w:t>
      </w:r>
      <w:r w:rsidR="002E1B4C">
        <w:rPr>
          <w:lang w:val="fr-CH"/>
        </w:rPr>
        <w:t xml:space="preserve">afin de tenir compte de la nécessité </w:t>
      </w:r>
      <w:r w:rsidR="00644738">
        <w:rPr>
          <w:lang w:val="fr-CH"/>
        </w:rPr>
        <w:t>d'</w:t>
      </w:r>
      <w:r w:rsidR="002E1B4C">
        <w:rPr>
          <w:lang w:val="fr-CH"/>
        </w:rPr>
        <w:t>élargir la couverture et de renforcer la capacité des réseaux large</w:t>
      </w:r>
      <w:r w:rsidR="00644738">
        <w:rPr>
          <w:lang w:val="fr-CH"/>
        </w:rPr>
        <w:t xml:space="preserve"> </w:t>
      </w:r>
      <w:r w:rsidR="002E1B4C">
        <w:rPr>
          <w:lang w:val="fr-CH"/>
        </w:rPr>
        <w:t>bande mobiles.</w:t>
      </w:r>
      <w:r w:rsidR="00644738">
        <w:rPr>
          <w:lang w:val="fr-CH"/>
        </w:rPr>
        <w:t xml:space="preserve"> </w:t>
      </w:r>
      <w:r w:rsidR="002E1B4C">
        <w:rPr>
          <w:lang w:val="fr-CH"/>
        </w:rPr>
        <w:t>La révision des bandes de fréquences actuellement identifiées pour les IMT dans le Règlement des radiocommunications</w:t>
      </w:r>
      <w:r w:rsidR="00644738">
        <w:rPr>
          <w:lang w:val="fr-CH"/>
        </w:rPr>
        <w:t xml:space="preserve"> </w:t>
      </w:r>
      <w:r w:rsidR="002E1B4C" w:rsidRPr="002E1B4C">
        <w:rPr>
          <w:lang w:val="fr-CH"/>
        </w:rPr>
        <w:t xml:space="preserve">ne relève pas de ce point de </w:t>
      </w:r>
      <w:r w:rsidR="00C60CC0">
        <w:rPr>
          <w:lang w:val="fr-CH"/>
        </w:rPr>
        <w:t>l'</w:t>
      </w:r>
      <w:r w:rsidR="002E1B4C" w:rsidRPr="002E1B4C">
        <w:rPr>
          <w:lang w:val="fr-CH"/>
        </w:rPr>
        <w:t xml:space="preserve">ordre du jour. </w:t>
      </w:r>
      <w:r w:rsidR="002E1B4C" w:rsidRPr="008841AE">
        <w:rPr>
          <w:lang w:val="fr-CH"/>
        </w:rPr>
        <w:t>Les résultats de</w:t>
      </w:r>
      <w:r w:rsidR="002E1B4C">
        <w:rPr>
          <w:lang w:val="fr-CH"/>
        </w:rPr>
        <w:t>s</w:t>
      </w:r>
      <w:r w:rsidR="00644738">
        <w:rPr>
          <w:lang w:val="fr-CH"/>
        </w:rPr>
        <w:t xml:space="preserve"> </w:t>
      </w:r>
      <w:r w:rsidR="002E1B4C" w:rsidRPr="008841AE">
        <w:rPr>
          <w:lang w:val="fr-CH"/>
        </w:rPr>
        <w:t xml:space="preserve">études et les modifications </w:t>
      </w:r>
      <w:r w:rsidR="002E1B4C">
        <w:rPr>
          <w:lang w:val="fr-CH"/>
        </w:rPr>
        <w:t>éventuelles à apporter au RR seraient ensuite examinés par la</w:t>
      </w:r>
      <w:r w:rsidR="00644738">
        <w:rPr>
          <w:lang w:val="fr-CH"/>
        </w:rPr>
        <w:t xml:space="preserve"> </w:t>
      </w:r>
      <w:r w:rsidR="002E1B4C" w:rsidRPr="008841AE">
        <w:rPr>
          <w:lang w:val="fr-CH"/>
        </w:rPr>
        <w:t>CMR-23.</w:t>
      </w:r>
    </w:p>
    <w:p w14:paraId="39426B27" w14:textId="77777777" w:rsidR="00480BDF" w:rsidRDefault="00C3189E" w:rsidP="00C03DA5">
      <w:pPr>
        <w:pStyle w:val="Proposal"/>
      </w:pPr>
      <w:r>
        <w:t>ADD</w:t>
      </w:r>
      <w:r>
        <w:tab/>
        <w:t>IAP/11A24A2/2</w:t>
      </w:r>
    </w:p>
    <w:p w14:paraId="71EB72FA" w14:textId="0F0C87D6" w:rsidR="00480BDF" w:rsidRDefault="00C3189E" w:rsidP="00C03DA5">
      <w:pPr>
        <w:pStyle w:val="ResNo"/>
      </w:pPr>
      <w:r>
        <w:t>Projet de nouvelle Résolution [IAP-10(B)/HA-IMT]</w:t>
      </w:r>
      <w:r w:rsidR="00E80A23">
        <w:t xml:space="preserve"> (CMR-19)</w:t>
      </w:r>
    </w:p>
    <w:p w14:paraId="05B7DC45" w14:textId="0E100DFE" w:rsidR="0062698E" w:rsidRPr="004E0804" w:rsidRDefault="004E0804" w:rsidP="00C03DA5">
      <w:pPr>
        <w:pStyle w:val="Restitle"/>
      </w:pPr>
      <w:r w:rsidRPr="004E0804">
        <w:t>Utilisation des stations de base IMT placées sur des plates-formes à haute altitude dans certaines bandes au-dessous de</w:t>
      </w:r>
      <w:r w:rsidR="0062698E" w:rsidRPr="004E0804">
        <w:t xml:space="preserve"> 2</w:t>
      </w:r>
      <w:r w:rsidR="00B57258">
        <w:t>,</w:t>
      </w:r>
      <w:r w:rsidR="0062698E" w:rsidRPr="004E0804">
        <w:t>7 GHz</w:t>
      </w:r>
      <w:r w:rsidR="00E80A23">
        <w:t xml:space="preserve"> </w:t>
      </w:r>
      <w:r>
        <w:t>harmonisées</w:t>
      </w:r>
      <w:r w:rsidR="00E80A23">
        <w:t> </w:t>
      </w:r>
      <w:r>
        <w:t>au</w:t>
      </w:r>
      <w:r w:rsidR="00E80A23">
        <w:t> </w:t>
      </w:r>
      <w:r>
        <w:t>niveau</w:t>
      </w:r>
      <w:r w:rsidR="00E80A23">
        <w:t> </w:t>
      </w:r>
      <w:r>
        <w:t xml:space="preserve">régional pour les </w:t>
      </w:r>
      <w:r w:rsidR="0062698E" w:rsidRPr="004E0804">
        <w:t>IMT</w:t>
      </w:r>
    </w:p>
    <w:p w14:paraId="67C1362F" w14:textId="110CC60E" w:rsidR="00A26185" w:rsidRPr="004E0804" w:rsidRDefault="004E0804" w:rsidP="00C03DA5">
      <w:pPr>
        <w:pStyle w:val="Normalaftertitle"/>
        <w:rPr>
          <w:lang w:val="fr-CH"/>
        </w:rPr>
      </w:pPr>
      <w:r>
        <w:rPr>
          <w:color w:val="000000"/>
        </w:rPr>
        <w:t>La Conférence mondiale des radiocommunications (</w:t>
      </w:r>
      <w:proofErr w:type="spellStart"/>
      <w:r>
        <w:rPr>
          <w:color w:val="000000"/>
        </w:rPr>
        <w:t>Charm</w:t>
      </w:r>
      <w:proofErr w:type="spellEnd"/>
      <w:r>
        <w:rPr>
          <w:color w:val="000000"/>
        </w:rPr>
        <w:t xml:space="preserve"> el-Cheikh, 2019),</w:t>
      </w:r>
    </w:p>
    <w:p w14:paraId="7A4893D8" w14:textId="1588D0E5" w:rsidR="00A26185" w:rsidRPr="004E0804" w:rsidRDefault="004E0804" w:rsidP="00C03DA5">
      <w:pPr>
        <w:pStyle w:val="Call"/>
        <w:rPr>
          <w:i w:val="0"/>
          <w:iCs/>
          <w:lang w:val="en-GB"/>
        </w:rPr>
      </w:pPr>
      <w:proofErr w:type="spellStart"/>
      <w:r>
        <w:rPr>
          <w:lang w:val="en-GB"/>
        </w:rPr>
        <w:t>considérant</w:t>
      </w:r>
      <w:proofErr w:type="spellEnd"/>
    </w:p>
    <w:p w14:paraId="4D5CBF74" w14:textId="44A733C6" w:rsidR="00A26185" w:rsidRPr="00245476" w:rsidRDefault="00A26185" w:rsidP="00C03DA5">
      <w:pPr>
        <w:rPr>
          <w:lang w:val="fr-CH"/>
        </w:rPr>
      </w:pPr>
      <w:r w:rsidRPr="00245476">
        <w:rPr>
          <w:i/>
          <w:lang w:val="fr-CH"/>
        </w:rPr>
        <w:t>a)</w:t>
      </w:r>
      <w:r w:rsidRPr="00245476">
        <w:rPr>
          <w:i/>
          <w:lang w:val="fr-CH"/>
        </w:rPr>
        <w:tab/>
      </w:r>
      <w:r w:rsidR="004E0804" w:rsidRPr="00245476">
        <w:rPr>
          <w:iCs/>
          <w:lang w:val="fr-CH"/>
        </w:rPr>
        <w:t>qu</w:t>
      </w:r>
      <w:r w:rsidR="006908DA">
        <w:rPr>
          <w:iCs/>
          <w:lang w:val="fr-CH"/>
        </w:rPr>
        <w:t>'</w:t>
      </w:r>
      <w:r w:rsidR="004E0804" w:rsidRPr="00245476">
        <w:rPr>
          <w:iCs/>
          <w:lang w:val="fr-CH"/>
        </w:rPr>
        <w:t xml:space="preserve">en raison de la progression de la demande </w:t>
      </w:r>
      <w:r w:rsidR="00644738">
        <w:rPr>
          <w:iCs/>
          <w:lang w:val="fr-CH"/>
        </w:rPr>
        <w:t>d'</w:t>
      </w:r>
      <w:r w:rsidR="004E0804" w:rsidRPr="00245476">
        <w:rPr>
          <w:iCs/>
          <w:lang w:val="fr-CH"/>
        </w:rPr>
        <w:t xml:space="preserve">accès au large bande mobile, il est nécessaire </w:t>
      </w:r>
      <w:r w:rsidR="00245476" w:rsidRPr="00245476">
        <w:rPr>
          <w:iCs/>
          <w:lang w:val="fr-CH"/>
        </w:rPr>
        <w:t>de prévoir davantage de souplesse dans les approches</w:t>
      </w:r>
      <w:r w:rsidR="00245476">
        <w:rPr>
          <w:iCs/>
          <w:lang w:val="fr-CH"/>
        </w:rPr>
        <w:t xml:space="preserve"> </w:t>
      </w:r>
      <w:r w:rsidR="00B7645A">
        <w:rPr>
          <w:iCs/>
          <w:lang w:val="fr-CH"/>
        </w:rPr>
        <w:t>visant à</w:t>
      </w:r>
      <w:r w:rsidR="00245476">
        <w:rPr>
          <w:iCs/>
          <w:lang w:val="fr-CH"/>
        </w:rPr>
        <w:t xml:space="preserve"> accroître la capacité et </w:t>
      </w:r>
      <w:r w:rsidR="00B7645A">
        <w:rPr>
          <w:iCs/>
          <w:lang w:val="fr-CH"/>
        </w:rPr>
        <w:t xml:space="preserve">à </w:t>
      </w:r>
      <w:r w:rsidR="00245476">
        <w:rPr>
          <w:iCs/>
          <w:lang w:val="fr-CH"/>
        </w:rPr>
        <w:t xml:space="preserve">élargir la couverture des systèmes </w:t>
      </w:r>
      <w:proofErr w:type="gramStart"/>
      <w:r w:rsidR="00245476">
        <w:rPr>
          <w:iCs/>
          <w:lang w:val="fr-CH"/>
        </w:rPr>
        <w:t>IMT;</w:t>
      </w:r>
      <w:proofErr w:type="gramEnd"/>
    </w:p>
    <w:p w14:paraId="7A2993E3" w14:textId="17BC009D" w:rsidR="00A26185" w:rsidRPr="00245476" w:rsidRDefault="00A26185" w:rsidP="00C03DA5">
      <w:pPr>
        <w:rPr>
          <w:lang w:val="fr-CH"/>
        </w:rPr>
      </w:pPr>
      <w:r w:rsidRPr="00245476">
        <w:rPr>
          <w:i/>
          <w:lang w:val="fr-CH"/>
        </w:rPr>
        <w:t>b)</w:t>
      </w:r>
      <w:r w:rsidRPr="00245476">
        <w:rPr>
          <w:lang w:val="fr-CH"/>
        </w:rPr>
        <w:tab/>
      </w:r>
      <w:r w:rsidR="00245476" w:rsidRPr="00245476">
        <w:rPr>
          <w:lang w:val="fr-CH"/>
        </w:rPr>
        <w:t>qu</w:t>
      </w:r>
      <w:r w:rsidR="006908DA">
        <w:rPr>
          <w:lang w:val="fr-CH"/>
        </w:rPr>
        <w:t>'</w:t>
      </w:r>
      <w:r w:rsidR="00245476" w:rsidRPr="00245476">
        <w:rPr>
          <w:lang w:val="fr-CH"/>
        </w:rPr>
        <w:t>une grande partie de la population mondiale</w:t>
      </w:r>
      <w:r w:rsidR="00245476">
        <w:rPr>
          <w:lang w:val="fr-CH"/>
        </w:rPr>
        <w:t xml:space="preserve"> n</w:t>
      </w:r>
      <w:r w:rsidR="006908DA">
        <w:rPr>
          <w:lang w:val="fr-CH"/>
        </w:rPr>
        <w:t>'</w:t>
      </w:r>
      <w:r w:rsidR="00245476">
        <w:rPr>
          <w:lang w:val="fr-CH"/>
        </w:rPr>
        <w:t xml:space="preserve">a toujours pas accès à une </w:t>
      </w:r>
      <w:r w:rsidR="00245476" w:rsidRPr="00245476">
        <w:rPr>
          <w:lang w:val="fr-CH"/>
        </w:rPr>
        <w:t>connectivité</w:t>
      </w:r>
      <w:r w:rsidR="00245476">
        <w:rPr>
          <w:lang w:val="fr-CH"/>
        </w:rPr>
        <w:t>, de sorte que les efforts se poursuiv</w:t>
      </w:r>
      <w:r w:rsidR="00B7645A">
        <w:rPr>
          <w:lang w:val="fr-CH"/>
        </w:rPr>
        <w:t>ent</w:t>
      </w:r>
      <w:r w:rsidR="00245476">
        <w:rPr>
          <w:lang w:val="fr-CH"/>
        </w:rPr>
        <w:t xml:space="preserve"> </w:t>
      </w:r>
      <w:r w:rsidR="00B7645A">
        <w:rPr>
          <w:lang w:val="fr-CH"/>
        </w:rPr>
        <w:t xml:space="preserve">en vue de </w:t>
      </w:r>
      <w:r w:rsidR="00245476">
        <w:rPr>
          <w:lang w:val="fr-CH"/>
        </w:rPr>
        <w:t xml:space="preserve">réduire la fracture </w:t>
      </w:r>
      <w:proofErr w:type="gramStart"/>
      <w:r w:rsidR="00245476">
        <w:rPr>
          <w:lang w:val="fr-CH"/>
        </w:rPr>
        <w:t>numérique</w:t>
      </w:r>
      <w:r w:rsidR="00644738">
        <w:rPr>
          <w:lang w:val="fr-CH"/>
        </w:rPr>
        <w:t>;</w:t>
      </w:r>
      <w:proofErr w:type="gramEnd"/>
    </w:p>
    <w:p w14:paraId="281B67FF" w14:textId="5DCA6C51" w:rsidR="00A26185" w:rsidRPr="00245476" w:rsidRDefault="00A26185" w:rsidP="00C03DA5">
      <w:pPr>
        <w:rPr>
          <w:lang w:val="fr-CH"/>
        </w:rPr>
      </w:pPr>
      <w:r w:rsidRPr="00245476">
        <w:rPr>
          <w:i/>
          <w:lang w:val="fr-CH"/>
        </w:rPr>
        <w:t>c)</w:t>
      </w:r>
      <w:r w:rsidRPr="00245476">
        <w:rPr>
          <w:lang w:val="fr-CH"/>
        </w:rPr>
        <w:tab/>
      </w:r>
      <w:r w:rsidR="00245476">
        <w:rPr>
          <w:lang w:val="fr-CH"/>
        </w:rPr>
        <w:t>que les systèmes IMT ont considérablement évolué, tant sur le plan</w:t>
      </w:r>
      <w:r w:rsidR="00644738">
        <w:rPr>
          <w:lang w:val="fr-CH"/>
        </w:rPr>
        <w:t xml:space="preserve"> </w:t>
      </w:r>
      <w:r w:rsidR="00245476">
        <w:rPr>
          <w:lang w:val="fr-CH"/>
        </w:rPr>
        <w:t xml:space="preserve">de </w:t>
      </w:r>
      <w:r w:rsidR="00C60CC0">
        <w:rPr>
          <w:lang w:val="fr-CH"/>
        </w:rPr>
        <w:t>l'</w:t>
      </w:r>
      <w:r w:rsidR="00245476">
        <w:rPr>
          <w:lang w:val="fr-CH"/>
        </w:rPr>
        <w:t>identification de bandes de fréquences que du point de vue du déploiement des réseaux</w:t>
      </w:r>
      <w:r w:rsidR="00644738">
        <w:rPr>
          <w:lang w:val="fr-CH"/>
        </w:rPr>
        <w:t xml:space="preserve"> </w:t>
      </w:r>
      <w:r w:rsidR="00245476">
        <w:rPr>
          <w:lang w:val="fr-CH"/>
        </w:rPr>
        <w:t xml:space="preserve">et des technologies </w:t>
      </w:r>
      <w:r w:rsidR="00644738">
        <w:rPr>
          <w:lang w:val="fr-CH"/>
        </w:rPr>
        <w:t>d'</w:t>
      </w:r>
      <w:r w:rsidR="00245476">
        <w:rPr>
          <w:lang w:val="fr-CH"/>
        </w:rPr>
        <w:t xml:space="preserve">accès </w:t>
      </w:r>
      <w:r w:rsidR="00245476">
        <w:rPr>
          <w:color w:val="000000"/>
        </w:rPr>
        <w:t>hertzien</w:t>
      </w:r>
      <w:r w:rsidR="00245476">
        <w:rPr>
          <w:lang w:val="fr-CH"/>
        </w:rPr>
        <w:t xml:space="preserve">, </w:t>
      </w:r>
      <w:r w:rsidR="0025181C">
        <w:rPr>
          <w:lang w:val="fr-CH"/>
        </w:rPr>
        <w:t>par suite</w:t>
      </w:r>
      <w:r w:rsidR="00245476">
        <w:rPr>
          <w:lang w:val="fr-CH"/>
        </w:rPr>
        <w:t xml:space="preserve"> de la normalisation des</w:t>
      </w:r>
      <w:r w:rsidR="00644738">
        <w:rPr>
          <w:lang w:val="fr-CH"/>
        </w:rPr>
        <w:t xml:space="preserve"> </w:t>
      </w:r>
      <w:r w:rsidR="00245476">
        <w:rPr>
          <w:color w:val="000000"/>
        </w:rPr>
        <w:t>IMT-évoluées</w:t>
      </w:r>
      <w:r w:rsidR="00245476">
        <w:rPr>
          <w:lang w:val="fr-CH"/>
        </w:rPr>
        <w:t xml:space="preserve"> et des </w:t>
      </w:r>
      <w:r w:rsidR="00245476" w:rsidRPr="002C34A9">
        <w:rPr>
          <w:lang w:val="fr-CH"/>
        </w:rPr>
        <w:t>IMT-</w:t>
      </w:r>
      <w:proofErr w:type="gramStart"/>
      <w:r w:rsidR="00245476" w:rsidRPr="002C34A9">
        <w:rPr>
          <w:lang w:val="fr-CH"/>
        </w:rPr>
        <w:t>2020</w:t>
      </w:r>
      <w:r w:rsidR="00644738">
        <w:rPr>
          <w:lang w:val="fr-CH"/>
        </w:rPr>
        <w:t>;</w:t>
      </w:r>
      <w:proofErr w:type="gramEnd"/>
    </w:p>
    <w:p w14:paraId="3E717748" w14:textId="39AA4BD9" w:rsidR="00A26185" w:rsidRPr="00B7645A" w:rsidRDefault="00A26185" w:rsidP="00C03DA5">
      <w:pPr>
        <w:rPr>
          <w:lang w:val="fr-CH"/>
        </w:rPr>
      </w:pPr>
      <w:r w:rsidRPr="00B7645A">
        <w:rPr>
          <w:i/>
          <w:lang w:val="fr-CH"/>
        </w:rPr>
        <w:t>d)</w:t>
      </w:r>
      <w:r w:rsidRPr="00B7645A">
        <w:rPr>
          <w:lang w:val="fr-CH"/>
        </w:rPr>
        <w:tab/>
      </w:r>
      <w:r w:rsidR="00B7645A" w:rsidRPr="00B7645A">
        <w:rPr>
          <w:lang w:val="fr-CH"/>
        </w:rPr>
        <w:t xml:space="preserve">que les études sur de nouvelles topologies pour les réseaux IMT permettront </w:t>
      </w:r>
      <w:r w:rsidR="00644738">
        <w:rPr>
          <w:lang w:val="fr-CH"/>
        </w:rPr>
        <w:t>d'</w:t>
      </w:r>
      <w:r w:rsidR="00B7645A">
        <w:rPr>
          <w:lang w:val="fr-CH"/>
        </w:rPr>
        <w:t xml:space="preserve">accroître </w:t>
      </w:r>
      <w:r w:rsidR="00C60CC0">
        <w:rPr>
          <w:lang w:val="fr-CH"/>
        </w:rPr>
        <w:t>l'</w:t>
      </w:r>
      <w:r w:rsidR="00B7645A">
        <w:rPr>
          <w:lang w:val="fr-CH"/>
        </w:rPr>
        <w:t xml:space="preserve">efficacité </w:t>
      </w:r>
      <w:r w:rsidR="00644738">
        <w:rPr>
          <w:lang w:val="fr-CH"/>
        </w:rPr>
        <w:t>d'</w:t>
      </w:r>
      <w:r w:rsidR="00B7645A">
        <w:rPr>
          <w:lang w:val="fr-CH"/>
        </w:rPr>
        <w:t xml:space="preserve">utilisation du spectre pour les bandes déjà identifiées pour les </w:t>
      </w:r>
      <w:proofErr w:type="gramStart"/>
      <w:r w:rsidR="00B7645A">
        <w:rPr>
          <w:lang w:val="fr-CH"/>
        </w:rPr>
        <w:t>IMT</w:t>
      </w:r>
      <w:r w:rsidR="00644738">
        <w:rPr>
          <w:lang w:val="fr-CH"/>
        </w:rPr>
        <w:t>;</w:t>
      </w:r>
      <w:proofErr w:type="gramEnd"/>
    </w:p>
    <w:p w14:paraId="21F9D03D" w14:textId="4608CAB1" w:rsidR="00A26185" w:rsidRPr="00B7645A" w:rsidRDefault="00A26185" w:rsidP="00C03DA5">
      <w:pPr>
        <w:rPr>
          <w:lang w:val="fr-CH"/>
        </w:rPr>
      </w:pPr>
      <w:r w:rsidRPr="00B7645A">
        <w:rPr>
          <w:i/>
          <w:lang w:val="fr-CH"/>
        </w:rPr>
        <w:t>e)</w:t>
      </w:r>
      <w:r w:rsidRPr="00B7645A">
        <w:rPr>
          <w:i/>
          <w:lang w:val="fr-CH"/>
        </w:rPr>
        <w:tab/>
      </w:r>
      <w:r w:rsidR="00B7645A">
        <w:rPr>
          <w:iCs/>
          <w:lang w:val="fr-CH"/>
        </w:rPr>
        <w:t>qu</w:t>
      </w:r>
      <w:r w:rsidR="006908DA">
        <w:rPr>
          <w:iCs/>
          <w:lang w:val="fr-CH"/>
        </w:rPr>
        <w:t>'</w:t>
      </w:r>
      <w:r w:rsidR="00B7645A">
        <w:rPr>
          <w:iCs/>
          <w:lang w:val="fr-CH"/>
        </w:rPr>
        <w:t xml:space="preserve">il est possible </w:t>
      </w:r>
      <w:r w:rsidR="00644738">
        <w:rPr>
          <w:iCs/>
          <w:lang w:val="fr-CH"/>
        </w:rPr>
        <w:t>d'</w:t>
      </w:r>
      <w:r w:rsidR="00B7645A">
        <w:rPr>
          <w:iCs/>
          <w:lang w:val="fr-CH"/>
        </w:rPr>
        <w:t xml:space="preserve">utiliser </w:t>
      </w:r>
      <w:r w:rsidR="00B7645A" w:rsidRPr="00B7645A">
        <w:rPr>
          <w:iCs/>
          <w:lang w:val="fr-CH"/>
        </w:rPr>
        <w:t>les stations de base IMT placées sur des plates-formes à haute altitude pour</w:t>
      </w:r>
      <w:r w:rsidR="00B7645A">
        <w:rPr>
          <w:iCs/>
          <w:lang w:val="fr-CH"/>
        </w:rPr>
        <w:t xml:space="preserve"> élargir la connectivité mobile, en tirant parti de leur capacité </w:t>
      </w:r>
      <w:r w:rsidR="0025181C">
        <w:rPr>
          <w:iCs/>
          <w:lang w:val="fr-CH"/>
        </w:rPr>
        <w:t>de</w:t>
      </w:r>
      <w:r w:rsidR="00B7645A">
        <w:rPr>
          <w:iCs/>
          <w:lang w:val="fr-CH"/>
        </w:rPr>
        <w:t xml:space="preserve"> desservir</w:t>
      </w:r>
      <w:r w:rsidR="00644738">
        <w:rPr>
          <w:i/>
          <w:lang w:val="fr-CH"/>
        </w:rPr>
        <w:t xml:space="preserve"> </w:t>
      </w:r>
      <w:r w:rsidR="00B7645A" w:rsidRPr="00B7645A">
        <w:rPr>
          <w:color w:val="000000"/>
          <w:lang w:val="fr-CH"/>
        </w:rPr>
        <w:t>des zones étendues</w:t>
      </w:r>
      <w:r w:rsidR="00B7645A" w:rsidRPr="00B7645A">
        <w:rPr>
          <w:lang w:val="fr-CH"/>
        </w:rPr>
        <w:t xml:space="preserve"> </w:t>
      </w:r>
      <w:r w:rsidR="00B7645A" w:rsidRPr="00B7645A">
        <w:rPr>
          <w:color w:val="000000"/>
          <w:lang w:val="fr-CH"/>
        </w:rPr>
        <w:t xml:space="preserve">avec un faible temps de </w:t>
      </w:r>
      <w:proofErr w:type="gramStart"/>
      <w:r w:rsidR="00B7645A" w:rsidRPr="00B7645A">
        <w:rPr>
          <w:color w:val="000000"/>
          <w:lang w:val="fr-CH"/>
        </w:rPr>
        <w:t>latence</w:t>
      </w:r>
      <w:r w:rsidR="00644738">
        <w:rPr>
          <w:color w:val="000000"/>
          <w:lang w:val="fr-CH"/>
        </w:rPr>
        <w:t>;</w:t>
      </w:r>
      <w:proofErr w:type="gramEnd"/>
    </w:p>
    <w:p w14:paraId="07B667CA" w14:textId="48680631" w:rsidR="00A26185" w:rsidRPr="001448D9" w:rsidRDefault="00A26185" w:rsidP="00C03DA5">
      <w:pPr>
        <w:rPr>
          <w:lang w:val="fr-CH"/>
        </w:rPr>
      </w:pPr>
      <w:r w:rsidRPr="001448D9">
        <w:rPr>
          <w:i/>
          <w:lang w:val="fr-CH"/>
        </w:rPr>
        <w:lastRenderedPageBreak/>
        <w:t>f)</w:t>
      </w:r>
      <w:r w:rsidRPr="001448D9">
        <w:rPr>
          <w:i/>
          <w:lang w:val="fr-CH"/>
        </w:rPr>
        <w:tab/>
      </w:r>
      <w:r w:rsidR="001448D9" w:rsidRPr="001448D9">
        <w:rPr>
          <w:iCs/>
          <w:lang w:val="fr-CH"/>
        </w:rPr>
        <w:t xml:space="preserve">que les avancées techniques récentes dans les domaines des batteries et des panneaux solaires </w:t>
      </w:r>
      <w:r w:rsidR="001448D9">
        <w:rPr>
          <w:iCs/>
          <w:lang w:val="fr-CH"/>
        </w:rPr>
        <w:t>plaident encore davantage en faveur du déploiement de</w:t>
      </w:r>
      <w:r w:rsidR="0025181C">
        <w:rPr>
          <w:iCs/>
          <w:lang w:val="fr-CH"/>
        </w:rPr>
        <w:t>s</w:t>
      </w:r>
      <w:r w:rsidR="001448D9">
        <w:rPr>
          <w:iCs/>
          <w:lang w:val="fr-CH"/>
        </w:rPr>
        <w:t xml:space="preserve"> stations de base IMT placées sur des plates-formes à haute </w:t>
      </w:r>
      <w:proofErr w:type="gramStart"/>
      <w:r w:rsidR="001448D9">
        <w:rPr>
          <w:iCs/>
          <w:lang w:val="fr-CH"/>
        </w:rPr>
        <w:t>altitude</w:t>
      </w:r>
      <w:r w:rsidR="00644738">
        <w:rPr>
          <w:iCs/>
          <w:lang w:val="fr-CH"/>
        </w:rPr>
        <w:t>;</w:t>
      </w:r>
      <w:proofErr w:type="gramEnd"/>
    </w:p>
    <w:p w14:paraId="7BB869A0" w14:textId="33ADACDD" w:rsidR="00A26185" w:rsidRPr="001448D9" w:rsidRDefault="00A26185" w:rsidP="00C03DA5">
      <w:pPr>
        <w:rPr>
          <w:lang w:val="fr-CH"/>
        </w:rPr>
      </w:pPr>
      <w:r w:rsidRPr="001448D9">
        <w:rPr>
          <w:i/>
          <w:lang w:val="fr-CH"/>
        </w:rPr>
        <w:t>g)</w:t>
      </w:r>
      <w:r w:rsidRPr="001448D9">
        <w:rPr>
          <w:i/>
          <w:lang w:val="fr-CH"/>
        </w:rPr>
        <w:tab/>
      </w:r>
      <w:r w:rsidR="001448D9" w:rsidRPr="00430C67">
        <w:rPr>
          <w:iCs/>
          <w:lang w:val="fr-CH"/>
        </w:rPr>
        <w:t xml:space="preserve">que les </w:t>
      </w:r>
      <w:r w:rsidR="001448D9" w:rsidRPr="001448D9">
        <w:rPr>
          <w:iCs/>
          <w:lang w:val="fr-CH"/>
        </w:rPr>
        <w:t>stations de base IMT placées sur des plates-formes à haute altitude</w:t>
      </w:r>
      <w:r w:rsidR="00A71549">
        <w:rPr>
          <w:iCs/>
          <w:lang w:val="fr-CH"/>
        </w:rPr>
        <w:t xml:space="preserve"> </w:t>
      </w:r>
      <w:r w:rsidR="001448D9" w:rsidRPr="001448D9">
        <w:rPr>
          <w:iCs/>
          <w:lang w:val="fr-CH"/>
        </w:rPr>
        <w:t>seraient utilisées en complément des réseaux IMT de Terre,</w:t>
      </w:r>
      <w:r w:rsidR="001448D9" w:rsidRPr="001448D9">
        <w:rPr>
          <w:lang w:val="fr-CH"/>
        </w:rPr>
        <w:t xml:space="preserve"> </w:t>
      </w:r>
      <w:r w:rsidR="001448D9">
        <w:rPr>
          <w:lang w:val="fr-CH"/>
        </w:rPr>
        <w:t>et peuvent dès lors utiliser les mêmes</w:t>
      </w:r>
      <w:r w:rsidR="00644738">
        <w:rPr>
          <w:lang w:val="fr-CH"/>
        </w:rPr>
        <w:t xml:space="preserve"> </w:t>
      </w:r>
      <w:r w:rsidR="001448D9">
        <w:rPr>
          <w:lang w:val="fr-CH"/>
        </w:rPr>
        <w:t xml:space="preserve">bandes de fréquences que les stations de base IMT au sol, afin de permettre aux communautés mal desservies </w:t>
      </w:r>
      <w:r w:rsidR="0025181C">
        <w:rPr>
          <w:lang w:val="fr-CH"/>
        </w:rPr>
        <w:t xml:space="preserve">et </w:t>
      </w:r>
      <w:r w:rsidR="001448D9">
        <w:rPr>
          <w:lang w:val="fr-CH"/>
        </w:rPr>
        <w:t xml:space="preserve">aux habitants des zones rurales et isolées de bénéficier </w:t>
      </w:r>
      <w:r w:rsidR="00644738">
        <w:rPr>
          <w:lang w:val="fr-CH"/>
        </w:rPr>
        <w:t>d'</w:t>
      </w:r>
      <w:r w:rsidR="001448D9">
        <w:rPr>
          <w:lang w:val="fr-CH"/>
        </w:rPr>
        <w:t xml:space="preserve">une connectivité </w:t>
      </w:r>
      <w:proofErr w:type="gramStart"/>
      <w:r w:rsidR="001448D9">
        <w:rPr>
          <w:lang w:val="fr-CH"/>
        </w:rPr>
        <w:t>mobile</w:t>
      </w:r>
      <w:r w:rsidR="00644738">
        <w:rPr>
          <w:lang w:val="fr-CH"/>
        </w:rPr>
        <w:t>;</w:t>
      </w:r>
      <w:proofErr w:type="gramEnd"/>
    </w:p>
    <w:p w14:paraId="6CB916A2" w14:textId="28CD613E" w:rsidR="00A26185" w:rsidRPr="00094B44" w:rsidRDefault="00A26185" w:rsidP="00C03DA5">
      <w:pPr>
        <w:rPr>
          <w:lang w:val="fr-CH"/>
        </w:rPr>
      </w:pPr>
      <w:r w:rsidRPr="00094B44">
        <w:rPr>
          <w:i/>
          <w:lang w:val="fr-CH"/>
        </w:rPr>
        <w:t>h)</w:t>
      </w:r>
      <w:r w:rsidRPr="00094B44">
        <w:rPr>
          <w:lang w:val="fr-CH"/>
        </w:rPr>
        <w:tab/>
      </w:r>
      <w:r w:rsidR="00094B44">
        <w:rPr>
          <w:lang w:val="fr-CH"/>
        </w:rPr>
        <w:t xml:space="preserve">que les équipements </w:t>
      </w:r>
      <w:r w:rsidR="00644738">
        <w:rPr>
          <w:lang w:val="fr-CH"/>
        </w:rPr>
        <w:t>d'</w:t>
      </w:r>
      <w:r w:rsidR="00094B44">
        <w:rPr>
          <w:lang w:val="fr-CH"/>
        </w:rPr>
        <w:t>utilisateur</w:t>
      </w:r>
      <w:r w:rsidR="00644738">
        <w:rPr>
          <w:lang w:val="fr-CH"/>
        </w:rPr>
        <w:t xml:space="preserve"> </w:t>
      </w:r>
      <w:r w:rsidR="00094B44">
        <w:rPr>
          <w:lang w:val="fr-CH"/>
        </w:rPr>
        <w:t xml:space="preserve">qui seront desservis par des stations de base IMT placées sur des plates-formes à haute altitude ou par des stations de base IMT au sol sont les mêmes et prennent actuellement en charge diverses bandes de fréquences identifiées pour les </w:t>
      </w:r>
      <w:proofErr w:type="gramStart"/>
      <w:r w:rsidR="00094B44">
        <w:rPr>
          <w:lang w:val="fr-CH"/>
        </w:rPr>
        <w:t>IMT</w:t>
      </w:r>
      <w:r w:rsidR="00644738">
        <w:rPr>
          <w:lang w:val="fr-CH"/>
        </w:rPr>
        <w:t>;</w:t>
      </w:r>
      <w:proofErr w:type="gramEnd"/>
    </w:p>
    <w:p w14:paraId="13A63A44" w14:textId="4DEE1A35" w:rsidR="00A26185" w:rsidRPr="00094B44" w:rsidRDefault="00A26185" w:rsidP="00C03DA5">
      <w:pPr>
        <w:rPr>
          <w:lang w:val="fr-CH"/>
        </w:rPr>
      </w:pPr>
      <w:r w:rsidRPr="00094B44">
        <w:rPr>
          <w:i/>
          <w:lang w:val="fr-CH"/>
        </w:rPr>
        <w:t>i)</w:t>
      </w:r>
      <w:r w:rsidRPr="00094B44">
        <w:rPr>
          <w:lang w:val="fr-CH"/>
        </w:rPr>
        <w:tab/>
      </w:r>
      <w:r w:rsidR="00094B44" w:rsidRPr="00094B44">
        <w:rPr>
          <w:lang w:val="fr-CH"/>
        </w:rPr>
        <w:t xml:space="preserve">que </w:t>
      </w:r>
      <w:r w:rsidR="00C60CC0">
        <w:rPr>
          <w:lang w:val="fr-CH"/>
        </w:rPr>
        <w:t>l'</w:t>
      </w:r>
      <w:r w:rsidR="00094B44" w:rsidRPr="00094B44">
        <w:rPr>
          <w:lang w:val="fr-CH"/>
        </w:rPr>
        <w:t xml:space="preserve">utilisation des </w:t>
      </w:r>
      <w:r w:rsidR="00094B44" w:rsidRPr="00094B44">
        <w:rPr>
          <w:iCs/>
          <w:lang w:val="fr-CH"/>
        </w:rPr>
        <w:t>stations de base IMT placées sur des plates-formes à haute altitude</w:t>
      </w:r>
      <w:r w:rsidR="00644738">
        <w:rPr>
          <w:iCs/>
          <w:lang w:val="fr-CH"/>
        </w:rPr>
        <w:t xml:space="preserve"> </w:t>
      </w:r>
      <w:r w:rsidR="00094B44" w:rsidRPr="00094B44">
        <w:rPr>
          <w:lang w:val="fr-CH"/>
        </w:rPr>
        <w:t>dans le cadre de la composante de Terre des IMT n</w:t>
      </w:r>
      <w:r w:rsidR="00094B44">
        <w:rPr>
          <w:lang w:val="fr-CH"/>
        </w:rPr>
        <w:t xml:space="preserve">e </w:t>
      </w:r>
      <w:r w:rsidR="00094B44" w:rsidRPr="00094B44">
        <w:rPr>
          <w:lang w:val="fr-CH"/>
        </w:rPr>
        <w:t xml:space="preserve">devrait bénéficier </w:t>
      </w:r>
      <w:r w:rsidR="00644738">
        <w:rPr>
          <w:lang w:val="fr-CH"/>
        </w:rPr>
        <w:t>d'</w:t>
      </w:r>
      <w:r w:rsidR="00094B44" w:rsidRPr="00094B44">
        <w:rPr>
          <w:lang w:val="fr-CH"/>
        </w:rPr>
        <w:t>aucune priorité,</w:t>
      </w:r>
      <w:r w:rsidR="00644738">
        <w:rPr>
          <w:lang w:val="fr-CH"/>
        </w:rPr>
        <w:t xml:space="preserve"> </w:t>
      </w:r>
      <w:r w:rsidR="00094B44">
        <w:rPr>
          <w:lang w:val="fr-CH"/>
        </w:rPr>
        <w:t xml:space="preserve">et ne doit imposer aucune contrainte inutile susceptible </w:t>
      </w:r>
      <w:r w:rsidR="00644738">
        <w:rPr>
          <w:lang w:val="fr-CH"/>
        </w:rPr>
        <w:t>d'</w:t>
      </w:r>
      <w:r w:rsidR="00094B44">
        <w:rPr>
          <w:lang w:val="fr-CH"/>
        </w:rPr>
        <w:t xml:space="preserve">entraîner des modifications </w:t>
      </w:r>
      <w:r w:rsidR="00644738">
        <w:rPr>
          <w:lang w:val="fr-CH"/>
        </w:rPr>
        <w:t>d'</w:t>
      </w:r>
      <w:r w:rsidR="00094B44">
        <w:rPr>
          <w:lang w:val="fr-CH"/>
        </w:rPr>
        <w:t xml:space="preserve">ordre réglementaire des bandes actuellement identifiées pour les IMT dans le Règlement des </w:t>
      </w:r>
      <w:proofErr w:type="gramStart"/>
      <w:r w:rsidR="00094B44">
        <w:rPr>
          <w:lang w:val="fr-CH"/>
        </w:rPr>
        <w:t>radiocommunications</w:t>
      </w:r>
      <w:r w:rsidR="00644738">
        <w:rPr>
          <w:lang w:val="fr-CH"/>
        </w:rPr>
        <w:t>;</w:t>
      </w:r>
      <w:proofErr w:type="gramEnd"/>
    </w:p>
    <w:p w14:paraId="6B160E74" w14:textId="03888FA6" w:rsidR="00A26185" w:rsidRPr="00D05965" w:rsidRDefault="00A26185" w:rsidP="00C03DA5">
      <w:pPr>
        <w:rPr>
          <w:lang w:val="fr-CH"/>
        </w:rPr>
      </w:pPr>
      <w:r w:rsidRPr="00D05965">
        <w:rPr>
          <w:i/>
          <w:lang w:val="fr-CH"/>
        </w:rPr>
        <w:t>j</w:t>
      </w:r>
      <w:r w:rsidRPr="00D05965">
        <w:rPr>
          <w:lang w:val="fr-CH"/>
        </w:rPr>
        <w:t xml:space="preserve">) </w:t>
      </w:r>
      <w:r w:rsidRPr="00D05965">
        <w:rPr>
          <w:lang w:val="fr-CH"/>
        </w:rPr>
        <w:tab/>
      </w:r>
      <w:r w:rsidR="00D05965" w:rsidRPr="00D05965">
        <w:rPr>
          <w:lang w:val="fr-CH"/>
        </w:rPr>
        <w:t>qu</w:t>
      </w:r>
      <w:r w:rsidR="006908DA">
        <w:rPr>
          <w:lang w:val="fr-CH"/>
        </w:rPr>
        <w:t>'</w:t>
      </w:r>
      <w:r w:rsidR="00D05965" w:rsidRPr="00D05965">
        <w:rPr>
          <w:lang w:val="fr-CH"/>
        </w:rPr>
        <w:t>il faut procéder à des études pour démontrer que le partage avec les services existants dans la bande est possible, y compris avec les autres utilisations des IMT</w:t>
      </w:r>
      <w:r w:rsidR="00D05965">
        <w:rPr>
          <w:lang w:val="fr-CH"/>
        </w:rPr>
        <w:t>,</w:t>
      </w:r>
      <w:r w:rsidR="00D05965" w:rsidRPr="00D05965">
        <w:rPr>
          <w:lang w:val="fr-CH"/>
        </w:rPr>
        <w:t xml:space="preserve"> </w:t>
      </w:r>
      <w:r w:rsidR="00D05965">
        <w:rPr>
          <w:lang w:val="fr-CH"/>
        </w:rPr>
        <w:t>et que ces services existants bénéficie</w:t>
      </w:r>
      <w:r w:rsidR="0025181C">
        <w:rPr>
          <w:lang w:val="fr-CH"/>
        </w:rPr>
        <w:t>ro</w:t>
      </w:r>
      <w:r w:rsidR="00D05965">
        <w:rPr>
          <w:lang w:val="fr-CH"/>
        </w:rPr>
        <w:t xml:space="preserve">nt </w:t>
      </w:r>
      <w:r w:rsidR="00644738">
        <w:rPr>
          <w:lang w:val="fr-CH"/>
        </w:rPr>
        <w:t>d'</w:t>
      </w:r>
      <w:r w:rsidR="00D05965">
        <w:rPr>
          <w:lang w:val="fr-CH"/>
        </w:rPr>
        <w:t>une protection sans que de nouvelles restrictions réglementaires soient imposées aux utilisations existantes,</w:t>
      </w:r>
    </w:p>
    <w:p w14:paraId="48356A7B" w14:textId="1E998826" w:rsidR="00A26185" w:rsidRPr="00A26185" w:rsidRDefault="00A26185" w:rsidP="00C03DA5">
      <w:pPr>
        <w:pStyle w:val="Call"/>
        <w:rPr>
          <w:lang w:val="en-GB"/>
        </w:rPr>
      </w:pPr>
      <w:proofErr w:type="spellStart"/>
      <w:r w:rsidRPr="00A26185">
        <w:rPr>
          <w:lang w:val="en-GB"/>
        </w:rPr>
        <w:t>not</w:t>
      </w:r>
      <w:r w:rsidR="00DC762A">
        <w:rPr>
          <w:lang w:val="en-GB"/>
        </w:rPr>
        <w:t>ant</w:t>
      </w:r>
      <w:proofErr w:type="spellEnd"/>
    </w:p>
    <w:p w14:paraId="4442D1B7" w14:textId="0010E61F" w:rsidR="00A26185" w:rsidRPr="00C83F69" w:rsidRDefault="00DC762A" w:rsidP="00C03DA5">
      <w:pPr>
        <w:rPr>
          <w:lang w:val="fr-CH"/>
        </w:rPr>
      </w:pPr>
      <w:proofErr w:type="gramStart"/>
      <w:r w:rsidRPr="00C83F69">
        <w:rPr>
          <w:lang w:val="fr-CH"/>
        </w:rPr>
        <w:t>que</w:t>
      </w:r>
      <w:proofErr w:type="gramEnd"/>
      <w:r w:rsidRPr="00C83F69">
        <w:rPr>
          <w:lang w:val="fr-CH"/>
        </w:rPr>
        <w:t xml:space="preserve"> les</w:t>
      </w:r>
      <w:r w:rsidR="00644738">
        <w:rPr>
          <w:lang w:val="fr-CH"/>
        </w:rPr>
        <w:t xml:space="preserve"> </w:t>
      </w:r>
      <w:r w:rsidR="00A26185" w:rsidRPr="00C83F69">
        <w:rPr>
          <w:lang w:val="fr-CH"/>
        </w:rPr>
        <w:t>Recomm</w:t>
      </w:r>
      <w:r w:rsidRPr="00C83F69">
        <w:rPr>
          <w:lang w:val="fr-CH"/>
        </w:rPr>
        <w:t>a</w:t>
      </w:r>
      <w:r w:rsidR="00A26185" w:rsidRPr="00C83F69">
        <w:rPr>
          <w:lang w:val="fr-CH"/>
        </w:rPr>
        <w:t xml:space="preserve">ndations </w:t>
      </w:r>
      <w:r w:rsidR="00723290" w:rsidRPr="00C83F69">
        <w:rPr>
          <w:lang w:val="fr-CH"/>
        </w:rPr>
        <w:t>UIT</w:t>
      </w:r>
      <w:r w:rsidR="00A26185" w:rsidRPr="00C83F69">
        <w:rPr>
          <w:lang w:val="fr-CH"/>
        </w:rPr>
        <w:t>-R M.1456</w:t>
      </w:r>
      <w:r w:rsidR="00644738">
        <w:rPr>
          <w:lang w:val="fr-CH"/>
        </w:rPr>
        <w:t xml:space="preserve"> </w:t>
      </w:r>
      <w:r w:rsidRPr="00C83F69">
        <w:rPr>
          <w:lang w:val="fr-CH"/>
        </w:rPr>
        <w:t>et</w:t>
      </w:r>
      <w:r w:rsidR="00644738">
        <w:rPr>
          <w:lang w:val="fr-CH"/>
        </w:rPr>
        <w:t xml:space="preserve"> </w:t>
      </w:r>
      <w:r w:rsidR="00A26185" w:rsidRPr="00C83F69">
        <w:rPr>
          <w:lang w:val="fr-CH"/>
        </w:rPr>
        <w:t xml:space="preserve">M.1641 </w:t>
      </w:r>
      <w:r w:rsidRPr="00C83F69">
        <w:rPr>
          <w:lang w:val="fr-CH"/>
        </w:rPr>
        <w:t>définissent les caractéristiques techniques, les</w:t>
      </w:r>
      <w:r w:rsidR="005E1393">
        <w:rPr>
          <w:lang w:val="fr-CH"/>
        </w:rPr>
        <w:t> </w:t>
      </w:r>
      <w:r w:rsidRPr="00C83F69">
        <w:rPr>
          <w:lang w:val="fr-CH"/>
        </w:rPr>
        <w:t xml:space="preserve">conditions </w:t>
      </w:r>
      <w:r w:rsidR="00644738">
        <w:rPr>
          <w:lang w:val="fr-CH"/>
        </w:rPr>
        <w:t>d'</w:t>
      </w:r>
      <w:r w:rsidRPr="00C83F69">
        <w:rPr>
          <w:lang w:val="fr-CH"/>
        </w:rPr>
        <w:t>exploitation</w:t>
      </w:r>
      <w:r w:rsidR="00644738">
        <w:rPr>
          <w:lang w:val="fr-CH"/>
        </w:rPr>
        <w:t xml:space="preserve"> </w:t>
      </w:r>
      <w:r w:rsidRPr="00C83F69">
        <w:rPr>
          <w:lang w:val="fr-CH"/>
        </w:rPr>
        <w:t xml:space="preserve">ainsi que la méthode à appliquer pour les études </w:t>
      </w:r>
      <w:r w:rsidR="00C83F69" w:rsidRPr="00C83F69">
        <w:rPr>
          <w:lang w:val="fr-CH"/>
        </w:rPr>
        <w:t>relatives aux stations de base IMT placées sur des plates-formes à haute altitude</w:t>
      </w:r>
      <w:r w:rsidR="00C83F69">
        <w:rPr>
          <w:lang w:val="fr-CH"/>
        </w:rPr>
        <w:t xml:space="preserve"> </w:t>
      </w:r>
      <w:r w:rsidR="0025181C">
        <w:rPr>
          <w:lang w:val="fr-CH"/>
        </w:rPr>
        <w:t xml:space="preserve">et </w:t>
      </w:r>
      <w:r w:rsidR="00C83F69">
        <w:rPr>
          <w:lang w:val="fr-CH"/>
        </w:rPr>
        <w:t xml:space="preserve">les systèmes </w:t>
      </w:r>
      <w:r w:rsidR="00C83F69" w:rsidRPr="00C83F69">
        <w:rPr>
          <w:lang w:val="fr-CH"/>
        </w:rPr>
        <w:t xml:space="preserve">IMT au sol dans certaines bandes </w:t>
      </w:r>
      <w:r w:rsidR="00C83F69">
        <w:rPr>
          <w:lang w:val="fr-CH"/>
        </w:rPr>
        <w:t>au voisinage de</w:t>
      </w:r>
      <w:r w:rsidR="00644738">
        <w:rPr>
          <w:lang w:val="fr-CH"/>
        </w:rPr>
        <w:t xml:space="preserve"> </w:t>
      </w:r>
      <w:r w:rsidR="00A26185" w:rsidRPr="00C83F69">
        <w:rPr>
          <w:lang w:val="fr-CH"/>
        </w:rPr>
        <w:t>1</w:t>
      </w:r>
      <w:r w:rsidR="005E1393">
        <w:rPr>
          <w:lang w:val="fr-CH"/>
        </w:rPr>
        <w:t>,</w:t>
      </w:r>
      <w:r w:rsidR="00A26185" w:rsidRPr="00C83F69">
        <w:rPr>
          <w:lang w:val="fr-CH"/>
        </w:rPr>
        <w:t>9/2</w:t>
      </w:r>
      <w:r w:rsidR="005E1393">
        <w:rPr>
          <w:lang w:val="fr-CH"/>
        </w:rPr>
        <w:t>,</w:t>
      </w:r>
      <w:r w:rsidR="00A26185" w:rsidRPr="00C83F69">
        <w:rPr>
          <w:lang w:val="fr-CH"/>
        </w:rPr>
        <w:t>1 GHz,</w:t>
      </w:r>
    </w:p>
    <w:p w14:paraId="70A6CEBD" w14:textId="26A0FAED" w:rsidR="00480BDF" w:rsidRPr="0006253B" w:rsidRDefault="0006253B" w:rsidP="00C03DA5">
      <w:pPr>
        <w:pStyle w:val="Call"/>
        <w:rPr>
          <w:lang w:val="fr-CH"/>
        </w:rPr>
      </w:pPr>
      <w:proofErr w:type="gramStart"/>
      <w:r w:rsidRPr="0006253B">
        <w:rPr>
          <w:lang w:val="fr-CH"/>
        </w:rPr>
        <w:t>reconnaissant</w:t>
      </w:r>
      <w:proofErr w:type="gramEnd"/>
    </w:p>
    <w:p w14:paraId="4EBE217D" w14:textId="57582174" w:rsidR="00FE20EE" w:rsidRDefault="00FE20EE" w:rsidP="00C03DA5">
      <w:r w:rsidRPr="00723290">
        <w:rPr>
          <w:i/>
          <w:iCs/>
          <w:lang w:val="fr-CH"/>
        </w:rPr>
        <w:t>a)</w:t>
      </w:r>
      <w:r w:rsidRPr="00723290">
        <w:rPr>
          <w:lang w:val="fr-CH"/>
        </w:rPr>
        <w:tab/>
      </w:r>
      <w:r w:rsidRPr="00FE20EE">
        <w:t>qu'une station placée sur une plate-forme à haute altitude</w:t>
      </w:r>
      <w:r w:rsidR="00644738">
        <w:t xml:space="preserve"> </w:t>
      </w:r>
      <w:r w:rsidRPr="00FE20EE">
        <w:t>est définie au numéro </w:t>
      </w:r>
      <w:r w:rsidRPr="00FE20EE">
        <w:rPr>
          <w:b/>
          <w:bCs/>
        </w:rPr>
        <w:t>1.66A</w:t>
      </w:r>
      <w:r w:rsidRPr="00FE20EE">
        <w:t xml:space="preserve"> comme étant une</w:t>
      </w:r>
      <w:r w:rsidR="00644738">
        <w:t xml:space="preserve"> </w:t>
      </w:r>
      <w:r w:rsidRPr="00FE20EE">
        <w:t>station installée sur un objet placé à une altitude comprise entre 20 et 50 km et en</w:t>
      </w:r>
      <w:r w:rsidR="008105CE">
        <w:t> </w:t>
      </w:r>
      <w:r w:rsidRPr="00FE20EE">
        <w:t xml:space="preserve">un point spécifié, nominal, fixe par rapport à la </w:t>
      </w:r>
      <w:proofErr w:type="gramStart"/>
      <w:r w:rsidRPr="00FE20EE">
        <w:t>Terre</w:t>
      </w:r>
      <w:r w:rsidR="00644738">
        <w:t>;</w:t>
      </w:r>
      <w:proofErr w:type="gramEnd"/>
    </w:p>
    <w:p w14:paraId="0659D1E6" w14:textId="16312EC7" w:rsidR="00FE20EE" w:rsidRPr="0006253B" w:rsidRDefault="00FE20EE" w:rsidP="00C03DA5">
      <w:pPr>
        <w:rPr>
          <w:i/>
        </w:rPr>
      </w:pPr>
      <w:r w:rsidRPr="0006253B">
        <w:rPr>
          <w:i/>
          <w:iCs/>
        </w:rPr>
        <w:t>b)</w:t>
      </w:r>
      <w:r w:rsidRPr="0006253B">
        <w:tab/>
      </w:r>
      <w:r w:rsidR="0006253B" w:rsidRPr="0006253B">
        <w:t xml:space="preserve">que les bandes </w:t>
      </w:r>
      <w:r w:rsidRPr="0006253B">
        <w:t>1 885-1 980 MHz, 2 010-2 025 MHz</w:t>
      </w:r>
      <w:r w:rsidR="00644738">
        <w:t xml:space="preserve"> </w:t>
      </w:r>
      <w:r w:rsidR="0006253B" w:rsidRPr="0006253B">
        <w:t>et</w:t>
      </w:r>
      <w:r w:rsidR="00644738">
        <w:t xml:space="preserve"> </w:t>
      </w:r>
      <w:r w:rsidRPr="0006253B">
        <w:t>2 110-2 170 MHz</w:t>
      </w:r>
      <w:r w:rsidR="0006253B" w:rsidRPr="0006253B">
        <w:t xml:space="preserve"> dans les Régions </w:t>
      </w:r>
      <w:r w:rsidRPr="0006253B">
        <w:t xml:space="preserve">1 </w:t>
      </w:r>
      <w:r w:rsidR="0006253B" w:rsidRPr="0006253B">
        <w:t>et</w:t>
      </w:r>
      <w:r w:rsidR="00644738">
        <w:t xml:space="preserve"> </w:t>
      </w:r>
      <w:r w:rsidRPr="0006253B">
        <w:t>3,</w:t>
      </w:r>
      <w:r w:rsidR="0006253B" w:rsidRPr="0006253B">
        <w:t xml:space="preserve"> et les bandes </w:t>
      </w:r>
      <w:r w:rsidRPr="0006253B">
        <w:t>1 885-1 980 MHz</w:t>
      </w:r>
      <w:r w:rsidR="00644738">
        <w:t xml:space="preserve"> </w:t>
      </w:r>
      <w:r w:rsidR="0006253B">
        <w:t xml:space="preserve">et </w:t>
      </w:r>
      <w:r w:rsidRPr="0006253B">
        <w:t>2 110-2 160 MHz</w:t>
      </w:r>
      <w:r w:rsidR="0006253B" w:rsidRPr="0006253B">
        <w:t xml:space="preserve"> dans la Région </w:t>
      </w:r>
      <w:r w:rsidRPr="0006253B">
        <w:t xml:space="preserve">2, </w:t>
      </w:r>
      <w:r w:rsidR="00EF1452">
        <w:t>figurent dans le numéro</w:t>
      </w:r>
      <w:r w:rsidR="00644738">
        <w:t xml:space="preserve"> </w:t>
      </w:r>
      <w:r w:rsidRPr="0006253B">
        <w:rPr>
          <w:b/>
        </w:rPr>
        <w:t>5.388A</w:t>
      </w:r>
      <w:r w:rsidRPr="0006253B">
        <w:t xml:space="preserve"> </w:t>
      </w:r>
      <w:r w:rsidR="0025181C">
        <w:t xml:space="preserve">aux fins de </w:t>
      </w:r>
      <w:r w:rsidR="00C60CC0">
        <w:t>l'</w:t>
      </w:r>
      <w:r w:rsidR="00EF1452">
        <w:t xml:space="preserve">utilisation des </w:t>
      </w:r>
      <w:r w:rsidR="00EF1452" w:rsidRPr="00094B44">
        <w:rPr>
          <w:iCs/>
          <w:lang w:val="fr-CH"/>
        </w:rPr>
        <w:t>stations de base IMT placées sur des plates-formes à</w:t>
      </w:r>
      <w:r w:rsidR="008105CE">
        <w:rPr>
          <w:iCs/>
          <w:lang w:val="fr-CH"/>
        </w:rPr>
        <w:t> </w:t>
      </w:r>
      <w:r w:rsidR="00EF1452" w:rsidRPr="00094B44">
        <w:rPr>
          <w:iCs/>
          <w:lang w:val="fr-CH"/>
        </w:rPr>
        <w:t>haute altitude</w:t>
      </w:r>
      <w:r w:rsidR="00EF1452">
        <w:rPr>
          <w:iCs/>
          <w:lang w:val="fr-CH"/>
        </w:rPr>
        <w:t>, conformément aux dispositions de la Résolution</w:t>
      </w:r>
      <w:r w:rsidR="00644738">
        <w:rPr>
          <w:iCs/>
          <w:lang w:val="fr-CH"/>
        </w:rPr>
        <w:t xml:space="preserve"> </w:t>
      </w:r>
      <w:r w:rsidRPr="0006253B">
        <w:rPr>
          <w:b/>
        </w:rPr>
        <w:t>221 (</w:t>
      </w:r>
      <w:r w:rsidR="00723290" w:rsidRPr="0006253B">
        <w:rPr>
          <w:b/>
        </w:rPr>
        <w:t>Rév</w:t>
      </w:r>
      <w:r w:rsidRPr="0006253B">
        <w:rPr>
          <w:b/>
        </w:rPr>
        <w:t>.</w:t>
      </w:r>
      <w:r w:rsidR="00723290" w:rsidRPr="0006253B">
        <w:rPr>
          <w:b/>
        </w:rPr>
        <w:t>CMR</w:t>
      </w:r>
      <w:r w:rsidRPr="0006253B">
        <w:rPr>
          <w:b/>
        </w:rPr>
        <w:t>-07</w:t>
      </w:r>
      <w:proofErr w:type="gramStart"/>
      <w:r w:rsidRPr="0006253B">
        <w:rPr>
          <w:b/>
        </w:rPr>
        <w:t>)</w:t>
      </w:r>
      <w:r w:rsidRPr="0006253B">
        <w:t>;</w:t>
      </w:r>
      <w:proofErr w:type="gramEnd"/>
    </w:p>
    <w:p w14:paraId="3ED618A1" w14:textId="22375B94" w:rsidR="00FE20EE" w:rsidRPr="00EF1452" w:rsidRDefault="00FE20EE" w:rsidP="00C03DA5">
      <w:pPr>
        <w:rPr>
          <w:lang w:val="fr-CH"/>
        </w:rPr>
      </w:pPr>
      <w:r w:rsidRPr="00EF1452">
        <w:rPr>
          <w:i/>
          <w:lang w:val="fr-CH"/>
        </w:rPr>
        <w:t>c)</w:t>
      </w:r>
      <w:r w:rsidRPr="00EF1452">
        <w:rPr>
          <w:i/>
          <w:lang w:val="fr-CH"/>
        </w:rPr>
        <w:tab/>
      </w:r>
      <w:r w:rsidR="00EF1452" w:rsidRPr="00EF1452">
        <w:rPr>
          <w:iCs/>
          <w:lang w:val="fr-CH"/>
        </w:rPr>
        <w:t>que différentes bande</w:t>
      </w:r>
      <w:r w:rsidR="00EF1452">
        <w:rPr>
          <w:iCs/>
          <w:lang w:val="fr-CH"/>
        </w:rPr>
        <w:t xml:space="preserve">s </w:t>
      </w:r>
      <w:r w:rsidR="00EF1452" w:rsidRPr="00EF1452">
        <w:rPr>
          <w:iCs/>
          <w:lang w:val="fr-CH"/>
        </w:rPr>
        <w:t xml:space="preserve">au-dessous de </w:t>
      </w:r>
      <w:r w:rsidR="00EF1452" w:rsidRPr="00EF1452">
        <w:rPr>
          <w:lang w:val="fr-CH"/>
        </w:rPr>
        <w:t>2</w:t>
      </w:r>
      <w:r w:rsidR="0025181C">
        <w:rPr>
          <w:lang w:val="fr-CH"/>
        </w:rPr>
        <w:t>,</w:t>
      </w:r>
      <w:r w:rsidR="00EF1452" w:rsidRPr="00EF1452">
        <w:rPr>
          <w:lang w:val="fr-CH"/>
        </w:rPr>
        <w:t xml:space="preserve">7 GHz </w:t>
      </w:r>
      <w:r w:rsidR="00EF1452" w:rsidRPr="00EF1452">
        <w:rPr>
          <w:iCs/>
          <w:lang w:val="fr-CH"/>
        </w:rPr>
        <w:t xml:space="preserve">sont harmonisées à </w:t>
      </w:r>
      <w:r w:rsidR="00C60CC0">
        <w:rPr>
          <w:iCs/>
          <w:lang w:val="fr-CH"/>
        </w:rPr>
        <w:t>l'</w:t>
      </w:r>
      <w:r w:rsidR="00EF1452" w:rsidRPr="00EF1452">
        <w:rPr>
          <w:iCs/>
          <w:lang w:val="fr-CH"/>
        </w:rPr>
        <w:t>échelle mondiale ou régionale pour les IMT, conformément aux dispositions des numéros</w:t>
      </w:r>
      <w:r w:rsidR="005D41D6">
        <w:rPr>
          <w:i/>
          <w:lang w:val="fr-CH"/>
        </w:rPr>
        <w:t xml:space="preserve"> </w:t>
      </w:r>
      <w:r w:rsidRPr="00EF1452">
        <w:rPr>
          <w:b/>
          <w:lang w:val="fr-CH"/>
        </w:rPr>
        <w:t>5.286AA</w:t>
      </w:r>
      <w:r w:rsidRPr="00EF1452">
        <w:rPr>
          <w:lang w:val="fr-CH"/>
        </w:rPr>
        <w:t xml:space="preserve">, </w:t>
      </w:r>
      <w:r w:rsidRPr="00EF1452">
        <w:rPr>
          <w:b/>
          <w:lang w:val="fr-CH"/>
        </w:rPr>
        <w:t>5.317A</w:t>
      </w:r>
      <w:r w:rsidRPr="00EF1452">
        <w:rPr>
          <w:lang w:val="fr-CH"/>
        </w:rPr>
        <w:t xml:space="preserve">, </w:t>
      </w:r>
      <w:r w:rsidRPr="00EF1452">
        <w:rPr>
          <w:b/>
          <w:lang w:val="fr-CH"/>
        </w:rPr>
        <w:t>5.341A</w:t>
      </w:r>
      <w:r w:rsidRPr="00EF1452">
        <w:rPr>
          <w:lang w:val="fr-CH"/>
        </w:rPr>
        <w:t xml:space="preserve">, </w:t>
      </w:r>
      <w:r w:rsidRPr="00EF1452">
        <w:rPr>
          <w:b/>
          <w:lang w:val="fr-CH"/>
        </w:rPr>
        <w:t>5.341B</w:t>
      </w:r>
      <w:r w:rsidRPr="00EF1452">
        <w:rPr>
          <w:lang w:val="fr-CH"/>
        </w:rPr>
        <w:t xml:space="preserve">, </w:t>
      </w:r>
      <w:r w:rsidRPr="00EF1452">
        <w:rPr>
          <w:b/>
          <w:lang w:val="fr-CH"/>
        </w:rPr>
        <w:t>5.341C</w:t>
      </w:r>
      <w:r w:rsidRPr="00EF1452">
        <w:rPr>
          <w:lang w:val="fr-CH"/>
        </w:rPr>
        <w:t xml:space="preserve">, </w:t>
      </w:r>
      <w:r w:rsidRPr="00EF1452">
        <w:rPr>
          <w:b/>
          <w:lang w:val="fr-CH"/>
        </w:rPr>
        <w:t>5.346A</w:t>
      </w:r>
      <w:r w:rsidRPr="00EF1452">
        <w:rPr>
          <w:lang w:val="fr-CH"/>
        </w:rPr>
        <w:t xml:space="preserve">, </w:t>
      </w:r>
      <w:r w:rsidRPr="00EF1452">
        <w:rPr>
          <w:b/>
          <w:lang w:val="fr-CH"/>
        </w:rPr>
        <w:t>5.384A</w:t>
      </w:r>
      <w:r w:rsidR="00EF1452">
        <w:rPr>
          <w:lang w:val="fr-CH"/>
        </w:rPr>
        <w:t xml:space="preserve"> et</w:t>
      </w:r>
      <w:r w:rsidR="00644738">
        <w:rPr>
          <w:lang w:val="fr-CH"/>
        </w:rPr>
        <w:t xml:space="preserve"> </w:t>
      </w:r>
      <w:r w:rsidRPr="00EF1452">
        <w:rPr>
          <w:b/>
          <w:lang w:val="fr-CH"/>
        </w:rPr>
        <w:t>5.388</w:t>
      </w:r>
      <w:r w:rsidRPr="00EF1452">
        <w:rPr>
          <w:bCs/>
          <w:lang w:val="fr-CH"/>
        </w:rPr>
        <w:t>;</w:t>
      </w:r>
    </w:p>
    <w:p w14:paraId="367BBB8B" w14:textId="09158D79" w:rsidR="00FE20EE" w:rsidRPr="00EF1452" w:rsidRDefault="00FE20EE" w:rsidP="00C03DA5">
      <w:pPr>
        <w:rPr>
          <w:lang w:val="fr-CH"/>
        </w:rPr>
      </w:pPr>
      <w:r w:rsidRPr="00EF1452">
        <w:rPr>
          <w:i/>
          <w:iCs/>
          <w:lang w:val="fr-CH"/>
        </w:rPr>
        <w:t>d)</w:t>
      </w:r>
      <w:r w:rsidRPr="00EF1452">
        <w:rPr>
          <w:i/>
          <w:iCs/>
          <w:lang w:val="fr-CH"/>
        </w:rPr>
        <w:tab/>
      </w:r>
      <w:r w:rsidR="00EF1452" w:rsidRPr="00EF1452">
        <w:rPr>
          <w:lang w:val="fr-CH"/>
        </w:rPr>
        <w:t>que les nouvelles considérations touchant aux procédures réglementaires</w:t>
      </w:r>
      <w:r w:rsidR="00EF1452">
        <w:rPr>
          <w:lang w:val="fr-CH"/>
        </w:rPr>
        <w:t xml:space="preserve"> </w:t>
      </w:r>
      <w:r w:rsidR="00EF1452" w:rsidRPr="00EF1452">
        <w:rPr>
          <w:lang w:val="fr-CH"/>
        </w:rPr>
        <w:t>qui pourrai</w:t>
      </w:r>
      <w:r w:rsidR="00EF1452">
        <w:rPr>
          <w:lang w:val="fr-CH"/>
        </w:rPr>
        <w:t>en</w:t>
      </w:r>
      <w:r w:rsidR="00EF1452" w:rsidRPr="00EF1452">
        <w:rPr>
          <w:lang w:val="fr-CH"/>
        </w:rPr>
        <w:t xml:space="preserve">t résulter </w:t>
      </w:r>
      <w:r w:rsidR="00EF1452">
        <w:rPr>
          <w:lang w:val="fr-CH"/>
        </w:rPr>
        <w:t xml:space="preserve">de </w:t>
      </w:r>
      <w:r w:rsidR="00EF1452">
        <w:rPr>
          <w:color w:val="000000"/>
        </w:rPr>
        <w:t>l'identification éventuelle</w:t>
      </w:r>
      <w:r w:rsidR="00EF1452">
        <w:rPr>
          <w:lang w:val="fr-CH"/>
        </w:rPr>
        <w:t xml:space="preserve"> de bandes</w:t>
      </w:r>
      <w:r w:rsidR="00644738">
        <w:rPr>
          <w:lang w:val="fr-CH"/>
        </w:rPr>
        <w:t xml:space="preserve"> </w:t>
      </w:r>
      <w:r w:rsidR="00EF1452">
        <w:rPr>
          <w:lang w:val="fr-CH"/>
        </w:rPr>
        <w:t>pour les stations de base IMT placées sur des plates</w:t>
      </w:r>
      <w:r w:rsidR="005D41D6">
        <w:rPr>
          <w:lang w:val="fr-CH"/>
        </w:rPr>
        <w:noBreakHyphen/>
      </w:r>
      <w:r w:rsidR="00EF1452">
        <w:rPr>
          <w:lang w:val="fr-CH"/>
        </w:rPr>
        <w:t xml:space="preserve">formes </w:t>
      </w:r>
      <w:r w:rsidR="00E80A23">
        <w:rPr>
          <w:lang w:val="fr-CH"/>
        </w:rPr>
        <w:t xml:space="preserve">à haute </w:t>
      </w:r>
      <w:r w:rsidR="00EF1452">
        <w:rPr>
          <w:lang w:val="fr-CH"/>
        </w:rPr>
        <w:t>altitude ne devraient pas s</w:t>
      </w:r>
      <w:r w:rsidR="006908DA">
        <w:rPr>
          <w:lang w:val="fr-CH"/>
        </w:rPr>
        <w:t>'</w:t>
      </w:r>
      <w:r w:rsidR="00EF1452">
        <w:rPr>
          <w:lang w:val="fr-CH"/>
        </w:rPr>
        <w:t xml:space="preserve">appliquer aux bandes actuellement identifiées pour les IMT dans le </w:t>
      </w:r>
      <w:proofErr w:type="gramStart"/>
      <w:r w:rsidR="00EF1452">
        <w:rPr>
          <w:lang w:val="fr-CH"/>
        </w:rPr>
        <w:t>RR</w:t>
      </w:r>
      <w:r w:rsidR="00644738">
        <w:rPr>
          <w:lang w:val="fr-CH"/>
        </w:rPr>
        <w:t>;</w:t>
      </w:r>
      <w:proofErr w:type="gramEnd"/>
    </w:p>
    <w:p w14:paraId="43D6A248" w14:textId="0D1F93DC" w:rsidR="00FE20EE" w:rsidRPr="00EF1452" w:rsidRDefault="00FE20EE" w:rsidP="00C03DA5">
      <w:pPr>
        <w:rPr>
          <w:lang w:val="fr-CH"/>
        </w:rPr>
      </w:pPr>
      <w:r w:rsidRPr="00EF1452">
        <w:rPr>
          <w:i/>
          <w:lang w:val="fr-CH"/>
        </w:rPr>
        <w:t>e)</w:t>
      </w:r>
      <w:r w:rsidRPr="00EF1452">
        <w:rPr>
          <w:lang w:val="fr-CH"/>
        </w:rPr>
        <w:t xml:space="preserve"> </w:t>
      </w:r>
      <w:r w:rsidRPr="00EF1452">
        <w:rPr>
          <w:lang w:val="fr-CH"/>
        </w:rPr>
        <w:tab/>
      </w:r>
      <w:r w:rsidR="00EF1452" w:rsidRPr="00EF1452">
        <w:rPr>
          <w:lang w:val="fr-CH"/>
        </w:rPr>
        <w:t>que les études devraient être limitées au partage et à la compatibilité entre les stations de</w:t>
      </w:r>
      <w:r w:rsidR="005D41D6">
        <w:rPr>
          <w:lang w:val="fr-CH"/>
        </w:rPr>
        <w:t> </w:t>
      </w:r>
      <w:r w:rsidR="00EF1452" w:rsidRPr="00EF1452">
        <w:rPr>
          <w:lang w:val="fr-CH"/>
        </w:rPr>
        <w:t xml:space="preserve">base IMT placées sur des plates-formes à haute altitude </w:t>
      </w:r>
      <w:r w:rsidR="0025181C">
        <w:rPr>
          <w:lang w:val="fr-CH"/>
        </w:rPr>
        <w:t xml:space="preserve">et </w:t>
      </w:r>
      <w:r w:rsidR="00EF1452" w:rsidRPr="00EF1452">
        <w:rPr>
          <w:lang w:val="fr-CH"/>
        </w:rPr>
        <w:t xml:space="preserve">les autres services et applications </w:t>
      </w:r>
      <w:proofErr w:type="gramStart"/>
      <w:r w:rsidR="00EF1452" w:rsidRPr="00EF1452">
        <w:rPr>
          <w:lang w:val="fr-CH"/>
        </w:rPr>
        <w:t>existants</w:t>
      </w:r>
      <w:r w:rsidR="00644738">
        <w:rPr>
          <w:lang w:val="fr-CH"/>
        </w:rPr>
        <w:t>;</w:t>
      </w:r>
      <w:proofErr w:type="gramEnd"/>
    </w:p>
    <w:p w14:paraId="1C1C7562" w14:textId="0F781DF1" w:rsidR="00FE20EE" w:rsidRPr="00EF1452" w:rsidRDefault="00FE20EE" w:rsidP="00C03DA5">
      <w:pPr>
        <w:rPr>
          <w:lang w:val="fr-CH"/>
        </w:rPr>
      </w:pPr>
      <w:r w:rsidRPr="00EF1452">
        <w:rPr>
          <w:i/>
          <w:iCs/>
          <w:lang w:val="fr-CH"/>
        </w:rPr>
        <w:t>f)</w:t>
      </w:r>
      <w:r w:rsidRPr="00EF1452">
        <w:rPr>
          <w:lang w:val="fr-CH"/>
        </w:rPr>
        <w:t xml:space="preserve"> </w:t>
      </w:r>
      <w:r w:rsidRPr="00EF1452">
        <w:rPr>
          <w:lang w:val="fr-CH"/>
        </w:rPr>
        <w:tab/>
      </w:r>
      <w:r w:rsidR="00EF1452" w:rsidRPr="00EF1452">
        <w:rPr>
          <w:lang w:val="fr-CH"/>
        </w:rPr>
        <w:t>que les bandes identifiées pour les IMT au-dessous de 2</w:t>
      </w:r>
      <w:r w:rsidR="0025181C">
        <w:rPr>
          <w:lang w:val="fr-CH"/>
        </w:rPr>
        <w:t>,</w:t>
      </w:r>
      <w:r w:rsidR="00EF1452" w:rsidRPr="00EF1452">
        <w:rPr>
          <w:lang w:val="fr-CH"/>
        </w:rPr>
        <w:t>7 GHz son</w:t>
      </w:r>
      <w:r w:rsidR="00EF1452">
        <w:rPr>
          <w:lang w:val="fr-CH"/>
        </w:rPr>
        <w:t>t</w:t>
      </w:r>
      <w:r w:rsidR="00EF1452" w:rsidRPr="00EF1452">
        <w:rPr>
          <w:lang w:val="fr-CH"/>
        </w:rPr>
        <w:t xml:space="preserve"> largement utilisé</w:t>
      </w:r>
      <w:r w:rsidR="00EF1452">
        <w:rPr>
          <w:lang w:val="fr-CH"/>
        </w:rPr>
        <w:t>es</w:t>
      </w:r>
      <w:r w:rsidR="00EF1452" w:rsidRPr="00EF1452">
        <w:rPr>
          <w:lang w:val="fr-CH"/>
        </w:rPr>
        <w:t xml:space="preserve"> pour fournir des services large</w:t>
      </w:r>
      <w:r w:rsidR="00EF1452">
        <w:rPr>
          <w:lang w:val="fr-CH"/>
        </w:rPr>
        <w:t xml:space="preserve"> bande</w:t>
      </w:r>
      <w:r w:rsidR="00644738">
        <w:rPr>
          <w:lang w:val="fr-CH"/>
        </w:rPr>
        <w:t xml:space="preserve"> </w:t>
      </w:r>
      <w:r w:rsidR="00EF1452" w:rsidRPr="00EF1452">
        <w:rPr>
          <w:lang w:val="fr-CH"/>
        </w:rPr>
        <w:t>mobiles au moyen de systèmes IMT au sol,</w:t>
      </w:r>
    </w:p>
    <w:p w14:paraId="0ACFE02F" w14:textId="327F7746" w:rsidR="00FE20EE" w:rsidRPr="00FE20EE" w:rsidRDefault="00733E70" w:rsidP="00C03DA5">
      <w:pPr>
        <w:pStyle w:val="Call"/>
        <w:rPr>
          <w:lang w:val="en-GB"/>
        </w:rPr>
      </w:pPr>
      <w:proofErr w:type="spellStart"/>
      <w:r>
        <w:rPr>
          <w:lang w:val="en-GB"/>
        </w:rPr>
        <w:lastRenderedPageBreak/>
        <w:t>décide</w:t>
      </w:r>
      <w:proofErr w:type="spellEnd"/>
      <w:r>
        <w:rPr>
          <w:lang w:val="en-GB"/>
        </w:rPr>
        <w:t xml:space="preserve"> </w:t>
      </w:r>
      <w:proofErr w:type="spellStart"/>
      <w:r w:rsidR="00644738">
        <w:rPr>
          <w:lang w:val="en-GB"/>
        </w:rPr>
        <w:t>d'</w:t>
      </w:r>
      <w:r>
        <w:rPr>
          <w:lang w:val="en-GB"/>
        </w:rPr>
        <w:t>inviter</w:t>
      </w:r>
      <w:proofErr w:type="spellEnd"/>
      <w:r>
        <w:rPr>
          <w:lang w:val="en-GB"/>
        </w:rPr>
        <w:t xml:space="preserve"> </w:t>
      </w:r>
      <w:proofErr w:type="spellStart"/>
      <w:r w:rsidR="00C60CC0">
        <w:rPr>
          <w:lang w:val="en-GB"/>
        </w:rPr>
        <w:t>l'</w:t>
      </w:r>
      <w:r>
        <w:rPr>
          <w:lang w:val="en-GB"/>
        </w:rPr>
        <w:t>UIT</w:t>
      </w:r>
      <w:proofErr w:type="spellEnd"/>
      <w:r>
        <w:rPr>
          <w:lang w:val="en-GB"/>
        </w:rPr>
        <w:t>-R</w:t>
      </w:r>
    </w:p>
    <w:p w14:paraId="63D82BA9" w14:textId="51E02507" w:rsidR="00FE20EE" w:rsidRPr="007F4754" w:rsidRDefault="00FE20EE" w:rsidP="00C03DA5">
      <w:pPr>
        <w:rPr>
          <w:lang w:val="fr-CH"/>
        </w:rPr>
      </w:pPr>
      <w:r w:rsidRPr="007F4754">
        <w:rPr>
          <w:lang w:val="fr-CH"/>
        </w:rPr>
        <w:t>1</w:t>
      </w:r>
      <w:r w:rsidRPr="007F4754">
        <w:rPr>
          <w:lang w:val="fr-CH"/>
        </w:rPr>
        <w:tab/>
      </w:r>
      <w:r w:rsidR="00733E70" w:rsidRPr="007F4754">
        <w:rPr>
          <w:lang w:val="fr-CH"/>
        </w:rPr>
        <w:t xml:space="preserve">à </w:t>
      </w:r>
      <w:r w:rsidR="00733E70" w:rsidRPr="007F4754">
        <w:rPr>
          <w:color w:val="000000"/>
          <w:lang w:val="fr-CH"/>
        </w:rPr>
        <w:t xml:space="preserve">mener, et à achever à temps pour la CMR-23, compte tenu des résultats des études déjà effectuées et de celles qui sont actuellement menées par </w:t>
      </w:r>
      <w:r w:rsidR="00C60CC0">
        <w:rPr>
          <w:lang w:val="fr-CH"/>
        </w:rPr>
        <w:t>l'</w:t>
      </w:r>
      <w:r w:rsidR="007F4754" w:rsidRPr="007F4754">
        <w:rPr>
          <w:lang w:val="fr-CH"/>
        </w:rPr>
        <w:t>UIT-R,</w:t>
      </w:r>
      <w:r w:rsidR="00644738">
        <w:rPr>
          <w:color w:val="000000"/>
          <w:lang w:val="fr-CH"/>
        </w:rPr>
        <w:t xml:space="preserve"> </w:t>
      </w:r>
      <w:r w:rsidR="00733E70" w:rsidRPr="007F4754">
        <w:rPr>
          <w:color w:val="000000"/>
          <w:lang w:val="fr-CH"/>
        </w:rPr>
        <w:t>les études de partage et de compatibilité appropriée</w:t>
      </w:r>
      <w:r w:rsidR="007F4754" w:rsidRPr="007F4754">
        <w:rPr>
          <w:color w:val="000000"/>
          <w:lang w:val="fr-CH"/>
        </w:rPr>
        <w:t>s</w:t>
      </w:r>
      <w:r w:rsidR="00733E70" w:rsidRPr="007F4754">
        <w:rPr>
          <w:color w:val="000000"/>
          <w:lang w:val="fr-CH"/>
        </w:rPr>
        <w:t xml:space="preserve"> </w:t>
      </w:r>
      <w:r w:rsidR="007F4754">
        <w:rPr>
          <w:color w:val="000000"/>
          <w:lang w:val="fr-CH"/>
        </w:rPr>
        <w:t>pour assurer la protection des services auxquels la bande est attribuée à titre primaire,</w:t>
      </w:r>
      <w:r w:rsidR="007F4754" w:rsidRPr="007F4754">
        <w:rPr>
          <w:lang w:val="fr-CH"/>
        </w:rPr>
        <w:t xml:space="preserve"> </w:t>
      </w:r>
      <w:r w:rsidR="007F4754">
        <w:rPr>
          <w:lang w:val="fr-CH"/>
        </w:rPr>
        <w:t>y compris des autres utilisations</w:t>
      </w:r>
      <w:r w:rsidRPr="007F4754">
        <w:rPr>
          <w:lang w:val="fr-CH"/>
        </w:rPr>
        <w:t xml:space="preserve"> IMT</w:t>
      </w:r>
      <w:r w:rsidR="007F4754">
        <w:rPr>
          <w:lang w:val="fr-CH"/>
        </w:rPr>
        <w:t xml:space="preserve"> et des services exploités dans les bandes adjacentes, selon le cas</w:t>
      </w:r>
      <w:r w:rsidR="00644738">
        <w:rPr>
          <w:lang w:val="fr-CH"/>
        </w:rPr>
        <w:t>,</w:t>
      </w:r>
      <w:r w:rsidR="007F4754">
        <w:rPr>
          <w:lang w:val="fr-CH"/>
        </w:rPr>
        <w:t xml:space="preserve"> pour certaines bandes de fréquences au-dessous de </w:t>
      </w:r>
      <w:r w:rsidRPr="007F4754">
        <w:rPr>
          <w:lang w:val="fr-CH"/>
        </w:rPr>
        <w:t>2</w:t>
      </w:r>
      <w:r w:rsidR="00430C67">
        <w:rPr>
          <w:lang w:val="fr-CH"/>
        </w:rPr>
        <w:t>,</w:t>
      </w:r>
      <w:r w:rsidRPr="007F4754">
        <w:rPr>
          <w:lang w:val="fr-CH"/>
        </w:rPr>
        <w:t xml:space="preserve">7 GHz </w:t>
      </w:r>
      <w:r w:rsidR="007F4754">
        <w:rPr>
          <w:lang w:val="fr-CH"/>
        </w:rPr>
        <w:t>qui sont harmonisé</w:t>
      </w:r>
      <w:r w:rsidR="0025181C">
        <w:rPr>
          <w:lang w:val="fr-CH"/>
        </w:rPr>
        <w:t>e</w:t>
      </w:r>
      <w:r w:rsidR="007F4754">
        <w:rPr>
          <w:lang w:val="fr-CH"/>
        </w:rPr>
        <w:t>s au niveau mondial ou régional pour les IMT, à savoir les bandes:</w:t>
      </w:r>
    </w:p>
    <w:p w14:paraId="770FE242" w14:textId="1EF94BFF" w:rsidR="00FE20EE" w:rsidRPr="007F4754" w:rsidRDefault="0025181C" w:rsidP="00E80A23">
      <w:pPr>
        <w:pStyle w:val="enumlev1"/>
        <w:rPr>
          <w:lang w:val="fr-CH"/>
        </w:rPr>
      </w:pPr>
      <w:r w:rsidRPr="0025181C">
        <w:rPr>
          <w:lang w:val="fr-CH"/>
        </w:rPr>
        <w:t>–</w:t>
      </w:r>
      <w:r w:rsidR="00FE20EE" w:rsidRPr="007F4754">
        <w:rPr>
          <w:lang w:val="fr-CH"/>
        </w:rPr>
        <w:tab/>
        <w:t xml:space="preserve">450-470 MHz, 698-960 MHz, 1 427-1 518 MHz, 1 710-1 885 MHz, 2 160-2 200 MHz, 2 300-2 400 MHz, </w:t>
      </w:r>
      <w:r w:rsidR="007F4754" w:rsidRPr="007F4754">
        <w:rPr>
          <w:lang w:val="fr-CH"/>
        </w:rPr>
        <w:t>et</w:t>
      </w:r>
      <w:r w:rsidR="007F4754">
        <w:rPr>
          <w:lang w:val="fr-CH"/>
        </w:rPr>
        <w:t xml:space="preserve"> </w:t>
      </w:r>
      <w:r w:rsidR="00FE20EE" w:rsidRPr="007F4754">
        <w:rPr>
          <w:lang w:val="fr-CH"/>
        </w:rPr>
        <w:t>2 500-2 690 MHz,</w:t>
      </w:r>
    </w:p>
    <w:p w14:paraId="37680573" w14:textId="6AEDD85A" w:rsidR="00FE20EE" w:rsidRPr="007F4754" w:rsidRDefault="00FE20EE" w:rsidP="00C03DA5">
      <w:pPr>
        <w:rPr>
          <w:lang w:val="fr-CH"/>
        </w:rPr>
      </w:pPr>
      <w:r w:rsidRPr="007F4754">
        <w:rPr>
          <w:lang w:val="fr-CH"/>
        </w:rPr>
        <w:t>2</w:t>
      </w:r>
      <w:r w:rsidRPr="007F4754">
        <w:rPr>
          <w:lang w:val="fr-CH"/>
        </w:rPr>
        <w:tab/>
      </w:r>
      <w:r w:rsidR="007F4754" w:rsidRPr="007F4754">
        <w:rPr>
          <w:lang w:val="fr-CH"/>
        </w:rPr>
        <w:t xml:space="preserve">à étudier les modifications qu'il convient d'apporter au renvoi existant et </w:t>
      </w:r>
      <w:r w:rsidR="0025181C">
        <w:rPr>
          <w:lang w:val="fr-CH"/>
        </w:rPr>
        <w:t>à la</w:t>
      </w:r>
      <w:r w:rsidR="0025181C" w:rsidRPr="007F4754">
        <w:rPr>
          <w:lang w:val="fr-CH"/>
        </w:rPr>
        <w:t xml:space="preserve"> </w:t>
      </w:r>
      <w:r w:rsidR="007F4754" w:rsidRPr="007F4754">
        <w:rPr>
          <w:lang w:val="fr-CH"/>
        </w:rPr>
        <w:t>Résolution associée</w:t>
      </w:r>
      <w:r w:rsidR="00644738">
        <w:rPr>
          <w:lang w:val="fr-CH"/>
        </w:rPr>
        <w:t xml:space="preserve"> </w:t>
      </w:r>
      <w:r w:rsidR="007F4754">
        <w:t>en ce qui concerne les bandes de fréquences</w:t>
      </w:r>
      <w:r w:rsidR="00644738">
        <w:t xml:space="preserve"> </w:t>
      </w:r>
      <w:r w:rsidR="007F4754">
        <w:t xml:space="preserve">visées au point </w:t>
      </w:r>
      <w:r w:rsidR="007F4754" w:rsidRPr="00FA26A8">
        <w:rPr>
          <w:i/>
          <w:iCs/>
        </w:rPr>
        <w:t>b)</w:t>
      </w:r>
      <w:r w:rsidR="007F4754">
        <w:t xml:space="preserve"> du </w:t>
      </w:r>
      <w:r w:rsidR="007F4754" w:rsidRPr="00E80A23">
        <w:rPr>
          <w:i/>
          <w:iCs/>
        </w:rPr>
        <w:t>reconnaissant</w:t>
      </w:r>
      <w:r w:rsidR="007F4754">
        <w:t xml:space="preserve">, afin de faciliter </w:t>
      </w:r>
      <w:r w:rsidR="00C60CC0">
        <w:t>l'</w:t>
      </w:r>
      <w:r w:rsidR="007F4754">
        <w:t>utilisation des</w:t>
      </w:r>
      <w:r w:rsidR="007F4754">
        <w:rPr>
          <w:lang w:val="fr-CH"/>
        </w:rPr>
        <w:t xml:space="preserve"> stations de base IMT placées sur des plates-formes </w:t>
      </w:r>
      <w:r w:rsidR="00E80A23">
        <w:rPr>
          <w:lang w:val="fr-CH"/>
        </w:rPr>
        <w:t xml:space="preserve">à haute </w:t>
      </w:r>
      <w:r w:rsidR="007F4754">
        <w:rPr>
          <w:lang w:val="fr-CH"/>
        </w:rPr>
        <w:t>altitude compte</w:t>
      </w:r>
      <w:r w:rsidR="00E80A23">
        <w:rPr>
          <w:lang w:val="fr-CH"/>
        </w:rPr>
        <w:t> </w:t>
      </w:r>
      <w:r w:rsidR="007F4754">
        <w:rPr>
          <w:lang w:val="fr-CH"/>
        </w:rPr>
        <w:t xml:space="preserve">tenu des toutes dernières technologies </w:t>
      </w:r>
      <w:r w:rsidR="00644738">
        <w:rPr>
          <w:lang w:val="fr-CH"/>
        </w:rPr>
        <w:t>d'</w:t>
      </w:r>
      <w:r w:rsidR="007F4754">
        <w:rPr>
          <w:lang w:val="fr-CH"/>
        </w:rPr>
        <w:t xml:space="preserve">interface radioélectrique des systèmes </w:t>
      </w:r>
      <w:proofErr w:type="gramStart"/>
      <w:r w:rsidR="007F4754">
        <w:rPr>
          <w:lang w:val="fr-CH"/>
        </w:rPr>
        <w:t>IMT;</w:t>
      </w:r>
      <w:proofErr w:type="gramEnd"/>
    </w:p>
    <w:p w14:paraId="2CA5CFD7" w14:textId="7E2DDC35" w:rsidR="00FE20EE" w:rsidRPr="001F6CB5" w:rsidRDefault="00FE20EE" w:rsidP="00C03DA5">
      <w:pPr>
        <w:rPr>
          <w:lang w:val="fr-CH"/>
        </w:rPr>
      </w:pPr>
      <w:r w:rsidRPr="001F6CB5">
        <w:rPr>
          <w:lang w:val="fr-CH"/>
        </w:rPr>
        <w:t>3</w:t>
      </w:r>
      <w:r w:rsidRPr="001F6CB5">
        <w:rPr>
          <w:lang w:val="fr-CH"/>
        </w:rPr>
        <w:tab/>
      </w:r>
      <w:r w:rsidR="001F6CB5">
        <w:t>à élaborer des Recommandations et des rapports UIT-R, selon le cas, compte tenu des points 1 et 2</w:t>
      </w:r>
      <w:r w:rsidR="00644738">
        <w:t xml:space="preserve"> </w:t>
      </w:r>
      <w:r w:rsidR="001F6CB5">
        <w:t>du</w:t>
      </w:r>
      <w:r w:rsidR="00644738">
        <w:t xml:space="preserve"> </w:t>
      </w:r>
      <w:r w:rsidR="00E80A23">
        <w:rPr>
          <w:i/>
          <w:iCs/>
        </w:rPr>
        <w:t>décide d'inviter</w:t>
      </w:r>
      <w:r w:rsidR="00644738" w:rsidRPr="00B8487D">
        <w:rPr>
          <w:i/>
          <w:iCs/>
        </w:rPr>
        <w:t xml:space="preserve"> </w:t>
      </w:r>
      <w:r w:rsidR="001F6CB5" w:rsidRPr="00B8487D">
        <w:rPr>
          <w:i/>
          <w:iCs/>
        </w:rPr>
        <w:t>l'UIT-R</w:t>
      </w:r>
      <w:r w:rsidR="001F6CB5">
        <w:t xml:space="preserve"> ci-dessus,</w:t>
      </w:r>
    </w:p>
    <w:p w14:paraId="70233462" w14:textId="0B5A726F" w:rsidR="00FE20EE" w:rsidRPr="001F6CB5" w:rsidRDefault="001F6CB5" w:rsidP="00C03DA5">
      <w:pPr>
        <w:pStyle w:val="Call"/>
        <w:rPr>
          <w:lang w:val="fr-CH"/>
        </w:rPr>
      </w:pPr>
      <w:proofErr w:type="gramStart"/>
      <w:r w:rsidRPr="001F6CB5">
        <w:rPr>
          <w:lang w:val="fr-CH"/>
        </w:rPr>
        <w:t>décide</w:t>
      </w:r>
      <w:proofErr w:type="gramEnd"/>
      <w:r w:rsidRPr="001F6CB5">
        <w:rPr>
          <w:lang w:val="fr-CH"/>
        </w:rPr>
        <w:t xml:space="preserve"> en outre </w:t>
      </w:r>
      <w:r w:rsidR="00644738">
        <w:rPr>
          <w:lang w:val="fr-CH"/>
        </w:rPr>
        <w:t>d'</w:t>
      </w:r>
      <w:r w:rsidRPr="001F6CB5">
        <w:rPr>
          <w:lang w:val="fr-CH"/>
        </w:rPr>
        <w:t>inviter la</w:t>
      </w:r>
      <w:r w:rsidR="00644738">
        <w:rPr>
          <w:lang w:val="fr-CH"/>
        </w:rPr>
        <w:t xml:space="preserve"> </w:t>
      </w:r>
      <w:r w:rsidR="00723290" w:rsidRPr="001F6CB5">
        <w:rPr>
          <w:lang w:val="fr-CH"/>
        </w:rPr>
        <w:t>CMR</w:t>
      </w:r>
      <w:r w:rsidR="00FE20EE" w:rsidRPr="001F6CB5">
        <w:rPr>
          <w:lang w:val="fr-CH"/>
        </w:rPr>
        <w:t>-23</w:t>
      </w:r>
    </w:p>
    <w:p w14:paraId="119D862C" w14:textId="29106F5C" w:rsidR="00FE20EE" w:rsidRPr="00A269F7" w:rsidRDefault="00A269F7" w:rsidP="00C03DA5">
      <w:pPr>
        <w:rPr>
          <w:lang w:val="fr-CH"/>
        </w:rPr>
      </w:pPr>
      <w:r w:rsidRPr="00A269F7">
        <w:rPr>
          <w:color w:val="000000"/>
          <w:lang w:val="fr-CH"/>
        </w:rPr>
        <w:t>à examiner, sur la base des résultats des études</w:t>
      </w:r>
      <w:r w:rsidRPr="00A269F7">
        <w:rPr>
          <w:lang w:val="fr-CH"/>
        </w:rPr>
        <w:t xml:space="preserve"> ci-dessus, </w:t>
      </w:r>
      <w:r w:rsidR="00C60CC0">
        <w:rPr>
          <w:lang w:val="fr-CH"/>
        </w:rPr>
        <w:t>l'</w:t>
      </w:r>
      <w:r w:rsidRPr="00A269F7">
        <w:rPr>
          <w:lang w:val="fr-CH"/>
        </w:rPr>
        <w:t>utilisation des stations de base IMT placées sur des plates-formes à haute altitude dans certaines bandes au-dessous de</w:t>
      </w:r>
      <w:r w:rsidR="00644738">
        <w:rPr>
          <w:lang w:val="fr-CH"/>
        </w:rPr>
        <w:t xml:space="preserve"> </w:t>
      </w:r>
      <w:r w:rsidR="00FE20EE" w:rsidRPr="00A269F7">
        <w:rPr>
          <w:lang w:val="fr-CH"/>
        </w:rPr>
        <w:t>2</w:t>
      </w:r>
      <w:r w:rsidR="0025181C">
        <w:rPr>
          <w:lang w:val="fr-CH"/>
        </w:rPr>
        <w:t>,</w:t>
      </w:r>
      <w:r w:rsidR="00FE20EE" w:rsidRPr="00A269F7">
        <w:rPr>
          <w:lang w:val="fr-CH"/>
        </w:rPr>
        <w:t>7 GHz</w:t>
      </w:r>
      <w:r w:rsidRPr="00A269F7">
        <w:rPr>
          <w:lang w:val="fr-CH"/>
        </w:rPr>
        <w:t xml:space="preserve"> déjà identifié</w:t>
      </w:r>
      <w:r w:rsidR="0025181C">
        <w:rPr>
          <w:lang w:val="fr-CH"/>
        </w:rPr>
        <w:t>e</w:t>
      </w:r>
      <w:r w:rsidRPr="00A269F7">
        <w:rPr>
          <w:lang w:val="fr-CH"/>
        </w:rPr>
        <w:t xml:space="preserve">s pour les IMT à </w:t>
      </w:r>
      <w:r w:rsidR="00C60CC0">
        <w:rPr>
          <w:lang w:val="fr-CH"/>
        </w:rPr>
        <w:t>l'</w:t>
      </w:r>
      <w:r w:rsidRPr="00A269F7">
        <w:rPr>
          <w:lang w:val="fr-CH"/>
        </w:rPr>
        <w:t>échelle mondiale ou régionale, et à prendre les mesures réglementaires nécessaires</w:t>
      </w:r>
      <w:r>
        <w:rPr>
          <w:lang w:val="fr-CH"/>
        </w:rPr>
        <w:t>, le cas échéant, compte</w:t>
      </w:r>
      <w:r w:rsidR="00FF735B">
        <w:rPr>
          <w:lang w:val="fr-CH"/>
        </w:rPr>
        <w:t xml:space="preserve"> </w:t>
      </w:r>
      <w:r>
        <w:rPr>
          <w:lang w:val="fr-CH"/>
        </w:rPr>
        <w:t>tenu du fait</w:t>
      </w:r>
      <w:r w:rsidR="00644738">
        <w:rPr>
          <w:lang w:val="fr-CH"/>
        </w:rPr>
        <w:t xml:space="preserve"> </w:t>
      </w:r>
      <w:r>
        <w:rPr>
          <w:lang w:val="fr-CH"/>
        </w:rPr>
        <w:t>que des modifications apportées aux renvois visés au</w:t>
      </w:r>
      <w:r w:rsidR="00644738">
        <w:rPr>
          <w:lang w:val="fr-CH"/>
        </w:rPr>
        <w:t xml:space="preserve"> </w:t>
      </w:r>
      <w:r>
        <w:rPr>
          <w:lang w:val="fr-CH"/>
        </w:rPr>
        <w:t xml:space="preserve">point </w:t>
      </w:r>
      <w:r w:rsidRPr="00AC2CC0">
        <w:rPr>
          <w:i/>
          <w:iCs/>
          <w:lang w:val="fr-CH"/>
        </w:rPr>
        <w:t>c)</w:t>
      </w:r>
      <w:r>
        <w:rPr>
          <w:lang w:val="fr-CH"/>
        </w:rPr>
        <w:t xml:space="preserve"> du </w:t>
      </w:r>
      <w:r w:rsidRPr="00FF735B">
        <w:rPr>
          <w:i/>
          <w:iCs/>
          <w:lang w:val="fr-CH"/>
        </w:rPr>
        <w:t>reconnaissant</w:t>
      </w:r>
      <w:r>
        <w:rPr>
          <w:lang w:val="fr-CH"/>
        </w:rPr>
        <w:t xml:space="preserve"> n</w:t>
      </w:r>
      <w:r w:rsidR="006908DA">
        <w:rPr>
          <w:lang w:val="fr-CH"/>
        </w:rPr>
        <w:t>'</w:t>
      </w:r>
      <w:r>
        <w:rPr>
          <w:lang w:val="fr-CH"/>
        </w:rPr>
        <w:t>entrent pas dans le cadre de la présente Résolution</w:t>
      </w:r>
      <w:r w:rsidR="00644738">
        <w:rPr>
          <w:lang w:val="fr-CH"/>
        </w:rPr>
        <w:t xml:space="preserve"> </w:t>
      </w:r>
      <w:r>
        <w:rPr>
          <w:lang w:val="fr-CH"/>
        </w:rPr>
        <w:t>et qu</w:t>
      </w:r>
      <w:r w:rsidR="006908DA">
        <w:rPr>
          <w:lang w:val="fr-CH"/>
        </w:rPr>
        <w:t>'</w:t>
      </w:r>
      <w:r>
        <w:rPr>
          <w:lang w:val="fr-CH"/>
        </w:rPr>
        <w:t xml:space="preserve">aucune autre contrainte </w:t>
      </w:r>
      <w:r w:rsidR="00644738">
        <w:rPr>
          <w:lang w:val="fr-CH"/>
        </w:rPr>
        <w:t>d'</w:t>
      </w:r>
      <w:r>
        <w:rPr>
          <w:lang w:val="fr-CH"/>
        </w:rPr>
        <w:t>ordre technique ou réglementaire ne devrait être imposée</w:t>
      </w:r>
      <w:r w:rsidR="0025181C">
        <w:rPr>
          <w:lang w:val="fr-CH"/>
        </w:rPr>
        <w:t xml:space="preserve"> par les systèmes IMT au sol</w:t>
      </w:r>
      <w:r>
        <w:rPr>
          <w:lang w:val="fr-CH"/>
        </w:rPr>
        <w:t xml:space="preserve"> au déploiement des bandes visées dans ces renvois,</w:t>
      </w:r>
    </w:p>
    <w:p w14:paraId="3D5AC689" w14:textId="77777777" w:rsidR="001E53F0" w:rsidRPr="00723290" w:rsidRDefault="001E53F0" w:rsidP="00C03DA5">
      <w:pPr>
        <w:pStyle w:val="Call"/>
        <w:rPr>
          <w:lang w:val="fr-CH" w:eastAsia="en-GB"/>
        </w:rPr>
      </w:pPr>
      <w:proofErr w:type="gramStart"/>
      <w:r>
        <w:t>invite</w:t>
      </w:r>
      <w:proofErr w:type="gramEnd"/>
      <w:r>
        <w:t xml:space="preserve"> les administrations</w:t>
      </w:r>
    </w:p>
    <w:p w14:paraId="5E7F58C0" w14:textId="77777777" w:rsidR="001E53F0" w:rsidRDefault="001E53F0" w:rsidP="00C03DA5">
      <w:proofErr w:type="gramStart"/>
      <w:r>
        <w:t>à</w:t>
      </w:r>
      <w:proofErr w:type="gramEnd"/>
      <w:r>
        <w:t xml:space="preserve"> participer activement à ces études en soumettant des contributions à l'UIT-R.</w:t>
      </w:r>
    </w:p>
    <w:p w14:paraId="5A89739C" w14:textId="4BCCBABA" w:rsidR="00FE20EE" w:rsidRPr="002116BF" w:rsidRDefault="004C6983" w:rsidP="00C03DA5">
      <w:pPr>
        <w:pStyle w:val="Reasons"/>
        <w:rPr>
          <w:lang w:val="fr-CH"/>
        </w:rPr>
      </w:pPr>
      <w:proofErr w:type="gramStart"/>
      <w:r w:rsidRPr="002116BF">
        <w:rPr>
          <w:b/>
        </w:rPr>
        <w:t>Motifs:</w:t>
      </w:r>
      <w:proofErr w:type="gramEnd"/>
      <w:r w:rsidRPr="002116BF">
        <w:tab/>
      </w:r>
      <w:r w:rsidR="002116BF" w:rsidRPr="002116BF">
        <w:t xml:space="preserve">La Résolution proposée sur le nouveau point de </w:t>
      </w:r>
      <w:r w:rsidR="00C60CC0">
        <w:t>l'</w:t>
      </w:r>
      <w:r w:rsidR="002116BF" w:rsidRPr="002116BF">
        <w:t>ordre du jour</w:t>
      </w:r>
      <w:r w:rsidR="002116BF">
        <w:t xml:space="preserve"> relatif à </w:t>
      </w:r>
      <w:r w:rsidR="00C60CC0">
        <w:t>l'</w:t>
      </w:r>
      <w:r w:rsidR="002116BF">
        <w:t>étude des</w:t>
      </w:r>
      <w:r w:rsidR="00644738">
        <w:t xml:space="preserve"> </w:t>
      </w:r>
      <w:r w:rsidR="002116BF" w:rsidRPr="002116BF">
        <w:t xml:space="preserve">stations de base IMT placées sur des plates-formes à haute altitude dans les bandes IMT existantes </w:t>
      </w:r>
      <w:r w:rsidR="0034097A">
        <w:t xml:space="preserve">qui sont </w:t>
      </w:r>
      <w:r w:rsidR="002116BF" w:rsidRPr="002116BF">
        <w:t>harmonisées au niveau régional</w:t>
      </w:r>
      <w:r w:rsidR="002116BF">
        <w:t xml:space="preserve"> au-dessous de </w:t>
      </w:r>
      <w:r w:rsidR="00FE20EE" w:rsidRPr="002116BF">
        <w:t>2</w:t>
      </w:r>
      <w:r w:rsidR="0034097A">
        <w:t>,</w:t>
      </w:r>
      <w:r w:rsidR="00FE20EE" w:rsidRPr="002116BF">
        <w:t>7 GHz</w:t>
      </w:r>
      <w:r w:rsidR="002116BF">
        <w:t xml:space="preserve"> vise à</w:t>
      </w:r>
      <w:r w:rsidR="00644738">
        <w:t xml:space="preserve"> </w:t>
      </w:r>
      <w:r w:rsidR="002116BF">
        <w:t>conférer</w:t>
      </w:r>
      <w:r w:rsidR="00644738">
        <w:t xml:space="preserve"> </w:t>
      </w:r>
      <w:r w:rsidR="002116BF">
        <w:t xml:space="preserve">davantage de souplesse dans </w:t>
      </w:r>
      <w:r w:rsidR="00C60CC0">
        <w:t>l'</w:t>
      </w:r>
      <w:r w:rsidR="002116BF">
        <w:t xml:space="preserve">utilisation de ces bandes, afin de répondre à la nécessité </w:t>
      </w:r>
      <w:r w:rsidR="00644738">
        <w:t>d'</w:t>
      </w:r>
      <w:r w:rsidR="002116BF">
        <w:t xml:space="preserve">élargir la couverture et </w:t>
      </w:r>
      <w:r w:rsidR="00644738">
        <w:t>d'</w:t>
      </w:r>
      <w:r w:rsidR="002116BF">
        <w:t>accroître la capacité des réseaux large</w:t>
      </w:r>
      <w:r w:rsidR="00644738">
        <w:t xml:space="preserve"> </w:t>
      </w:r>
      <w:r w:rsidR="002116BF">
        <w:t>bande mobiles.</w:t>
      </w:r>
      <w:r w:rsidR="002116BF" w:rsidRPr="002116BF">
        <w:rPr>
          <w:lang w:val="fr-CH"/>
        </w:rPr>
        <w:t xml:space="preserve"> </w:t>
      </w:r>
      <w:r w:rsidR="002116BF" w:rsidRPr="008841AE">
        <w:rPr>
          <w:lang w:val="fr-CH"/>
        </w:rPr>
        <w:t xml:space="preserve">Les résultats de ces études et les modifications </w:t>
      </w:r>
      <w:r w:rsidR="002116BF">
        <w:rPr>
          <w:lang w:val="fr-CH"/>
        </w:rPr>
        <w:t>éventuelles à apporter au RR seraient ensuite examinés par la</w:t>
      </w:r>
      <w:r w:rsidR="00644738">
        <w:rPr>
          <w:lang w:val="fr-CH"/>
        </w:rPr>
        <w:t xml:space="preserve"> </w:t>
      </w:r>
      <w:r w:rsidR="002116BF" w:rsidRPr="008841AE">
        <w:rPr>
          <w:lang w:val="fr-CH"/>
        </w:rPr>
        <w:t>CMR-23.</w:t>
      </w:r>
      <w:r w:rsidR="002116BF" w:rsidRPr="002116BF">
        <w:rPr>
          <w:lang w:val="fr-CH"/>
        </w:rPr>
        <w:t xml:space="preserve"> Les modifications apportées</w:t>
      </w:r>
      <w:r w:rsidR="00644738">
        <w:rPr>
          <w:lang w:val="fr-CH"/>
        </w:rPr>
        <w:t xml:space="preserve"> </w:t>
      </w:r>
      <w:r w:rsidR="0034097A">
        <w:rPr>
          <w:lang w:val="fr-CH"/>
        </w:rPr>
        <w:t>à des</w:t>
      </w:r>
      <w:r w:rsidR="0034097A" w:rsidRPr="002116BF">
        <w:rPr>
          <w:lang w:val="fr-CH"/>
        </w:rPr>
        <w:t xml:space="preserve"> </w:t>
      </w:r>
      <w:r w:rsidR="002116BF" w:rsidRPr="002116BF">
        <w:rPr>
          <w:lang w:val="fr-CH"/>
        </w:rPr>
        <w:t xml:space="preserve">bandes actuellement identifiées pour les IMT ne relèvent pas de ce point de </w:t>
      </w:r>
      <w:r w:rsidR="00C60CC0">
        <w:rPr>
          <w:lang w:val="fr-CH"/>
        </w:rPr>
        <w:t>l'</w:t>
      </w:r>
      <w:r w:rsidR="002116BF" w:rsidRPr="002116BF">
        <w:rPr>
          <w:lang w:val="fr-CH"/>
        </w:rPr>
        <w:t>ordre du jour</w:t>
      </w:r>
      <w:r w:rsidR="0034097A">
        <w:rPr>
          <w:lang w:val="fr-CH"/>
        </w:rPr>
        <w:t>.</w:t>
      </w:r>
    </w:p>
    <w:p w14:paraId="66250EEC" w14:textId="77777777" w:rsidR="00FE20EE" w:rsidRPr="002116BF" w:rsidRDefault="00FE20EE" w:rsidP="00C03DA5">
      <w:pPr>
        <w:rPr>
          <w:lang w:val="fr-CH"/>
        </w:rPr>
      </w:pPr>
      <w:r w:rsidRPr="002116BF">
        <w:rPr>
          <w:lang w:val="fr-CH"/>
        </w:rPr>
        <w:br w:type="page"/>
      </w:r>
    </w:p>
    <w:p w14:paraId="5F3963F4" w14:textId="1D927050" w:rsidR="00983076" w:rsidRPr="00983076" w:rsidRDefault="00983076" w:rsidP="00E80A23">
      <w:pPr>
        <w:pStyle w:val="AnnexNo"/>
        <w:rPr>
          <w:lang w:val="en-GB"/>
        </w:rPr>
      </w:pPr>
      <w:bookmarkStart w:id="7" w:name="_Hlk19795871"/>
      <w:r w:rsidRPr="00E80A23">
        <w:lastRenderedPageBreak/>
        <w:t>ANNEXe</w:t>
      </w:r>
    </w:p>
    <w:p w14:paraId="37BC70D7" w14:textId="65C6E1B1" w:rsidR="00983076" w:rsidRPr="00E302CC" w:rsidRDefault="00E302CC" w:rsidP="00C03DA5">
      <w:pPr>
        <w:pStyle w:val="Annextitle"/>
        <w:rPr>
          <w:lang w:val="fr-CH"/>
        </w:rPr>
      </w:pPr>
      <w:r w:rsidRPr="00E302CC">
        <w:rPr>
          <w:lang w:val="fr-CH"/>
        </w:rPr>
        <w:t xml:space="preserve">Proposition </w:t>
      </w:r>
      <w:r>
        <w:rPr>
          <w:lang w:val="fr-CH"/>
        </w:rPr>
        <w:t xml:space="preserve">de point </w:t>
      </w:r>
      <w:r w:rsidRPr="00E302CC">
        <w:rPr>
          <w:lang w:val="fr-CH"/>
        </w:rPr>
        <w:t xml:space="preserve">à inscrire à </w:t>
      </w:r>
      <w:r w:rsidR="00C60CC0">
        <w:rPr>
          <w:lang w:val="fr-CH"/>
        </w:rPr>
        <w:t>l'</w:t>
      </w:r>
      <w:r w:rsidRPr="00E302CC">
        <w:rPr>
          <w:lang w:val="fr-CH"/>
        </w:rPr>
        <w:t xml:space="preserve">ordre du jour futur de la </w:t>
      </w:r>
      <w:r w:rsidR="00723290" w:rsidRPr="00E302CC">
        <w:rPr>
          <w:lang w:val="fr-CH"/>
        </w:rPr>
        <w:t>CMR</w:t>
      </w:r>
      <w:r w:rsidR="00983076" w:rsidRPr="00E302CC">
        <w:rPr>
          <w:lang w:val="fr-CH"/>
        </w:rPr>
        <w:t xml:space="preserve">-23 </w:t>
      </w:r>
    </w:p>
    <w:bookmarkEnd w:id="7"/>
    <w:p w14:paraId="1B07E732" w14:textId="77777777" w:rsidR="00B829FB" w:rsidRDefault="00B829FB" w:rsidP="00B829FB">
      <w:pPr>
        <w:rPr>
          <w:b/>
          <w:bCs/>
          <w:color w:val="000000"/>
          <w:sz w:val="22"/>
          <w:szCs w:val="22"/>
          <w:lang w:val="fr-CH"/>
        </w:rPr>
      </w:pPr>
    </w:p>
    <w:p w14:paraId="2B08F530" w14:textId="45582688" w:rsidR="00B829FB" w:rsidRPr="00773A71" w:rsidRDefault="00D02CAD" w:rsidP="00BC06DE">
      <w:pPr>
        <w:rPr>
          <w:rFonts w:eastAsia="Calibri"/>
          <w:sz w:val="22"/>
          <w:szCs w:val="22"/>
          <w:lang w:val="fr-CH"/>
        </w:rPr>
      </w:pPr>
      <w:proofErr w:type="gramStart"/>
      <w:r w:rsidRPr="00BC06DE">
        <w:rPr>
          <w:b/>
          <w:bCs/>
          <w:color w:val="000000"/>
          <w:sz w:val="22"/>
          <w:szCs w:val="22"/>
          <w:lang w:val="fr-CH"/>
        </w:rPr>
        <w:t>Objet:</w:t>
      </w:r>
      <w:proofErr w:type="gramEnd"/>
      <w:r w:rsidR="00983076" w:rsidRPr="00BC06DE">
        <w:rPr>
          <w:rFonts w:eastAsia="Calibri"/>
          <w:sz w:val="22"/>
          <w:szCs w:val="22"/>
          <w:lang w:val="fr-CH"/>
        </w:rPr>
        <w:t xml:space="preserve"> </w:t>
      </w:r>
      <w:r w:rsidR="00B8487D" w:rsidRPr="00BC06DE">
        <w:rPr>
          <w:rFonts w:eastAsia="Calibri"/>
          <w:sz w:val="22"/>
          <w:szCs w:val="22"/>
          <w:lang w:val="fr-CH"/>
        </w:rPr>
        <w:t>P</w:t>
      </w:r>
      <w:r w:rsidR="0096373E" w:rsidRPr="00BC06DE">
        <w:rPr>
          <w:rFonts w:eastAsia="Calibri"/>
          <w:sz w:val="22"/>
          <w:szCs w:val="22"/>
          <w:lang w:val="fr-CH"/>
        </w:rPr>
        <w:t xml:space="preserve">roposition de point à inscrire à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96373E" w:rsidRPr="00BC06DE">
        <w:rPr>
          <w:rFonts w:eastAsia="Calibri"/>
          <w:sz w:val="22"/>
          <w:szCs w:val="22"/>
          <w:lang w:val="fr-CH"/>
        </w:rPr>
        <w:t>ordre du jour de la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96373E" w:rsidRPr="00BC06DE">
        <w:rPr>
          <w:rFonts w:eastAsia="Calibri"/>
          <w:sz w:val="22"/>
          <w:szCs w:val="22"/>
          <w:lang w:val="fr-CH"/>
        </w:rPr>
        <w:t xml:space="preserve">CMR-23 concernant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96373E" w:rsidRPr="00BC06DE">
        <w:rPr>
          <w:rFonts w:eastAsia="Calibri"/>
          <w:sz w:val="22"/>
          <w:szCs w:val="22"/>
          <w:lang w:val="fr-CH"/>
        </w:rPr>
        <w:t xml:space="preserve">utilisation des stations de base IMT placées sur des plates-formes </w:t>
      </w:r>
      <w:r w:rsidR="0034097A" w:rsidRPr="00BC06DE">
        <w:rPr>
          <w:rFonts w:eastAsia="Calibri"/>
          <w:sz w:val="22"/>
          <w:szCs w:val="22"/>
          <w:lang w:val="fr-CH"/>
        </w:rPr>
        <w:t xml:space="preserve">à haute </w:t>
      </w:r>
      <w:r w:rsidR="0096373E" w:rsidRPr="00BC06DE">
        <w:rPr>
          <w:rFonts w:eastAsia="Calibri"/>
          <w:sz w:val="22"/>
          <w:szCs w:val="22"/>
          <w:lang w:val="fr-CH"/>
        </w:rPr>
        <w:t xml:space="preserve">altitude dans les bandes au-dessous de </w:t>
      </w:r>
      <w:r w:rsidR="0096373E" w:rsidRPr="00BC06DE">
        <w:rPr>
          <w:sz w:val="22"/>
          <w:szCs w:val="22"/>
          <w:lang w:val="fr-CH"/>
        </w:rPr>
        <w:t>2</w:t>
      </w:r>
      <w:r w:rsidR="0034097A" w:rsidRPr="00BC06DE">
        <w:rPr>
          <w:sz w:val="22"/>
          <w:szCs w:val="22"/>
          <w:lang w:val="fr-CH"/>
        </w:rPr>
        <w:t>,</w:t>
      </w:r>
      <w:r w:rsidR="0096373E" w:rsidRPr="00BC06DE">
        <w:rPr>
          <w:sz w:val="22"/>
          <w:szCs w:val="22"/>
          <w:lang w:val="fr-CH"/>
        </w:rPr>
        <w:t xml:space="preserve">7 GHz </w:t>
      </w:r>
      <w:r w:rsidR="0096373E" w:rsidRPr="00BC06DE">
        <w:rPr>
          <w:rFonts w:eastAsia="Calibri"/>
          <w:sz w:val="22"/>
          <w:szCs w:val="22"/>
          <w:lang w:val="fr-CH"/>
        </w:rPr>
        <w:t>qui sont déjà identifiés pour les IMT au niveau mondial ou régional.</w:t>
      </w:r>
    </w:p>
    <w:p w14:paraId="50C35E71" w14:textId="77777777" w:rsidR="00E308C2" w:rsidRDefault="00D02CAD" w:rsidP="00E308C2">
      <w:pPr>
        <w:rPr>
          <w:rFonts w:eastAsia="Calibri"/>
          <w:sz w:val="22"/>
          <w:szCs w:val="22"/>
          <w:lang w:val="fr-CH"/>
        </w:rPr>
      </w:pPr>
      <w:proofErr w:type="gramStart"/>
      <w:r w:rsidRPr="00BC06DE">
        <w:rPr>
          <w:b/>
          <w:bCs/>
          <w:color w:val="000000"/>
          <w:sz w:val="22"/>
          <w:szCs w:val="22"/>
          <w:lang w:val="fr-CH"/>
        </w:rPr>
        <w:t>Origine:</w:t>
      </w:r>
      <w:proofErr w:type="gramEnd"/>
      <w:r w:rsidR="0096373E" w:rsidRPr="00BC06DE">
        <w:rPr>
          <w:rFonts w:eastAsia="Calibri"/>
          <w:sz w:val="22"/>
          <w:szCs w:val="22"/>
          <w:lang w:val="fr-CH"/>
        </w:rPr>
        <w:t xml:space="preserve"> État</w:t>
      </w:r>
      <w:r w:rsidR="0034097A" w:rsidRPr="00BC06DE">
        <w:rPr>
          <w:rFonts w:eastAsia="Calibri"/>
          <w:sz w:val="22"/>
          <w:szCs w:val="22"/>
          <w:lang w:val="fr-CH"/>
        </w:rPr>
        <w:t>s</w:t>
      </w:r>
      <w:r w:rsidR="0096373E" w:rsidRPr="00BC06DE">
        <w:rPr>
          <w:rFonts w:eastAsia="Calibri"/>
          <w:sz w:val="22"/>
          <w:szCs w:val="22"/>
          <w:lang w:val="fr-CH"/>
        </w:rPr>
        <w:t xml:space="preserve"> Membres de la </w:t>
      </w:r>
      <w:r w:rsidR="00983076" w:rsidRPr="00BC06DE">
        <w:rPr>
          <w:rFonts w:eastAsia="Calibri"/>
          <w:sz w:val="22"/>
          <w:szCs w:val="22"/>
          <w:lang w:val="fr-CH"/>
        </w:rPr>
        <w:t>CITE</w:t>
      </w:r>
      <w:r w:rsidR="00C17D63">
        <w:rPr>
          <w:rFonts w:eastAsia="Calibri"/>
          <w:sz w:val="22"/>
          <w:szCs w:val="22"/>
          <w:lang w:val="fr-CH"/>
        </w:rPr>
        <w:t>L</w:t>
      </w:r>
    </w:p>
    <w:p w14:paraId="2542F0C3" w14:textId="246C25E2" w:rsidR="00E308C2" w:rsidRDefault="00AC2CC0" w:rsidP="00E308C2">
      <w:pPr>
        <w:rPr>
          <w:rFonts w:eastAsia="Calibri"/>
          <w:sz w:val="22"/>
          <w:szCs w:val="22"/>
          <w:lang w:val="fr-CH"/>
        </w:rPr>
      </w:pPr>
      <w:r>
        <w:rPr>
          <w:rFonts w:eastAsia="Calibri"/>
          <w:sz w:val="22"/>
          <w:szCs w:val="22"/>
          <w:lang w:val="fr-CH"/>
        </w:rPr>
        <w:pict w14:anchorId="2BFC4A27">
          <v:rect id="_x0000_i1025" style="width:481.95pt;height:1.5pt" o:hralign="center" o:hrstd="t" o:hrnoshade="t" o:hr="t" fillcolor="black [3213]" stroked="f"/>
        </w:pict>
      </w:r>
    </w:p>
    <w:p w14:paraId="0E272878" w14:textId="77777777" w:rsidR="00E308C2" w:rsidRDefault="00D02CAD" w:rsidP="00E308C2">
      <w:pPr>
        <w:rPr>
          <w:rFonts w:eastAsia="Calibri"/>
          <w:sz w:val="22"/>
          <w:szCs w:val="22"/>
        </w:rPr>
      </w:pPr>
      <w:proofErr w:type="gramStart"/>
      <w:r w:rsidRPr="00BC06DE">
        <w:rPr>
          <w:b/>
          <w:bCs/>
          <w:i/>
          <w:iCs/>
          <w:color w:val="000000"/>
          <w:sz w:val="22"/>
          <w:szCs w:val="22"/>
          <w:lang w:eastAsia="en-GB"/>
        </w:rPr>
        <w:t>Proposition</w:t>
      </w:r>
      <w:r w:rsidRPr="00BC06DE">
        <w:rPr>
          <w:b/>
          <w:bCs/>
          <w:color w:val="000000"/>
          <w:sz w:val="22"/>
          <w:szCs w:val="22"/>
          <w:lang w:eastAsia="en-GB"/>
        </w:rPr>
        <w:t>:</w:t>
      </w:r>
      <w:proofErr w:type="gramEnd"/>
      <w:r w:rsidR="0096373E" w:rsidRPr="00BC06DE">
        <w:rPr>
          <w:rFonts w:eastAsia="Calibri"/>
          <w:sz w:val="22"/>
          <w:szCs w:val="22"/>
        </w:rPr>
        <w:t xml:space="preserve"> examiner, conformément à la Résolution </w:t>
      </w:r>
      <w:r w:rsidR="00983076" w:rsidRPr="00BC06DE">
        <w:rPr>
          <w:rFonts w:eastAsia="Calibri"/>
          <w:b/>
          <w:sz w:val="22"/>
          <w:szCs w:val="22"/>
        </w:rPr>
        <w:t>[</w:t>
      </w:r>
      <w:r w:rsidR="00983076" w:rsidRPr="00BC06DE">
        <w:rPr>
          <w:caps/>
          <w:sz w:val="22"/>
          <w:szCs w:val="22"/>
        </w:rPr>
        <w:t>IAP/10(B)</w:t>
      </w:r>
      <w:r w:rsidR="00983076" w:rsidRPr="00BC06DE">
        <w:rPr>
          <w:sz w:val="22"/>
          <w:szCs w:val="22"/>
        </w:rPr>
        <w:t>/HA-IMT</w:t>
      </w:r>
      <w:r w:rsidR="00983076" w:rsidRPr="00BC06DE">
        <w:rPr>
          <w:rFonts w:eastAsia="Calibri"/>
          <w:b/>
          <w:sz w:val="22"/>
          <w:szCs w:val="22"/>
        </w:rPr>
        <w:t>] (</w:t>
      </w:r>
      <w:r w:rsidR="00723290" w:rsidRPr="00BC06DE">
        <w:rPr>
          <w:rFonts w:eastAsia="Calibri"/>
          <w:b/>
          <w:sz w:val="22"/>
          <w:szCs w:val="22"/>
        </w:rPr>
        <w:t>CMR</w:t>
      </w:r>
      <w:r w:rsidR="00983076" w:rsidRPr="00BC06DE">
        <w:rPr>
          <w:rFonts w:eastAsia="Calibri"/>
          <w:b/>
          <w:sz w:val="22"/>
          <w:szCs w:val="22"/>
        </w:rPr>
        <w:t>-19)</w:t>
      </w:r>
      <w:r w:rsidR="00983076" w:rsidRPr="00BC06DE">
        <w:rPr>
          <w:rFonts w:eastAsia="Calibri"/>
          <w:sz w:val="22"/>
          <w:szCs w:val="22"/>
        </w:rPr>
        <w:t xml:space="preserve">, </w:t>
      </w:r>
      <w:r w:rsidR="00C60CC0" w:rsidRPr="00BC06DE">
        <w:rPr>
          <w:rFonts w:eastAsia="Calibri"/>
          <w:sz w:val="22"/>
          <w:szCs w:val="22"/>
        </w:rPr>
        <w:t>l'</w:t>
      </w:r>
      <w:r w:rsidR="0096373E" w:rsidRPr="00BC06DE">
        <w:rPr>
          <w:rFonts w:eastAsia="Calibri"/>
          <w:sz w:val="22"/>
          <w:szCs w:val="22"/>
        </w:rPr>
        <w:t xml:space="preserve">utilisation des stations de base IMT placées sur des plates-formes </w:t>
      </w:r>
      <w:r w:rsidR="0034097A" w:rsidRPr="00BC06DE">
        <w:rPr>
          <w:rFonts w:eastAsia="Calibri"/>
          <w:sz w:val="22"/>
          <w:szCs w:val="22"/>
        </w:rPr>
        <w:t xml:space="preserve">à haute </w:t>
      </w:r>
      <w:r w:rsidR="0096373E" w:rsidRPr="00BC06DE">
        <w:rPr>
          <w:rFonts w:eastAsia="Calibri"/>
          <w:sz w:val="22"/>
          <w:szCs w:val="22"/>
        </w:rPr>
        <w:t>altitude dans</w:t>
      </w:r>
      <w:r w:rsidR="00DE1D43" w:rsidRPr="00BC06DE">
        <w:rPr>
          <w:rFonts w:eastAsia="Calibri"/>
          <w:sz w:val="22"/>
          <w:szCs w:val="22"/>
        </w:rPr>
        <w:t xml:space="preserve"> </w:t>
      </w:r>
      <w:r w:rsidR="0096373E" w:rsidRPr="00BC06DE">
        <w:rPr>
          <w:rFonts w:eastAsia="Calibri"/>
          <w:sz w:val="22"/>
          <w:szCs w:val="22"/>
        </w:rPr>
        <w:t>certaines bandes au-dessous de</w:t>
      </w:r>
      <w:r w:rsidR="00E308C2">
        <w:rPr>
          <w:rFonts w:eastAsia="Calibri"/>
          <w:sz w:val="22"/>
          <w:szCs w:val="22"/>
        </w:rPr>
        <w:t> </w:t>
      </w:r>
      <w:r w:rsidR="0096373E" w:rsidRPr="00BC06DE">
        <w:rPr>
          <w:sz w:val="22"/>
          <w:szCs w:val="22"/>
        </w:rPr>
        <w:t>2</w:t>
      </w:r>
      <w:r w:rsidR="0034097A" w:rsidRPr="00BC06DE">
        <w:rPr>
          <w:sz w:val="22"/>
          <w:szCs w:val="22"/>
        </w:rPr>
        <w:t>,</w:t>
      </w:r>
      <w:r w:rsidR="0096373E" w:rsidRPr="00BC06DE">
        <w:rPr>
          <w:sz w:val="22"/>
          <w:szCs w:val="22"/>
        </w:rPr>
        <w:t>7</w:t>
      </w:r>
      <w:r w:rsidR="00E308C2">
        <w:rPr>
          <w:sz w:val="22"/>
          <w:szCs w:val="22"/>
        </w:rPr>
        <w:t> </w:t>
      </w:r>
      <w:r w:rsidR="0096373E" w:rsidRPr="00BC06DE">
        <w:rPr>
          <w:sz w:val="22"/>
          <w:szCs w:val="22"/>
        </w:rPr>
        <w:t xml:space="preserve">GHz </w:t>
      </w:r>
      <w:r w:rsidR="0096373E" w:rsidRPr="00BC06DE">
        <w:rPr>
          <w:rFonts w:eastAsia="Calibri"/>
          <w:sz w:val="22"/>
          <w:szCs w:val="22"/>
        </w:rPr>
        <w:t>qui sont déjà identifiés pour les IMT au niveau mondial ou régional.</w:t>
      </w:r>
    </w:p>
    <w:p w14:paraId="0EC75D30" w14:textId="1428F24D" w:rsidR="00E308C2" w:rsidRDefault="00AC2CC0" w:rsidP="00E308C2">
      <w:pPr>
        <w:rPr>
          <w:rFonts w:eastAsia="Calibri"/>
          <w:sz w:val="22"/>
          <w:szCs w:val="22"/>
          <w:lang w:val="fr-CH"/>
        </w:rPr>
      </w:pPr>
      <w:r>
        <w:rPr>
          <w:rFonts w:eastAsia="Calibri"/>
          <w:sz w:val="22"/>
          <w:szCs w:val="22"/>
          <w:lang w:val="fr-CH"/>
        </w:rPr>
        <w:pict w14:anchorId="777665B6">
          <v:rect id="_x0000_i1026" style="width:481.95pt;height:1.5pt" o:hralign="center" o:hrstd="t" o:hrnoshade="t" o:hr="t" fillcolor="black [3213]" stroked="f"/>
        </w:pict>
      </w:r>
    </w:p>
    <w:p w14:paraId="317398DB" w14:textId="2278C918" w:rsidR="00983076" w:rsidRPr="00E308C2" w:rsidRDefault="00D02CAD" w:rsidP="00E308C2">
      <w:pPr>
        <w:rPr>
          <w:rFonts w:eastAsia="Calibri"/>
          <w:sz w:val="22"/>
          <w:szCs w:val="22"/>
          <w:lang w:val="fr-CH"/>
        </w:rPr>
      </w:pPr>
      <w:proofErr w:type="spellStart"/>
      <w:r w:rsidRPr="00BC06DE">
        <w:rPr>
          <w:b/>
          <w:bCs/>
          <w:i/>
          <w:iCs/>
          <w:sz w:val="22"/>
          <w:szCs w:val="22"/>
          <w:lang w:val="en-GB" w:eastAsia="en-GB"/>
        </w:rPr>
        <w:t>Contexte</w:t>
      </w:r>
      <w:proofErr w:type="spellEnd"/>
      <w:r w:rsidRPr="00BC06DE">
        <w:rPr>
          <w:b/>
          <w:bCs/>
          <w:i/>
          <w:iCs/>
          <w:sz w:val="22"/>
          <w:szCs w:val="22"/>
          <w:lang w:val="en-GB" w:eastAsia="en-GB"/>
        </w:rPr>
        <w:t>/motif:</w:t>
      </w:r>
    </w:p>
    <w:p w14:paraId="3ABBDD8E" w14:textId="4DADBCB4" w:rsidR="00983076" w:rsidRPr="00BC06DE" w:rsidRDefault="00BC55EB" w:rsidP="00E308C2">
      <w:pPr>
        <w:rPr>
          <w:sz w:val="22"/>
          <w:szCs w:val="22"/>
          <w:lang w:val="fr-CH"/>
        </w:rPr>
      </w:pPr>
      <w:r w:rsidRPr="00BC06DE">
        <w:rPr>
          <w:sz w:val="22"/>
          <w:szCs w:val="22"/>
        </w:rPr>
        <w:t xml:space="preserve">Le nouveau point de </w:t>
      </w:r>
      <w:r w:rsidR="00C60CC0" w:rsidRPr="00BC06DE">
        <w:rPr>
          <w:sz w:val="22"/>
          <w:szCs w:val="22"/>
        </w:rPr>
        <w:t>l'</w:t>
      </w:r>
      <w:r w:rsidRPr="00BC06DE">
        <w:rPr>
          <w:sz w:val="22"/>
          <w:szCs w:val="22"/>
        </w:rPr>
        <w:t xml:space="preserve">ordre du jour relatif à </w:t>
      </w:r>
      <w:r w:rsidR="00C60CC0" w:rsidRPr="00BC06DE">
        <w:rPr>
          <w:sz w:val="22"/>
          <w:szCs w:val="22"/>
        </w:rPr>
        <w:t>l'</w:t>
      </w:r>
      <w:r w:rsidRPr="00BC06DE">
        <w:rPr>
          <w:sz w:val="22"/>
          <w:szCs w:val="22"/>
        </w:rPr>
        <w:t>étude des</w:t>
      </w:r>
      <w:r w:rsidR="00DE1D43" w:rsidRPr="00BC06DE">
        <w:rPr>
          <w:sz w:val="22"/>
          <w:szCs w:val="22"/>
        </w:rPr>
        <w:t xml:space="preserve"> </w:t>
      </w:r>
      <w:r w:rsidRPr="00BC06DE">
        <w:rPr>
          <w:sz w:val="22"/>
          <w:szCs w:val="22"/>
        </w:rPr>
        <w:t xml:space="preserve">stations de base IMT placées sur des plates-formes à haute altitude dans certaines bandes IMT existantes </w:t>
      </w:r>
      <w:r w:rsidR="0034097A" w:rsidRPr="00BC06DE">
        <w:rPr>
          <w:sz w:val="22"/>
          <w:szCs w:val="22"/>
        </w:rPr>
        <w:t xml:space="preserve">qui sont </w:t>
      </w:r>
      <w:r w:rsidRPr="00BC06DE">
        <w:rPr>
          <w:sz w:val="22"/>
          <w:szCs w:val="22"/>
        </w:rPr>
        <w:t xml:space="preserve">harmonisées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au niveau mondial ou régional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Pr="00BC06DE">
        <w:rPr>
          <w:sz w:val="22"/>
          <w:szCs w:val="22"/>
        </w:rPr>
        <w:t>au</w:t>
      </w:r>
      <w:r w:rsidR="00B8487D" w:rsidRPr="00BC06DE">
        <w:rPr>
          <w:sz w:val="22"/>
          <w:szCs w:val="22"/>
        </w:rPr>
        <w:noBreakHyphen/>
      </w:r>
      <w:r w:rsidRPr="00BC06DE">
        <w:rPr>
          <w:sz w:val="22"/>
          <w:szCs w:val="22"/>
        </w:rPr>
        <w:t>dessous de 2</w:t>
      </w:r>
      <w:r w:rsidR="0034097A" w:rsidRPr="00BC06DE">
        <w:rPr>
          <w:sz w:val="22"/>
          <w:szCs w:val="22"/>
        </w:rPr>
        <w:t>,</w:t>
      </w:r>
      <w:r w:rsidRPr="00BC06DE">
        <w:rPr>
          <w:sz w:val="22"/>
          <w:szCs w:val="22"/>
        </w:rPr>
        <w:t>7 GHz</w:t>
      </w:r>
      <w:r w:rsidR="00DE1D43" w:rsidRPr="00BC06DE">
        <w:rPr>
          <w:sz w:val="22"/>
          <w:szCs w:val="22"/>
        </w:rPr>
        <w:t xml:space="preserve"> </w:t>
      </w:r>
      <w:r w:rsidRPr="00BC06DE">
        <w:rPr>
          <w:sz w:val="22"/>
          <w:szCs w:val="22"/>
        </w:rPr>
        <w:t>vise à</w:t>
      </w:r>
      <w:r w:rsidR="00DE1D43" w:rsidRPr="00BC06DE">
        <w:rPr>
          <w:sz w:val="22"/>
          <w:szCs w:val="22"/>
        </w:rPr>
        <w:t xml:space="preserve"> </w:t>
      </w:r>
      <w:r w:rsidRPr="00BC06DE">
        <w:rPr>
          <w:sz w:val="22"/>
          <w:szCs w:val="22"/>
        </w:rPr>
        <w:t>conférer</w:t>
      </w:r>
      <w:r w:rsidR="00DE1D43" w:rsidRPr="00BC06DE">
        <w:rPr>
          <w:sz w:val="22"/>
          <w:szCs w:val="22"/>
        </w:rPr>
        <w:t xml:space="preserve"> </w:t>
      </w:r>
      <w:r w:rsidRPr="00BC06DE">
        <w:rPr>
          <w:sz w:val="22"/>
          <w:szCs w:val="22"/>
        </w:rPr>
        <w:t xml:space="preserve">davantage de souplesse dans </w:t>
      </w:r>
      <w:r w:rsidR="00C60CC0" w:rsidRPr="00BC06DE">
        <w:rPr>
          <w:sz w:val="22"/>
          <w:szCs w:val="22"/>
        </w:rPr>
        <w:t>l'</w:t>
      </w:r>
      <w:r w:rsidRPr="00BC06DE">
        <w:rPr>
          <w:sz w:val="22"/>
          <w:szCs w:val="22"/>
        </w:rPr>
        <w:t xml:space="preserve">utilisation de ces bandes, afin de répondre à la nécessité </w:t>
      </w:r>
      <w:r w:rsidR="00DE1D43" w:rsidRPr="00BC06DE">
        <w:rPr>
          <w:sz w:val="22"/>
          <w:szCs w:val="22"/>
        </w:rPr>
        <w:t>d'</w:t>
      </w:r>
      <w:r w:rsidRPr="00BC06DE">
        <w:rPr>
          <w:sz w:val="22"/>
          <w:szCs w:val="22"/>
        </w:rPr>
        <w:t xml:space="preserve">élargir la couverture et </w:t>
      </w:r>
      <w:r w:rsidR="00DE1D43" w:rsidRPr="00BC06DE">
        <w:rPr>
          <w:sz w:val="22"/>
          <w:szCs w:val="22"/>
        </w:rPr>
        <w:t>d'</w:t>
      </w:r>
      <w:r w:rsidRPr="00BC06DE">
        <w:rPr>
          <w:sz w:val="22"/>
          <w:szCs w:val="22"/>
        </w:rPr>
        <w:t>accroître la capacité des réseaux large</w:t>
      </w:r>
      <w:r w:rsidR="00DE1D43" w:rsidRPr="00BC06DE">
        <w:rPr>
          <w:sz w:val="22"/>
          <w:szCs w:val="22"/>
        </w:rPr>
        <w:t xml:space="preserve"> </w:t>
      </w:r>
      <w:r w:rsidRPr="00BC06DE">
        <w:rPr>
          <w:sz w:val="22"/>
          <w:szCs w:val="22"/>
        </w:rPr>
        <w:t>bande mobiles.</w:t>
      </w:r>
      <w:r w:rsidRPr="00BC06DE">
        <w:rPr>
          <w:sz w:val="22"/>
          <w:szCs w:val="22"/>
          <w:lang w:val="fr-CH"/>
        </w:rPr>
        <w:t xml:space="preserve"> Les résultats de ces études et les modifications éventuelles à apporter au RR seraient ensuite examinés par la</w:t>
      </w:r>
      <w:r w:rsidR="00DE1D43" w:rsidRPr="00BC06DE">
        <w:rPr>
          <w:sz w:val="22"/>
          <w:szCs w:val="22"/>
          <w:lang w:val="fr-CH"/>
        </w:rPr>
        <w:t xml:space="preserve"> </w:t>
      </w:r>
      <w:r w:rsidRPr="00BC06DE">
        <w:rPr>
          <w:sz w:val="22"/>
          <w:szCs w:val="22"/>
          <w:lang w:val="fr-CH"/>
        </w:rPr>
        <w:t>CMR-23.</w:t>
      </w:r>
      <w:r w:rsidR="00DE1D43" w:rsidRPr="00BC06DE">
        <w:rPr>
          <w:sz w:val="22"/>
          <w:szCs w:val="22"/>
          <w:lang w:val="fr-CH"/>
        </w:rPr>
        <w:t xml:space="preserve"> </w:t>
      </w:r>
    </w:p>
    <w:p w14:paraId="4008B189" w14:textId="77777777" w:rsidR="00E308C2" w:rsidRDefault="00BA537F" w:rsidP="00E308C2">
      <w:pPr>
        <w:rPr>
          <w:sz w:val="22"/>
          <w:szCs w:val="22"/>
          <w:lang w:val="fr-CH"/>
        </w:rPr>
      </w:pPr>
      <w:r w:rsidRPr="00BC06DE">
        <w:rPr>
          <w:sz w:val="22"/>
          <w:szCs w:val="22"/>
          <w:lang w:val="fr-CH"/>
        </w:rPr>
        <w:t>Les modifications apportées</w:t>
      </w:r>
      <w:r w:rsidR="00DE1D43" w:rsidRPr="00BC06DE">
        <w:rPr>
          <w:sz w:val="22"/>
          <w:szCs w:val="22"/>
          <w:lang w:val="fr-CH"/>
        </w:rPr>
        <w:t xml:space="preserve"> </w:t>
      </w:r>
      <w:r w:rsidR="0034097A" w:rsidRPr="00BC06DE">
        <w:rPr>
          <w:sz w:val="22"/>
          <w:szCs w:val="22"/>
          <w:lang w:val="fr-CH"/>
        </w:rPr>
        <w:t>à des</w:t>
      </w:r>
      <w:r w:rsidRPr="00BC06DE">
        <w:rPr>
          <w:sz w:val="22"/>
          <w:szCs w:val="22"/>
          <w:lang w:val="fr-CH"/>
        </w:rPr>
        <w:t xml:space="preserve"> bandes actuellement identifiées pour les IMT ne relèvent pas de ce point de </w:t>
      </w:r>
      <w:r w:rsidR="00C60CC0" w:rsidRPr="00BC06DE">
        <w:rPr>
          <w:sz w:val="22"/>
          <w:szCs w:val="22"/>
          <w:lang w:val="fr-CH"/>
        </w:rPr>
        <w:t>l'</w:t>
      </w:r>
      <w:r w:rsidRPr="00BC06DE">
        <w:rPr>
          <w:sz w:val="22"/>
          <w:szCs w:val="22"/>
          <w:lang w:val="fr-CH"/>
        </w:rPr>
        <w:t>ordre du jour.</w:t>
      </w:r>
    </w:p>
    <w:p w14:paraId="37E2227D" w14:textId="3D1FDF57" w:rsidR="00983076" w:rsidRPr="00BC06DE" w:rsidRDefault="00AC2CC0" w:rsidP="00E308C2">
      <w:pPr>
        <w:rPr>
          <w:sz w:val="22"/>
          <w:szCs w:val="22"/>
          <w:lang w:val="fr-CH"/>
        </w:rPr>
      </w:pPr>
      <w:r>
        <w:rPr>
          <w:rFonts w:eastAsia="Calibri"/>
          <w:sz w:val="22"/>
          <w:szCs w:val="22"/>
          <w:lang w:val="fr-CH"/>
        </w:rPr>
        <w:pict w14:anchorId="5255B57A">
          <v:rect id="_x0000_i1027" style="width:481.95pt;height:1.5pt" o:hralign="center" o:hrstd="t" o:hrnoshade="t" o:hr="t" fillcolor="black [3213]" stroked="f"/>
        </w:pict>
      </w:r>
    </w:p>
    <w:p w14:paraId="7951ECC6" w14:textId="0AE94757" w:rsidR="00983076" w:rsidRPr="00BC06DE" w:rsidRDefault="00D02CAD" w:rsidP="00E308C2">
      <w:pPr>
        <w:rPr>
          <w:b/>
          <w:bCs/>
          <w:i/>
          <w:iCs/>
          <w:sz w:val="22"/>
          <w:szCs w:val="22"/>
          <w:lang w:val="en-GB" w:eastAsia="en-GB"/>
        </w:rPr>
      </w:pPr>
      <w:r w:rsidRPr="00BC06DE">
        <w:rPr>
          <w:b/>
          <w:bCs/>
          <w:i/>
          <w:iCs/>
          <w:sz w:val="22"/>
          <w:szCs w:val="22"/>
          <w:lang w:val="en-GB" w:eastAsia="en-GB"/>
        </w:rPr>
        <w:t xml:space="preserve">Services de radiocommunication </w:t>
      </w:r>
      <w:proofErr w:type="spellStart"/>
      <w:r w:rsidRPr="00BC06DE">
        <w:rPr>
          <w:b/>
          <w:bCs/>
          <w:i/>
          <w:iCs/>
          <w:sz w:val="22"/>
          <w:szCs w:val="22"/>
          <w:lang w:val="en-GB" w:eastAsia="en-GB"/>
        </w:rPr>
        <w:t>concernés</w:t>
      </w:r>
      <w:proofErr w:type="spellEnd"/>
      <w:r w:rsidRPr="00BC06DE">
        <w:rPr>
          <w:b/>
          <w:bCs/>
          <w:i/>
          <w:iCs/>
          <w:sz w:val="22"/>
          <w:szCs w:val="22"/>
          <w:lang w:val="en-GB" w:eastAsia="en-GB"/>
        </w:rPr>
        <w:t>:</w:t>
      </w:r>
    </w:p>
    <w:p w14:paraId="1349DB74" w14:textId="77777777" w:rsidR="00E308C2" w:rsidRDefault="00570863" w:rsidP="00E308C2">
      <w:pPr>
        <w:rPr>
          <w:rFonts w:ascii="TimesNewRomanPSMT" w:eastAsia="Calibri" w:hAnsi="TimesNewRomanPSMT" w:cs="TimesNewRomanPSMT"/>
          <w:sz w:val="22"/>
          <w:szCs w:val="22"/>
          <w:lang w:val="fr-CH"/>
        </w:rPr>
      </w:pP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Radiodiffusion, radiodiffusion par satellite,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fixe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,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fixe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par satellite,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mobile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,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mobile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par satellite et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radiolocalisation</w:t>
      </w:r>
      <w:r w:rsidR="00B829FB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.</w:t>
      </w:r>
    </w:p>
    <w:p w14:paraId="1E77FFCF" w14:textId="3A25175A" w:rsidR="00983076" w:rsidRPr="00BC06DE" w:rsidRDefault="00AC2CC0" w:rsidP="00E308C2">
      <w:pPr>
        <w:rPr>
          <w:rFonts w:ascii="TimesNewRomanPSMT" w:eastAsia="Calibri" w:hAnsi="TimesNewRomanPSMT" w:cs="TimesNewRomanPSMT"/>
          <w:sz w:val="22"/>
          <w:szCs w:val="22"/>
          <w:lang w:val="fr-CH"/>
        </w:rPr>
      </w:pPr>
      <w:r>
        <w:rPr>
          <w:rFonts w:eastAsia="Calibri"/>
          <w:sz w:val="22"/>
          <w:szCs w:val="22"/>
          <w:lang w:val="fr-CH"/>
        </w:rPr>
        <w:pict w14:anchorId="0A27F66B">
          <v:rect id="_x0000_i1028" style="width:481.95pt;height:1.5pt" o:hralign="center" o:hrstd="t" o:hrnoshade="t" o:hr="t" fillcolor="black [3213]" stroked="f"/>
        </w:pict>
      </w:r>
    </w:p>
    <w:p w14:paraId="7C9D7107" w14:textId="42E98959" w:rsidR="00983076" w:rsidRPr="00BC06DE" w:rsidRDefault="00D02CAD" w:rsidP="00E308C2">
      <w:pPr>
        <w:rPr>
          <w:color w:val="000000"/>
          <w:sz w:val="22"/>
          <w:szCs w:val="22"/>
          <w:lang w:val="fr-CH" w:eastAsia="en-GB"/>
        </w:rPr>
      </w:pPr>
      <w:r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 xml:space="preserve">Indication des difficultés </w:t>
      </w:r>
      <w:proofErr w:type="gramStart"/>
      <w:r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>éventuelles</w:t>
      </w:r>
      <w:r w:rsidRPr="00BC06DE">
        <w:rPr>
          <w:b/>
          <w:bCs/>
          <w:color w:val="000000"/>
          <w:sz w:val="22"/>
          <w:szCs w:val="22"/>
          <w:lang w:val="fr-CH" w:eastAsia="en-GB"/>
        </w:rPr>
        <w:t>:</w:t>
      </w:r>
      <w:proofErr w:type="gramEnd"/>
      <w:r w:rsidR="00983076" w:rsidRPr="00BC06DE">
        <w:rPr>
          <w:rFonts w:eastAsia="Calibri"/>
          <w:i/>
          <w:iCs/>
          <w:sz w:val="22"/>
          <w:szCs w:val="22"/>
          <w:lang w:val="fr-CH"/>
        </w:rPr>
        <w:t xml:space="preserve"> </w:t>
      </w:r>
      <w:r w:rsidR="0034097A" w:rsidRPr="00BC06DE">
        <w:rPr>
          <w:rFonts w:eastAsia="Calibri"/>
          <w:sz w:val="22"/>
          <w:szCs w:val="22"/>
          <w:lang w:val="fr-CH"/>
        </w:rPr>
        <w:t>l</w:t>
      </w:r>
      <w:r w:rsidR="00CB3A4B" w:rsidRPr="00BC06DE">
        <w:rPr>
          <w:rFonts w:eastAsia="Calibri"/>
          <w:sz w:val="22"/>
          <w:szCs w:val="22"/>
          <w:lang w:val="fr-CH"/>
        </w:rPr>
        <w:t>es bandes proposées sont largement utilisées par les services de Terre et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>les services spatiaux, bien qu</w:t>
      </w:r>
      <w:r w:rsidR="006908DA" w:rsidRPr="00BC06DE">
        <w:rPr>
          <w:rFonts w:eastAsia="Calibri"/>
          <w:sz w:val="22"/>
          <w:szCs w:val="22"/>
          <w:lang w:val="fr-CH"/>
        </w:rPr>
        <w:t>'</w:t>
      </w:r>
      <w:r w:rsidR="00CB3A4B" w:rsidRPr="00BC06DE">
        <w:rPr>
          <w:rFonts w:eastAsia="Calibri"/>
          <w:sz w:val="22"/>
          <w:szCs w:val="22"/>
          <w:lang w:val="fr-CH"/>
        </w:rPr>
        <w:t xml:space="preserve">elles soient déjà identifiées pour les IMT au niveau mondial ou régional, pour lesquels la compatibilité a déjà fait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CB3A4B" w:rsidRPr="00BC06DE">
        <w:rPr>
          <w:rFonts w:eastAsia="Calibri"/>
          <w:sz w:val="22"/>
          <w:szCs w:val="22"/>
          <w:lang w:val="fr-CH"/>
        </w:rPr>
        <w:t xml:space="preserve">objet </w:t>
      </w:r>
      <w:r w:rsidR="00DE1D43" w:rsidRPr="00BC06DE">
        <w:rPr>
          <w:rFonts w:eastAsia="Calibri"/>
          <w:sz w:val="22"/>
          <w:szCs w:val="22"/>
          <w:lang w:val="fr-CH"/>
        </w:rPr>
        <w:t>d'</w:t>
      </w:r>
      <w:r w:rsidR="00CB3A4B" w:rsidRPr="00BC06DE">
        <w:rPr>
          <w:rFonts w:eastAsia="Calibri"/>
          <w:sz w:val="22"/>
          <w:szCs w:val="22"/>
          <w:lang w:val="fr-CH"/>
        </w:rPr>
        <w:t xml:space="preserve">un accord.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CB3A4B" w:rsidRPr="00BC06DE">
        <w:rPr>
          <w:rFonts w:eastAsia="Calibri"/>
          <w:sz w:val="22"/>
          <w:szCs w:val="22"/>
          <w:lang w:val="fr-CH"/>
        </w:rPr>
        <w:t>identification éventuelle de bande</w:t>
      </w:r>
      <w:r w:rsidR="0034097A" w:rsidRPr="00BC06DE">
        <w:rPr>
          <w:rFonts w:eastAsia="Calibri"/>
          <w:sz w:val="22"/>
          <w:szCs w:val="22"/>
          <w:lang w:val="fr-CH"/>
        </w:rPr>
        <w:t>s</w:t>
      </w:r>
      <w:r w:rsidR="00CB3A4B" w:rsidRPr="00BC06DE">
        <w:rPr>
          <w:rFonts w:eastAsia="Calibri"/>
          <w:sz w:val="22"/>
          <w:szCs w:val="22"/>
          <w:lang w:val="fr-CH"/>
        </w:rPr>
        <w:t xml:space="preserve"> de</w:t>
      </w:r>
      <w:r w:rsidR="00B8487D" w:rsidRPr="00BC06DE">
        <w:rPr>
          <w:rFonts w:eastAsia="Calibri"/>
          <w:sz w:val="22"/>
          <w:szCs w:val="22"/>
          <w:lang w:val="fr-CH"/>
        </w:rPr>
        <w:t> </w:t>
      </w:r>
      <w:r w:rsidR="00CB3A4B" w:rsidRPr="00BC06DE">
        <w:rPr>
          <w:rFonts w:eastAsia="Calibri"/>
          <w:sz w:val="22"/>
          <w:szCs w:val="22"/>
          <w:lang w:val="fr-CH"/>
        </w:rPr>
        <w:t>fréquences pour les stations de base</w:t>
      </w:r>
      <w:r w:rsidR="00CB3A4B" w:rsidRPr="00BC06DE">
        <w:rPr>
          <w:sz w:val="22"/>
          <w:szCs w:val="22"/>
          <w:lang w:val="fr-CH"/>
        </w:rPr>
        <w:t xml:space="preserve"> IMT placées sur</w:t>
      </w:r>
      <w:r w:rsidR="00CB3A4B" w:rsidRPr="00BC06DE">
        <w:rPr>
          <w:rFonts w:eastAsia="Calibri"/>
          <w:sz w:val="22"/>
          <w:szCs w:val="22"/>
          <w:lang w:val="fr-CH"/>
        </w:rPr>
        <w:t xml:space="preserve"> des plates-formes à haute altitude donnerait lieu à des considérations touchant les procédures réglementaires différentes de celles relatives aux bandes actuellement identifiées pour les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983076" w:rsidRPr="00BC06DE">
        <w:rPr>
          <w:sz w:val="22"/>
          <w:szCs w:val="22"/>
          <w:lang w:val="fr-CH"/>
        </w:rPr>
        <w:t>IMT</w:t>
      </w:r>
      <w:r w:rsidR="00CB3A4B" w:rsidRPr="00BC06DE">
        <w:rPr>
          <w:sz w:val="22"/>
          <w:szCs w:val="22"/>
          <w:lang w:val="fr-CH"/>
        </w:rPr>
        <w:t>.</w:t>
      </w:r>
    </w:p>
    <w:p w14:paraId="351C171E" w14:textId="77777777" w:rsidR="00E308C2" w:rsidRDefault="00B829FB" w:rsidP="00E308C2">
      <w:pPr>
        <w:rPr>
          <w:rFonts w:eastAsia="Calibri"/>
          <w:sz w:val="22"/>
          <w:szCs w:val="22"/>
          <w:lang w:val="fr-CH"/>
        </w:rPr>
      </w:pPr>
      <w:r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>É</w:t>
      </w:r>
      <w:r w:rsidR="005C3A1E"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 xml:space="preserve">tudes précédentes ou en cours sur la </w:t>
      </w:r>
      <w:proofErr w:type="gramStart"/>
      <w:r w:rsidR="005C3A1E"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>question</w:t>
      </w:r>
      <w:r w:rsidR="005C3A1E" w:rsidRPr="00BC06DE">
        <w:rPr>
          <w:b/>
          <w:bCs/>
          <w:color w:val="000000"/>
          <w:sz w:val="22"/>
          <w:szCs w:val="22"/>
          <w:lang w:val="fr-CH" w:eastAsia="en-GB"/>
        </w:rPr>
        <w:t>:</w:t>
      </w:r>
      <w:proofErr w:type="gramEnd"/>
      <w:r w:rsidR="00983076" w:rsidRPr="00BC06DE">
        <w:rPr>
          <w:rFonts w:eastAsia="Calibri"/>
          <w:b/>
          <w:bCs/>
          <w:i/>
          <w:iCs/>
          <w:sz w:val="22"/>
          <w:szCs w:val="22"/>
          <w:lang w:val="fr-CH"/>
        </w:rPr>
        <w:t xml:space="preserve"> </w:t>
      </w:r>
      <w:r w:rsidR="0034097A" w:rsidRPr="00BC06DE">
        <w:rPr>
          <w:rFonts w:eastAsia="Calibri"/>
          <w:sz w:val="22"/>
          <w:szCs w:val="22"/>
          <w:lang w:val="fr-CH"/>
        </w:rPr>
        <w:t>l</w:t>
      </w:r>
      <w:r w:rsidR="00CB3A4B" w:rsidRPr="00BC06DE">
        <w:rPr>
          <w:rFonts w:eastAsia="Calibri"/>
          <w:sz w:val="22"/>
          <w:szCs w:val="22"/>
          <w:lang w:val="fr-CH"/>
        </w:rPr>
        <w:t>e</w:t>
      </w:r>
      <w:r w:rsidR="00CB3A4B" w:rsidRPr="00BC06DE">
        <w:rPr>
          <w:rFonts w:eastAsia="Calibri"/>
          <w:b/>
          <w:bCs/>
          <w:i/>
          <w:iCs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>Groupe de travail 5D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 xml:space="preserve">de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723290" w:rsidRPr="00BC06DE">
        <w:rPr>
          <w:rFonts w:eastAsia="Calibri"/>
          <w:sz w:val="22"/>
          <w:szCs w:val="22"/>
          <w:lang w:val="fr-CH"/>
        </w:rPr>
        <w:t>UIT</w:t>
      </w:r>
      <w:r w:rsidR="00983076" w:rsidRPr="00BC06DE">
        <w:rPr>
          <w:rFonts w:eastAsia="Calibri"/>
          <w:sz w:val="22"/>
          <w:szCs w:val="22"/>
          <w:lang w:val="fr-CH"/>
        </w:rPr>
        <w:t>-R</w:t>
      </w:r>
      <w:r w:rsidR="00CB3A4B" w:rsidRPr="00BC06DE">
        <w:rPr>
          <w:rFonts w:eastAsia="Calibri"/>
          <w:sz w:val="22"/>
          <w:szCs w:val="22"/>
          <w:lang w:val="fr-CH"/>
        </w:rPr>
        <w:t xml:space="preserve"> a mené des études sur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CB3A4B" w:rsidRPr="00BC06DE">
        <w:rPr>
          <w:rFonts w:eastAsia="Calibri"/>
          <w:sz w:val="22"/>
          <w:szCs w:val="22"/>
          <w:lang w:val="fr-CH"/>
        </w:rPr>
        <w:t>analyse du partage dans le même canal pour les stations de base IMT placées sur des plates-formes à haute</w:t>
      </w:r>
      <w:r w:rsidR="00B8487D" w:rsidRPr="00BC06DE">
        <w:rPr>
          <w:rFonts w:eastAsia="Calibri"/>
          <w:sz w:val="22"/>
          <w:szCs w:val="22"/>
          <w:lang w:val="fr-CH"/>
        </w:rPr>
        <w:t> </w:t>
      </w:r>
      <w:r w:rsidR="00CB3A4B" w:rsidRPr="00BC06DE">
        <w:rPr>
          <w:rFonts w:eastAsia="Calibri"/>
          <w:sz w:val="22"/>
          <w:szCs w:val="22"/>
          <w:lang w:val="fr-CH"/>
        </w:rPr>
        <w:t>altitude</w:t>
      </w:r>
      <w:r w:rsidR="00983076" w:rsidRPr="00BC06DE">
        <w:rPr>
          <w:rFonts w:eastAsia="Calibri"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 xml:space="preserve">compte tenu des </w:t>
      </w:r>
      <w:r w:rsidR="00983076" w:rsidRPr="00BC06DE">
        <w:rPr>
          <w:rFonts w:eastAsia="Calibri"/>
          <w:sz w:val="22"/>
          <w:szCs w:val="22"/>
          <w:lang w:val="fr-CH"/>
        </w:rPr>
        <w:t>IMT-</w:t>
      </w:r>
      <w:r w:rsidR="00CB3A4B" w:rsidRPr="00BC06DE">
        <w:rPr>
          <w:rFonts w:eastAsia="Calibri"/>
          <w:sz w:val="22"/>
          <w:szCs w:val="22"/>
          <w:lang w:val="fr-CH"/>
        </w:rPr>
        <w:t>évoluées</w:t>
      </w:r>
      <w:r w:rsidR="00983076" w:rsidRPr="00BC06DE">
        <w:rPr>
          <w:rFonts w:eastAsia="Calibri"/>
          <w:sz w:val="22"/>
          <w:szCs w:val="22"/>
          <w:lang w:val="fr-CH"/>
        </w:rPr>
        <w:t>,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 xml:space="preserve">conformément au numéro </w:t>
      </w:r>
      <w:r w:rsidR="00983076" w:rsidRPr="00BC06DE">
        <w:rPr>
          <w:rFonts w:eastAsia="Calibri"/>
          <w:b/>
          <w:sz w:val="22"/>
          <w:szCs w:val="22"/>
          <w:lang w:val="fr-CH"/>
        </w:rPr>
        <w:t>5.338A</w:t>
      </w:r>
      <w:r w:rsidR="00983076" w:rsidRPr="00BC06DE">
        <w:rPr>
          <w:rFonts w:eastAsia="Calibri"/>
          <w:sz w:val="22"/>
          <w:szCs w:val="22"/>
          <w:lang w:val="fr-CH"/>
        </w:rPr>
        <w:t xml:space="preserve">. </w:t>
      </w:r>
      <w:r w:rsidR="00CB3A4B" w:rsidRPr="00BC06DE">
        <w:rPr>
          <w:rFonts w:eastAsia="Calibri"/>
          <w:sz w:val="22"/>
          <w:szCs w:val="22"/>
          <w:lang w:val="fr-CH"/>
        </w:rPr>
        <w:t xml:space="preserve">Les </w:t>
      </w:r>
      <w:r w:rsidR="00983076" w:rsidRPr="00BC06DE">
        <w:rPr>
          <w:rFonts w:eastAsia="Calibri"/>
          <w:sz w:val="22"/>
          <w:szCs w:val="22"/>
          <w:lang w:val="fr-CH"/>
        </w:rPr>
        <w:t>Recomm</w:t>
      </w:r>
      <w:r w:rsidR="00CB3A4B" w:rsidRPr="00BC06DE">
        <w:rPr>
          <w:rFonts w:eastAsia="Calibri"/>
          <w:sz w:val="22"/>
          <w:szCs w:val="22"/>
          <w:lang w:val="fr-CH"/>
        </w:rPr>
        <w:t>a</w:t>
      </w:r>
      <w:r w:rsidR="00983076" w:rsidRPr="00BC06DE">
        <w:rPr>
          <w:rFonts w:eastAsia="Calibri"/>
          <w:sz w:val="22"/>
          <w:szCs w:val="22"/>
          <w:lang w:val="fr-CH"/>
        </w:rPr>
        <w:t xml:space="preserve">ndations </w:t>
      </w:r>
      <w:r w:rsidR="00723290" w:rsidRPr="00BC06DE">
        <w:rPr>
          <w:rFonts w:eastAsia="Calibri"/>
          <w:sz w:val="22"/>
          <w:szCs w:val="22"/>
          <w:lang w:val="fr-CH"/>
        </w:rPr>
        <w:t>UIT</w:t>
      </w:r>
      <w:r w:rsidR="00983076" w:rsidRPr="00BC06DE">
        <w:rPr>
          <w:rFonts w:eastAsia="Calibri"/>
          <w:sz w:val="22"/>
          <w:szCs w:val="22"/>
          <w:lang w:val="fr-CH"/>
        </w:rPr>
        <w:t>-R M.1456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 xml:space="preserve">et </w:t>
      </w:r>
      <w:r w:rsidR="00983076" w:rsidRPr="00BC06DE">
        <w:rPr>
          <w:rFonts w:eastAsia="Calibri"/>
          <w:sz w:val="22"/>
          <w:szCs w:val="22"/>
          <w:lang w:val="fr-CH"/>
        </w:rPr>
        <w:t xml:space="preserve">M.1641 </w:t>
      </w:r>
      <w:r w:rsidR="00CB3A4B" w:rsidRPr="00BC06DE">
        <w:rPr>
          <w:rFonts w:eastAsia="Calibri"/>
          <w:sz w:val="22"/>
          <w:szCs w:val="22"/>
          <w:lang w:val="fr-CH"/>
        </w:rPr>
        <w:t xml:space="preserve">définissent les prescriptions techniques à respecter et la méthode à appliquer </w:t>
      </w:r>
      <w:r w:rsidR="0034097A" w:rsidRPr="00BC06DE">
        <w:rPr>
          <w:rFonts w:eastAsia="Calibri"/>
          <w:sz w:val="22"/>
          <w:szCs w:val="22"/>
          <w:lang w:val="fr-CH"/>
        </w:rPr>
        <w:t>aux fins des</w:t>
      </w:r>
      <w:r w:rsidR="00CB3A4B" w:rsidRPr="00BC06DE">
        <w:rPr>
          <w:rFonts w:eastAsia="Calibri"/>
          <w:sz w:val="22"/>
          <w:szCs w:val="22"/>
          <w:lang w:val="fr-CH"/>
        </w:rPr>
        <w:t xml:space="preserve"> études relatives à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CB3A4B" w:rsidRPr="00BC06DE">
        <w:rPr>
          <w:rFonts w:eastAsia="Calibri"/>
          <w:sz w:val="22"/>
          <w:szCs w:val="22"/>
          <w:lang w:val="fr-CH"/>
        </w:rPr>
        <w:t>utilisation des stations de base</w:t>
      </w:r>
      <w:r w:rsidR="00CB3A4B" w:rsidRPr="00BC06DE">
        <w:rPr>
          <w:sz w:val="22"/>
          <w:szCs w:val="22"/>
          <w:lang w:val="fr-CH"/>
        </w:rPr>
        <w:t xml:space="preserve"> IMT placées sur</w:t>
      </w:r>
      <w:r w:rsidR="00CB3A4B" w:rsidRPr="00BC06DE">
        <w:rPr>
          <w:rFonts w:eastAsia="Calibri"/>
          <w:sz w:val="22"/>
          <w:szCs w:val="22"/>
          <w:lang w:val="fr-CH"/>
        </w:rPr>
        <w:t xml:space="preserve"> des plates-formes à haute altitude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CB3A4B" w:rsidRPr="00BC06DE">
        <w:rPr>
          <w:rFonts w:eastAsia="Calibri"/>
          <w:sz w:val="22"/>
          <w:szCs w:val="22"/>
          <w:lang w:val="fr-CH"/>
        </w:rPr>
        <w:t>dans les bandes au voisinage de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983076" w:rsidRPr="00BC06DE">
        <w:rPr>
          <w:rFonts w:eastAsia="Calibri"/>
          <w:sz w:val="22"/>
          <w:szCs w:val="22"/>
          <w:lang w:val="fr-CH"/>
        </w:rPr>
        <w:t>1</w:t>
      </w:r>
      <w:r w:rsidR="0034097A" w:rsidRPr="00BC06DE">
        <w:rPr>
          <w:rFonts w:eastAsia="Calibri"/>
          <w:sz w:val="22"/>
          <w:szCs w:val="22"/>
          <w:lang w:val="fr-CH"/>
        </w:rPr>
        <w:t>,</w:t>
      </w:r>
      <w:r w:rsidR="00983076" w:rsidRPr="00BC06DE">
        <w:rPr>
          <w:rFonts w:eastAsia="Calibri"/>
          <w:sz w:val="22"/>
          <w:szCs w:val="22"/>
          <w:lang w:val="fr-CH"/>
        </w:rPr>
        <w:t>9/2</w:t>
      </w:r>
      <w:r w:rsidR="0034097A" w:rsidRPr="00BC06DE">
        <w:rPr>
          <w:rFonts w:eastAsia="Calibri"/>
          <w:sz w:val="22"/>
          <w:szCs w:val="22"/>
          <w:lang w:val="fr-CH"/>
        </w:rPr>
        <w:t>,</w:t>
      </w:r>
      <w:r w:rsidR="00983076" w:rsidRPr="00BC06DE">
        <w:rPr>
          <w:rFonts w:eastAsia="Calibri"/>
          <w:sz w:val="22"/>
          <w:szCs w:val="22"/>
          <w:lang w:val="fr-CH"/>
        </w:rPr>
        <w:t>1 GHz.</w:t>
      </w:r>
    </w:p>
    <w:p w14:paraId="6587239E" w14:textId="29FF1204" w:rsidR="00983076" w:rsidRPr="00BC06DE" w:rsidRDefault="00AC2CC0" w:rsidP="00E308C2">
      <w:pPr>
        <w:rPr>
          <w:color w:val="000000"/>
          <w:sz w:val="22"/>
          <w:szCs w:val="22"/>
          <w:lang w:val="fr-CH" w:eastAsia="en-GB"/>
        </w:rPr>
      </w:pPr>
      <w:r>
        <w:rPr>
          <w:rFonts w:eastAsia="Calibri"/>
          <w:sz w:val="22"/>
          <w:szCs w:val="22"/>
          <w:lang w:val="fr-CH"/>
        </w:rPr>
        <w:pict w14:anchorId="27FCD834">
          <v:rect id="_x0000_i1029" style="width:481.95pt;height:1.5pt" o:hralign="center" o:hrstd="t" o:hrnoshade="t" o:hr="t" fillcolor="black [3213]" stroked="f"/>
        </w:pict>
      </w:r>
    </w:p>
    <w:tbl>
      <w:tblPr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357"/>
      </w:tblGrid>
      <w:tr w:rsidR="00983076" w:rsidRPr="00BC06DE" w14:paraId="18238B93" w14:textId="77777777" w:rsidTr="003F6B50"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6E57A4" w14:textId="50763FD9" w:rsidR="00983076" w:rsidRPr="00BC06DE" w:rsidRDefault="00B829FB" w:rsidP="00E308C2">
            <w:pP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06DE">
              <w:rPr>
                <w:b/>
                <w:bCs/>
                <w:i/>
                <w:iCs/>
                <w:color w:val="000000"/>
                <w:sz w:val="22"/>
                <w:szCs w:val="22"/>
                <w:lang w:val="fr-CH" w:eastAsia="en-GB"/>
              </w:rPr>
              <w:t>É</w:t>
            </w:r>
            <w:proofErr w:type="spellStart"/>
            <w:r w:rsidR="00BA322B" w:rsidRPr="00BC06DE">
              <w:rPr>
                <w:b/>
                <w:bCs/>
                <w:i/>
                <w:iCs/>
                <w:color w:val="000000"/>
                <w:sz w:val="22"/>
                <w:szCs w:val="22"/>
              </w:rPr>
              <w:t>tudes</w:t>
            </w:r>
            <w:proofErr w:type="spellEnd"/>
            <w:r w:rsidR="00BA322B" w:rsidRPr="00BC06D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devant être réalisées </w:t>
            </w:r>
            <w:proofErr w:type="gramStart"/>
            <w:r w:rsidR="00BA322B" w:rsidRPr="00BC06DE">
              <w:rPr>
                <w:b/>
                <w:bCs/>
                <w:i/>
                <w:iCs/>
                <w:color w:val="000000"/>
                <w:sz w:val="22"/>
                <w:szCs w:val="22"/>
              </w:rPr>
              <w:t>par</w:t>
            </w:r>
            <w:r w:rsidR="00BA322B" w:rsidRPr="00BC06DE">
              <w:rPr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="00983076" w:rsidRPr="00BC06DE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417ACB5" w14:textId="700650E4" w:rsidR="00983076" w:rsidRPr="00BC06DE" w:rsidRDefault="00B202A2" w:rsidP="00E308C2">
            <w:pP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</w:pPr>
            <w:r w:rsidRPr="00BC06DE">
              <w:rPr>
                <w:rFonts w:ascii="TimesNewRomanPSMT" w:eastAsia="Calibri" w:hAnsi="TimesNewRomanPSMT" w:cs="TimesNewRomanPSMT"/>
                <w:sz w:val="22"/>
                <w:szCs w:val="22"/>
                <w:lang w:val="fr-CH"/>
              </w:rPr>
              <w:t>Groupe de travail 5D</w:t>
            </w:r>
            <w:r w:rsidR="00DE1D43" w:rsidRPr="00BC06DE">
              <w:rPr>
                <w:rFonts w:ascii="TimesNewRomanPSMT" w:eastAsia="Calibri" w:hAnsi="TimesNewRomanPSMT" w:cs="TimesNewRomanPSMT"/>
                <w:sz w:val="22"/>
                <w:szCs w:val="22"/>
                <w:lang w:val="fr-CH"/>
              </w:rPr>
              <w:t xml:space="preserve"> </w:t>
            </w:r>
            <w:r w:rsidRPr="00BC06DE">
              <w:rPr>
                <w:rFonts w:ascii="TimesNewRomanPSMT" w:eastAsia="Calibri" w:hAnsi="TimesNewRomanPSMT" w:cs="TimesNewRomanPSMT"/>
                <w:sz w:val="22"/>
                <w:szCs w:val="22"/>
                <w:lang w:val="fr-CH"/>
              </w:rPr>
              <w:t xml:space="preserve">de </w:t>
            </w:r>
            <w:r w:rsidR="00C60CC0" w:rsidRPr="00BC06DE">
              <w:rPr>
                <w:rFonts w:ascii="TimesNewRomanPSMT" w:eastAsia="Calibri" w:hAnsi="TimesNewRomanPSMT" w:cs="TimesNewRomanPSMT"/>
                <w:sz w:val="22"/>
                <w:szCs w:val="22"/>
                <w:lang w:val="fr-CH"/>
              </w:rPr>
              <w:t>l'</w:t>
            </w:r>
            <w:r w:rsidRPr="00BC06DE">
              <w:rPr>
                <w:rFonts w:ascii="TimesNewRomanPSMT" w:eastAsia="Calibri" w:hAnsi="TimesNewRomanPSMT" w:cs="TimesNewRomanPSMT"/>
                <w:sz w:val="22"/>
                <w:szCs w:val="22"/>
                <w:lang w:val="fr-CH"/>
              </w:rPr>
              <w:t xml:space="preserve">UIT-R </w:t>
            </w:r>
          </w:p>
        </w:tc>
        <w:tc>
          <w:tcPr>
            <w:tcW w:w="5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B494F88" w14:textId="6E497E7E" w:rsidR="00983076" w:rsidRPr="00BC06DE" w:rsidRDefault="00BA322B" w:rsidP="00E308C2">
            <w:pPr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BC06DE">
              <w:rPr>
                <w:b/>
                <w:bCs/>
                <w:i/>
                <w:iCs/>
                <w:color w:val="000000"/>
                <w:sz w:val="22"/>
                <w:szCs w:val="22"/>
              </w:rPr>
              <w:t>avec</w:t>
            </w:r>
            <w:proofErr w:type="gramEnd"/>
            <w:r w:rsidRPr="00BC06D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la participation de</w:t>
            </w:r>
            <w:r w:rsidRPr="00BC06DE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="00983076" w:rsidRPr="00BC06DE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14:paraId="067CE9FA" w14:textId="4F85656B" w:rsidR="00983076" w:rsidRPr="00BC06DE" w:rsidRDefault="00B202A2" w:rsidP="00E308C2">
            <w:pPr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BC06DE">
              <w:rPr>
                <w:rFonts w:eastAsia="Calibri"/>
                <w:bCs/>
                <w:color w:val="000000"/>
                <w:sz w:val="22"/>
                <w:szCs w:val="22"/>
              </w:rPr>
              <w:t xml:space="preserve">Membres de </w:t>
            </w:r>
            <w:r w:rsidR="00C60CC0" w:rsidRPr="00BC06DE">
              <w:rPr>
                <w:rFonts w:eastAsia="Calibri"/>
                <w:bCs/>
                <w:color w:val="000000"/>
                <w:sz w:val="22"/>
                <w:szCs w:val="22"/>
              </w:rPr>
              <w:t>l'</w:t>
            </w:r>
            <w:r w:rsidR="00723290" w:rsidRPr="00BC06DE">
              <w:rPr>
                <w:rFonts w:eastAsia="Calibri"/>
                <w:bCs/>
                <w:color w:val="000000"/>
                <w:sz w:val="22"/>
                <w:szCs w:val="22"/>
              </w:rPr>
              <w:t>UIT</w:t>
            </w:r>
            <w:r w:rsidR="00983076" w:rsidRPr="00BC06DE">
              <w:rPr>
                <w:rFonts w:eastAsia="Calibri"/>
                <w:bCs/>
                <w:color w:val="000000"/>
                <w:sz w:val="22"/>
                <w:szCs w:val="22"/>
              </w:rPr>
              <w:t>-R</w:t>
            </w:r>
            <w:r w:rsidR="00DE1D43" w:rsidRPr="00BC06DE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0128DFEF" w14:textId="77777777" w:rsidR="00983076" w:rsidRPr="00BC06DE" w:rsidRDefault="00983076" w:rsidP="00E308C2">
            <w:pPr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26AE3F47" w14:textId="637C3B86" w:rsidR="00983076" w:rsidRPr="00BC06DE" w:rsidRDefault="00965A04" w:rsidP="00AC2CC0">
      <w:pPr>
        <w:keepNext/>
        <w:keepLines/>
        <w:rPr>
          <w:b/>
          <w:bCs/>
          <w:i/>
          <w:iCs/>
          <w:sz w:val="22"/>
          <w:szCs w:val="22"/>
          <w:lang w:val="fr-CH" w:eastAsia="en-GB"/>
        </w:rPr>
      </w:pPr>
      <w:bookmarkStart w:id="8" w:name="_GoBack"/>
      <w:r w:rsidRPr="00BC06DE">
        <w:rPr>
          <w:b/>
          <w:bCs/>
          <w:i/>
          <w:iCs/>
          <w:sz w:val="22"/>
          <w:szCs w:val="22"/>
          <w:lang w:val="fr-CH" w:eastAsia="en-GB"/>
        </w:rPr>
        <w:t xml:space="preserve">Commissions d'études de l'UIT-R </w:t>
      </w:r>
      <w:proofErr w:type="gramStart"/>
      <w:r w:rsidRPr="00BC06DE">
        <w:rPr>
          <w:b/>
          <w:bCs/>
          <w:i/>
          <w:iCs/>
          <w:sz w:val="22"/>
          <w:szCs w:val="22"/>
          <w:lang w:val="fr-CH" w:eastAsia="en-GB"/>
        </w:rPr>
        <w:t>concernées:</w:t>
      </w:r>
      <w:proofErr w:type="gramEnd"/>
    </w:p>
    <w:p w14:paraId="060AE341" w14:textId="77777777" w:rsidR="00E308C2" w:rsidRDefault="00B202A2" w:rsidP="00AC2CC0">
      <w:pPr>
        <w:keepNext/>
        <w:keepLines/>
        <w:rPr>
          <w:rFonts w:ascii="TimesNewRomanPSMT" w:eastAsia="Calibri" w:hAnsi="TimesNewRomanPSMT" w:cs="TimesNewRomanPSMT"/>
          <w:sz w:val="22"/>
          <w:szCs w:val="22"/>
          <w:lang w:val="fr-CH"/>
        </w:rPr>
      </w:pP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lastRenderedPageBreak/>
        <w:t xml:space="preserve">Commissions 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d'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études</w:t>
      </w:r>
      <w:r w:rsidR="00DE1D43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</w:t>
      </w:r>
      <w:r w:rsidR="00983076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4, 5,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et</w:t>
      </w:r>
      <w:r w:rsidR="00983076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 6 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 xml:space="preserve">de </w:t>
      </w:r>
      <w:r w:rsidR="00C60CC0"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l'</w:t>
      </w:r>
      <w:r w:rsidRPr="00BC06DE">
        <w:rPr>
          <w:rFonts w:ascii="TimesNewRomanPSMT" w:eastAsia="Calibri" w:hAnsi="TimesNewRomanPSMT" w:cs="TimesNewRomanPSMT"/>
          <w:sz w:val="22"/>
          <w:szCs w:val="22"/>
          <w:lang w:val="fr-CH"/>
        </w:rPr>
        <w:t>UIT-R</w:t>
      </w:r>
    </w:p>
    <w:bookmarkEnd w:id="8"/>
    <w:p w14:paraId="6EC11FCF" w14:textId="37C5890C" w:rsidR="00983076" w:rsidRPr="00BC06DE" w:rsidRDefault="00AC2CC0" w:rsidP="00E308C2">
      <w:pPr>
        <w:rPr>
          <w:rFonts w:ascii="TimesNewRomanPSMT" w:eastAsia="Calibri" w:hAnsi="TimesNewRomanPSMT" w:cs="TimesNewRomanPSMT"/>
          <w:sz w:val="22"/>
          <w:szCs w:val="22"/>
          <w:lang w:val="fr-CH"/>
        </w:rPr>
      </w:pPr>
      <w:r>
        <w:rPr>
          <w:rFonts w:eastAsia="Calibri"/>
          <w:sz w:val="22"/>
          <w:szCs w:val="22"/>
          <w:lang w:val="fr-CH"/>
        </w:rPr>
        <w:pict w14:anchorId="50FDE84C">
          <v:rect id="_x0000_i1030" style="width:481.95pt;height:1.5pt" o:hralign="center" o:hrstd="t" o:hrnoshade="t" o:hr="t" fillcolor="black [3213]" stroked="f"/>
        </w:pict>
      </w:r>
    </w:p>
    <w:p w14:paraId="679BFBC5" w14:textId="77777777" w:rsidR="00E308C2" w:rsidRDefault="00965A04" w:rsidP="00E308C2">
      <w:pPr>
        <w:rPr>
          <w:rFonts w:eastAsia="Calibri"/>
          <w:sz w:val="22"/>
          <w:szCs w:val="22"/>
          <w:lang w:val="fr-CH"/>
        </w:rPr>
      </w:pPr>
      <w:r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>Répercussions au niveau des ressources de l'UIT, y compris incidences financières</w:t>
      </w:r>
      <w:r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br/>
        <w:t>(voir le numéro 126 de la Convention</w:t>
      </w:r>
      <w:proofErr w:type="gramStart"/>
      <w:r w:rsidRPr="00BC06DE">
        <w:rPr>
          <w:b/>
          <w:bCs/>
          <w:i/>
          <w:iCs/>
          <w:color w:val="000000"/>
          <w:sz w:val="22"/>
          <w:szCs w:val="22"/>
          <w:lang w:val="fr-CH" w:eastAsia="en-GB"/>
        </w:rPr>
        <w:t>)</w:t>
      </w:r>
      <w:r w:rsidRPr="00BC06DE">
        <w:rPr>
          <w:b/>
          <w:bCs/>
          <w:color w:val="000000"/>
          <w:sz w:val="22"/>
          <w:szCs w:val="22"/>
          <w:lang w:val="fr-CH" w:eastAsia="en-GB"/>
        </w:rPr>
        <w:t>:</w:t>
      </w:r>
      <w:proofErr w:type="gramEnd"/>
      <w:r w:rsidR="00B829FB" w:rsidRPr="00BC06DE">
        <w:rPr>
          <w:b/>
          <w:bCs/>
          <w:color w:val="000000"/>
          <w:sz w:val="22"/>
          <w:szCs w:val="22"/>
          <w:lang w:val="fr-CH" w:eastAsia="en-GB"/>
        </w:rPr>
        <w:t xml:space="preserve"> </w:t>
      </w:r>
      <w:r w:rsidR="00B829FB" w:rsidRPr="00BC06DE">
        <w:rPr>
          <w:rFonts w:eastAsia="Calibri"/>
          <w:sz w:val="22"/>
          <w:szCs w:val="22"/>
          <w:lang w:val="fr-CH"/>
        </w:rPr>
        <w:t>m</w:t>
      </w:r>
      <w:r w:rsidR="00B202A2" w:rsidRPr="00BC06DE">
        <w:rPr>
          <w:rFonts w:eastAsia="Calibri"/>
          <w:sz w:val="22"/>
          <w:szCs w:val="22"/>
          <w:lang w:val="fr-CH"/>
        </w:rPr>
        <w:t xml:space="preserve">inimes, étant donné que le point de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B202A2" w:rsidRPr="00BC06DE">
        <w:rPr>
          <w:rFonts w:eastAsia="Calibri"/>
          <w:sz w:val="22"/>
          <w:szCs w:val="22"/>
          <w:lang w:val="fr-CH"/>
        </w:rPr>
        <w:t xml:space="preserve">ordre du jour proposé devrait être étudié par le </w:t>
      </w:r>
      <w:r w:rsidR="00723290" w:rsidRPr="00BC06DE">
        <w:rPr>
          <w:rFonts w:eastAsia="Calibri"/>
          <w:sz w:val="22"/>
          <w:szCs w:val="22"/>
          <w:lang w:val="fr-CH"/>
        </w:rPr>
        <w:t>GT</w:t>
      </w:r>
      <w:r w:rsidR="00983076" w:rsidRPr="00BC06DE">
        <w:rPr>
          <w:rFonts w:eastAsia="Calibri"/>
          <w:sz w:val="22"/>
          <w:szCs w:val="22"/>
          <w:lang w:val="fr-CH"/>
        </w:rPr>
        <w:t xml:space="preserve"> 5D</w:t>
      </w:r>
      <w:r w:rsidR="00B202A2" w:rsidRPr="00BC06DE">
        <w:rPr>
          <w:rFonts w:eastAsia="Calibri"/>
          <w:sz w:val="22"/>
          <w:szCs w:val="22"/>
          <w:lang w:val="fr-CH"/>
        </w:rPr>
        <w:t xml:space="preserve"> de </w:t>
      </w:r>
      <w:r w:rsidR="00C60CC0" w:rsidRPr="00BC06DE">
        <w:rPr>
          <w:rFonts w:eastAsia="Calibri"/>
          <w:sz w:val="22"/>
          <w:szCs w:val="22"/>
          <w:lang w:val="fr-CH"/>
        </w:rPr>
        <w:t>l'</w:t>
      </w:r>
      <w:r w:rsidR="00B202A2" w:rsidRPr="00BC06DE">
        <w:rPr>
          <w:rFonts w:eastAsia="Calibri"/>
          <w:sz w:val="22"/>
          <w:szCs w:val="22"/>
          <w:lang w:val="fr-CH"/>
        </w:rPr>
        <w:t>UIT-R</w:t>
      </w:r>
      <w:r w:rsidR="00983076" w:rsidRPr="00BC06DE">
        <w:rPr>
          <w:rFonts w:eastAsia="Calibri"/>
          <w:sz w:val="22"/>
          <w:szCs w:val="22"/>
          <w:lang w:val="fr-CH"/>
        </w:rPr>
        <w:t xml:space="preserve"> </w:t>
      </w:r>
      <w:r w:rsidR="00B202A2" w:rsidRPr="00BC06DE">
        <w:rPr>
          <w:rFonts w:eastAsia="Calibri"/>
          <w:sz w:val="22"/>
          <w:szCs w:val="22"/>
          <w:lang w:val="fr-CH"/>
        </w:rPr>
        <w:t>dans le cadre qui s</w:t>
      </w:r>
      <w:r w:rsidR="006908DA" w:rsidRPr="00BC06DE">
        <w:rPr>
          <w:rFonts w:eastAsia="Calibri"/>
          <w:sz w:val="22"/>
          <w:szCs w:val="22"/>
          <w:lang w:val="fr-CH"/>
        </w:rPr>
        <w:t>'</w:t>
      </w:r>
      <w:r w:rsidR="00B202A2" w:rsidRPr="00BC06DE">
        <w:rPr>
          <w:rFonts w:eastAsia="Calibri"/>
          <w:sz w:val="22"/>
          <w:szCs w:val="22"/>
          <w:lang w:val="fr-CH"/>
        </w:rPr>
        <w:t>applique actuellement à ses</w:t>
      </w:r>
      <w:r w:rsidR="00DE1D43" w:rsidRPr="00BC06DE">
        <w:rPr>
          <w:rFonts w:eastAsia="Calibri"/>
          <w:sz w:val="22"/>
          <w:szCs w:val="22"/>
          <w:lang w:val="fr-CH"/>
        </w:rPr>
        <w:t xml:space="preserve"> </w:t>
      </w:r>
      <w:r w:rsidR="00B202A2" w:rsidRPr="00BC06DE">
        <w:rPr>
          <w:rFonts w:eastAsia="Calibri"/>
          <w:sz w:val="22"/>
          <w:szCs w:val="22"/>
          <w:lang w:val="fr-CH"/>
        </w:rPr>
        <w:t>réunions.</w:t>
      </w:r>
    </w:p>
    <w:p w14:paraId="01EE31D1" w14:textId="41B282EF" w:rsidR="00983076" w:rsidRPr="00BC06DE" w:rsidRDefault="00AC2CC0" w:rsidP="00E308C2">
      <w:pPr>
        <w:rPr>
          <w:color w:val="000000"/>
          <w:sz w:val="22"/>
          <w:szCs w:val="22"/>
          <w:lang w:val="fr-CH" w:eastAsia="en-GB"/>
        </w:rPr>
      </w:pPr>
      <w:r>
        <w:rPr>
          <w:rFonts w:eastAsia="Calibri"/>
          <w:sz w:val="22"/>
          <w:szCs w:val="22"/>
          <w:lang w:val="fr-CH"/>
        </w:rPr>
        <w:pict w14:anchorId="618B8D24">
          <v:rect id="_x0000_i1031" style="width:481.95pt;height:1.5pt" o:hralign="center" o:hrstd="t" o:hrnoshade="t" o:hr="t" fillcolor="black [3213]" stroked="f"/>
        </w:pict>
      </w:r>
    </w:p>
    <w:p w14:paraId="6D4C2AA5" w14:textId="398BA9BB" w:rsidR="00983076" w:rsidRPr="00BC06DE" w:rsidRDefault="007F02CF" w:rsidP="00E308C2">
      <w:pPr>
        <w:rPr>
          <w:rFonts w:ascii="TimesNewRomanPSMT" w:eastAsia="Calibri" w:hAnsi="TimesNewRomanPSMT" w:cs="TimesNewRomanPSMT"/>
          <w:sz w:val="22"/>
          <w:szCs w:val="22"/>
        </w:rPr>
      </w:pPr>
      <w:r w:rsidRPr="00BC06DE">
        <w:rPr>
          <w:rFonts w:eastAsia="Calibri"/>
          <w:b/>
          <w:bCs/>
          <w:i/>
          <w:iCs/>
          <w:sz w:val="22"/>
          <w:szCs w:val="22"/>
        </w:rPr>
        <w:t xml:space="preserve">Proposition régionale </w:t>
      </w:r>
      <w:proofErr w:type="gramStart"/>
      <w:r w:rsidRPr="00BC06DE">
        <w:rPr>
          <w:rFonts w:eastAsia="Calibri"/>
          <w:b/>
          <w:bCs/>
          <w:i/>
          <w:iCs/>
          <w:sz w:val="22"/>
          <w:szCs w:val="22"/>
        </w:rPr>
        <w:t>commune:</w:t>
      </w:r>
      <w:proofErr w:type="gramEnd"/>
      <w:r w:rsidR="00983076" w:rsidRPr="00BC06DE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="00983076" w:rsidRPr="00BC06DE">
        <w:rPr>
          <w:rFonts w:eastAsia="Calibri"/>
          <w:bCs/>
          <w:iCs/>
          <w:sz w:val="22"/>
          <w:szCs w:val="22"/>
        </w:rPr>
        <w:t>[</w:t>
      </w:r>
      <w:r w:rsidRPr="00BC06DE">
        <w:rPr>
          <w:rFonts w:ascii="TimesNewRomanPSMT" w:eastAsia="Calibri" w:hAnsi="TimesNewRomanPSMT" w:cs="TimesNewRomanPSMT"/>
          <w:sz w:val="22"/>
          <w:szCs w:val="22"/>
        </w:rPr>
        <w:t>Oui/Non</w:t>
      </w:r>
      <w:r w:rsidR="00983076" w:rsidRPr="00BC06DE">
        <w:rPr>
          <w:rFonts w:ascii="TimesNewRomanPSMT" w:eastAsia="Calibri" w:hAnsi="TimesNewRomanPSMT" w:cs="TimesNewRomanPSMT"/>
          <w:sz w:val="22"/>
          <w:szCs w:val="22"/>
        </w:rPr>
        <w:t xml:space="preserve">] </w:t>
      </w:r>
      <w:r w:rsidR="00983076" w:rsidRPr="00BC06DE">
        <w:rPr>
          <w:rFonts w:ascii="TimesNewRomanPSMT" w:eastAsia="Calibri" w:hAnsi="TimesNewRomanPSMT" w:cs="TimesNewRomanPSMT"/>
          <w:sz w:val="22"/>
          <w:szCs w:val="22"/>
        </w:rPr>
        <w:tab/>
      </w:r>
      <w:r w:rsidRPr="00BC06DE">
        <w:rPr>
          <w:b/>
          <w:bCs/>
          <w:i/>
          <w:iCs/>
          <w:color w:val="000000"/>
          <w:sz w:val="22"/>
          <w:szCs w:val="22"/>
        </w:rPr>
        <w:t>Proposition soumise par plusieurs pays</w:t>
      </w:r>
      <w:r w:rsidRPr="00BC06DE">
        <w:rPr>
          <w:b/>
          <w:bCs/>
          <w:color w:val="000000"/>
          <w:sz w:val="22"/>
          <w:szCs w:val="22"/>
        </w:rPr>
        <w:t>:</w:t>
      </w:r>
      <w:r w:rsidR="00983076" w:rsidRPr="00BC06DE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="00983076" w:rsidRPr="00BC06DE">
        <w:rPr>
          <w:rFonts w:eastAsia="Calibri"/>
          <w:bCs/>
          <w:iCs/>
          <w:sz w:val="22"/>
          <w:szCs w:val="22"/>
        </w:rPr>
        <w:t>[</w:t>
      </w:r>
      <w:r w:rsidRPr="00BC06DE">
        <w:rPr>
          <w:rFonts w:ascii="TimesNewRomanPSMT" w:eastAsia="Calibri" w:hAnsi="TimesNewRomanPSMT" w:cs="TimesNewRomanPSMT"/>
          <w:sz w:val="22"/>
          <w:szCs w:val="22"/>
        </w:rPr>
        <w:t>Oui</w:t>
      </w:r>
      <w:r w:rsidR="00983076" w:rsidRPr="00BC06DE">
        <w:rPr>
          <w:rFonts w:ascii="TimesNewRomanPSMT" w:eastAsia="Calibri" w:hAnsi="TimesNewRomanPSMT" w:cs="TimesNewRomanPSMT"/>
          <w:sz w:val="22"/>
          <w:szCs w:val="22"/>
        </w:rPr>
        <w:t>/No</w:t>
      </w:r>
      <w:r w:rsidRPr="00BC06DE">
        <w:rPr>
          <w:rFonts w:ascii="TimesNewRomanPSMT" w:eastAsia="Calibri" w:hAnsi="TimesNewRomanPSMT" w:cs="TimesNewRomanPSMT"/>
          <w:sz w:val="22"/>
          <w:szCs w:val="22"/>
        </w:rPr>
        <w:t>n</w:t>
      </w:r>
      <w:r w:rsidR="00983076" w:rsidRPr="00BC06DE">
        <w:rPr>
          <w:rFonts w:ascii="TimesNewRomanPSMT" w:eastAsia="Calibri" w:hAnsi="TimesNewRomanPSMT" w:cs="TimesNewRomanPSMT"/>
          <w:sz w:val="22"/>
          <w:szCs w:val="22"/>
        </w:rPr>
        <w:t>]</w:t>
      </w:r>
    </w:p>
    <w:p w14:paraId="4F88AC53" w14:textId="77777777" w:rsidR="00E308C2" w:rsidRDefault="0034097A" w:rsidP="00E308C2">
      <w:pPr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</w:pPr>
      <w:r w:rsidRP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  <w:rPrChange w:id="9" w:author="Braud, Olivia" w:date="2019-09-20T16:46:00Z">
            <w:rPr>
              <w:rFonts w:ascii="TimesNewRomanPS-ItalicMT" w:eastAsia="Calibri" w:hAnsi="TimesNewRomanPS-ItalicMT" w:cs="TimesNewRomanPS-ItalicMT"/>
              <w:b/>
              <w:bCs/>
              <w:i/>
              <w:iCs/>
              <w:szCs w:val="24"/>
            </w:rPr>
          </w:rPrChange>
        </w:rPr>
        <w:tab/>
      </w:r>
      <w:r w:rsid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ab/>
      </w:r>
      <w:r w:rsid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ab/>
      </w:r>
      <w:r w:rsid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ab/>
      </w:r>
      <w:r w:rsid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ab/>
      </w:r>
      <w:r w:rsid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ab/>
      </w:r>
      <w:r w:rsidR="007F02CF" w:rsidRP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 xml:space="preserve">Nombre de </w:t>
      </w:r>
      <w:proofErr w:type="gramStart"/>
      <w:r w:rsidR="007F02CF" w:rsidRPr="00BC06DE">
        <w:rPr>
          <w:rFonts w:ascii="TimesNewRomanPS-ItalicMT" w:eastAsia="Calibri" w:hAnsi="TimesNewRomanPS-ItalicMT" w:cs="TimesNewRomanPS-ItalicMT"/>
          <w:b/>
          <w:bCs/>
          <w:i/>
          <w:iCs/>
          <w:sz w:val="22"/>
          <w:szCs w:val="22"/>
        </w:rPr>
        <w:t>pays:</w:t>
      </w:r>
      <w:proofErr w:type="gramEnd"/>
    </w:p>
    <w:p w14:paraId="7209D66E" w14:textId="5C72E040" w:rsidR="00983076" w:rsidRPr="00BC06DE" w:rsidRDefault="00AC2CC0" w:rsidP="00E308C2">
      <w:pPr>
        <w:rPr>
          <w:rFonts w:ascii="TimesNewRomanPS-ItalicMT" w:eastAsia="Calibri" w:hAnsi="TimesNewRomanPS-ItalicMT" w:cs="TimesNewRomanPS-ItalicMT"/>
          <w:b/>
          <w:i/>
          <w:iCs/>
          <w:sz w:val="22"/>
          <w:szCs w:val="22"/>
        </w:rPr>
      </w:pPr>
      <w:r>
        <w:rPr>
          <w:rFonts w:eastAsia="Calibri"/>
          <w:sz w:val="22"/>
          <w:szCs w:val="22"/>
          <w:lang w:val="fr-CH"/>
        </w:rPr>
        <w:pict w14:anchorId="41F12DB2">
          <v:rect id="_x0000_i1032" style="width:481.95pt;height:1.5pt" o:hralign="center" o:hrstd="t" o:hrnoshade="t" o:hr="t" fillcolor="black [3213]" stroked="f"/>
        </w:pict>
      </w:r>
    </w:p>
    <w:p w14:paraId="7E743C2F" w14:textId="619E04EF" w:rsidR="00983076" w:rsidRPr="00430C67" w:rsidRDefault="0062251B" w:rsidP="00E308C2">
      <w:pPr>
        <w:rPr>
          <w:rFonts w:eastAsia="Calibri"/>
        </w:rPr>
      </w:pPr>
      <w:r w:rsidRPr="00BC06DE">
        <w:rPr>
          <w:rFonts w:eastAsia="Calibri"/>
          <w:b/>
          <w:bCs/>
          <w:i/>
          <w:iCs/>
          <w:sz w:val="22"/>
          <w:szCs w:val="22"/>
        </w:rPr>
        <w:t>Observations</w:t>
      </w:r>
    </w:p>
    <w:p w14:paraId="2459A143" w14:textId="17E21A3B" w:rsidR="00F171B7" w:rsidRDefault="00F171B7" w:rsidP="00C03DA5"/>
    <w:p w14:paraId="2AF69817" w14:textId="77777777" w:rsidR="00CE4AD9" w:rsidRDefault="00CE4AD9" w:rsidP="00C03DA5">
      <w:pPr>
        <w:jc w:val="center"/>
      </w:pPr>
      <w:r>
        <w:t>______________</w:t>
      </w:r>
    </w:p>
    <w:sectPr w:rsidR="00CE4AD9" w:rsidSect="00B1453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0FE3" w14:textId="77777777" w:rsidR="003F6B50" w:rsidRDefault="003F6B50">
      <w:r>
        <w:separator/>
      </w:r>
    </w:p>
  </w:endnote>
  <w:endnote w:type="continuationSeparator" w:id="0">
    <w:p w14:paraId="7432D1DE" w14:textId="77777777" w:rsidR="003F6B50" w:rsidRDefault="003F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4903" w14:textId="3C329666" w:rsidR="003F6B50" w:rsidRDefault="003F6B50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A26A8">
      <w:rPr>
        <w:noProof/>
        <w:lang w:val="en-US"/>
      </w:rPr>
      <w:t>P:\FRA\ITU-R\CONF-R\CMR19\000\011ADD24ADD02F.docx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26A8">
      <w:rPr>
        <w:noProof/>
      </w:rPr>
      <w:t>23.09.19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26A8">
      <w:rPr>
        <w:noProof/>
      </w:rPr>
      <w:t>23.09.19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A100" w14:textId="25E3DA25" w:rsidR="003F6B50" w:rsidRDefault="008105CE" w:rsidP="00B57258">
    <w:pPr>
      <w:pStyle w:val="Footer"/>
      <w:rPr>
        <w:lang w:val="en-US"/>
      </w:rPr>
    </w:pPr>
    <w:fldSimple w:instr=" FILENAME \p  \* MERGEFORMAT ">
      <w:r w:rsidR="00FA26A8">
        <w:t>P:\FRA\ITU-R\CONF-R\CMR19\000\011ADD24ADD02F.docx</w:t>
      </w:r>
    </w:fldSimple>
    <w:r w:rsidR="00B57258">
      <w:t xml:space="preserve"> (460761)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EDA7" w14:textId="45BFA351" w:rsidR="003F6B50" w:rsidRDefault="008105CE" w:rsidP="00B57258">
    <w:pPr>
      <w:pStyle w:val="Footer"/>
      <w:rPr>
        <w:lang w:val="en-US"/>
      </w:rPr>
    </w:pPr>
    <w:fldSimple w:instr=" FILENAME \p  \* MERGEFORMAT ">
      <w:r w:rsidR="00FA26A8">
        <w:t>P:\FRA\ITU-R\CONF-R\CMR19\000\011ADD24ADD02F.docx</w:t>
      </w:r>
    </w:fldSimple>
    <w:r w:rsidR="00B57258">
      <w:t xml:space="preserve"> (460761)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E2A8" w14:textId="77777777" w:rsidR="003F6B50" w:rsidRDefault="003F6B50">
      <w:r>
        <w:rPr>
          <w:b/>
        </w:rPr>
        <w:t>_______________</w:t>
      </w:r>
    </w:p>
  </w:footnote>
  <w:footnote w:type="continuationSeparator" w:id="0">
    <w:p w14:paraId="7254B64A" w14:textId="77777777" w:rsidR="003F6B50" w:rsidRDefault="003F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C94C" w14:textId="77777777" w:rsidR="003F6B50" w:rsidRDefault="003F6B50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131F9C" w14:textId="77777777" w:rsidR="003F6B50" w:rsidRDefault="003F6B50" w:rsidP="00FD7AA3">
    <w:pPr>
      <w:pStyle w:val="Header"/>
    </w:pPr>
    <w:r>
      <w:t>CMR19/11(Add.24)(Add.2)-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aud, Olivia">
    <w15:presenceInfo w15:providerId="AD" w15:userId="S::olivia.braud@itu.int::14c1cc7b-882b-40c1-808d-f5508c38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2001B05-B067-4B6B-AC15-07F0951EB0D2}"/>
    <w:docVar w:name="dgnword-eventsink" w:val="2017364626880"/>
  </w:docVars>
  <w:rsids>
    <w:rsidRoot w:val="00BB1D82"/>
    <w:rsid w:val="00007EC7"/>
    <w:rsid w:val="00010B43"/>
    <w:rsid w:val="00016648"/>
    <w:rsid w:val="0003522F"/>
    <w:rsid w:val="000421BE"/>
    <w:rsid w:val="0006253B"/>
    <w:rsid w:val="00063A1F"/>
    <w:rsid w:val="00080E2C"/>
    <w:rsid w:val="00081366"/>
    <w:rsid w:val="000863B3"/>
    <w:rsid w:val="0009431E"/>
    <w:rsid w:val="00094B44"/>
    <w:rsid w:val="000A4755"/>
    <w:rsid w:val="000A55AE"/>
    <w:rsid w:val="000B2E0C"/>
    <w:rsid w:val="000B3D0C"/>
    <w:rsid w:val="000D37FC"/>
    <w:rsid w:val="001167B9"/>
    <w:rsid w:val="001267A0"/>
    <w:rsid w:val="001349C1"/>
    <w:rsid w:val="001448D9"/>
    <w:rsid w:val="0015203F"/>
    <w:rsid w:val="00160C64"/>
    <w:rsid w:val="0018169B"/>
    <w:rsid w:val="0019352B"/>
    <w:rsid w:val="001960D0"/>
    <w:rsid w:val="001A11F6"/>
    <w:rsid w:val="001E53F0"/>
    <w:rsid w:val="001F17E8"/>
    <w:rsid w:val="001F6CB5"/>
    <w:rsid w:val="00204306"/>
    <w:rsid w:val="002116BF"/>
    <w:rsid w:val="00214330"/>
    <w:rsid w:val="00232FD2"/>
    <w:rsid w:val="00245476"/>
    <w:rsid w:val="0025181C"/>
    <w:rsid w:val="002519D1"/>
    <w:rsid w:val="0026157E"/>
    <w:rsid w:val="0026554E"/>
    <w:rsid w:val="002A4622"/>
    <w:rsid w:val="002A6F8F"/>
    <w:rsid w:val="002B17E5"/>
    <w:rsid w:val="002C0EBF"/>
    <w:rsid w:val="002C28A4"/>
    <w:rsid w:val="002C34A9"/>
    <w:rsid w:val="002D7E0A"/>
    <w:rsid w:val="002E1B4C"/>
    <w:rsid w:val="00315AFE"/>
    <w:rsid w:val="0034097A"/>
    <w:rsid w:val="003606A6"/>
    <w:rsid w:val="0036650C"/>
    <w:rsid w:val="0039008D"/>
    <w:rsid w:val="00393ACD"/>
    <w:rsid w:val="003A583E"/>
    <w:rsid w:val="003E112B"/>
    <w:rsid w:val="003E1D1C"/>
    <w:rsid w:val="003E7B05"/>
    <w:rsid w:val="003F3719"/>
    <w:rsid w:val="003F6B50"/>
    <w:rsid w:val="003F6F2D"/>
    <w:rsid w:val="00430C67"/>
    <w:rsid w:val="00466211"/>
    <w:rsid w:val="00480BDF"/>
    <w:rsid w:val="00483196"/>
    <w:rsid w:val="004834A9"/>
    <w:rsid w:val="00485CCF"/>
    <w:rsid w:val="00491CB3"/>
    <w:rsid w:val="004C6983"/>
    <w:rsid w:val="004D01FC"/>
    <w:rsid w:val="004E0804"/>
    <w:rsid w:val="004E24DE"/>
    <w:rsid w:val="004E28C3"/>
    <w:rsid w:val="004F1F8E"/>
    <w:rsid w:val="00512A32"/>
    <w:rsid w:val="005343DA"/>
    <w:rsid w:val="00560874"/>
    <w:rsid w:val="00570863"/>
    <w:rsid w:val="00586CF2"/>
    <w:rsid w:val="005A7C75"/>
    <w:rsid w:val="005C3768"/>
    <w:rsid w:val="005C3A1E"/>
    <w:rsid w:val="005C6C3F"/>
    <w:rsid w:val="005D41D6"/>
    <w:rsid w:val="005E1393"/>
    <w:rsid w:val="005F40C7"/>
    <w:rsid w:val="00613635"/>
    <w:rsid w:val="0062093D"/>
    <w:rsid w:val="0062251B"/>
    <w:rsid w:val="0062698E"/>
    <w:rsid w:val="00637ECF"/>
    <w:rsid w:val="00644738"/>
    <w:rsid w:val="00647B59"/>
    <w:rsid w:val="006908DA"/>
    <w:rsid w:val="00690C7B"/>
    <w:rsid w:val="006A4B45"/>
    <w:rsid w:val="006D1E12"/>
    <w:rsid w:val="006D4724"/>
    <w:rsid w:val="006F5FA2"/>
    <w:rsid w:val="0070076C"/>
    <w:rsid w:val="00701BAE"/>
    <w:rsid w:val="00721F04"/>
    <w:rsid w:val="00723290"/>
    <w:rsid w:val="00730E95"/>
    <w:rsid w:val="00733E70"/>
    <w:rsid w:val="007426B9"/>
    <w:rsid w:val="00764342"/>
    <w:rsid w:val="00773A71"/>
    <w:rsid w:val="00774362"/>
    <w:rsid w:val="00786598"/>
    <w:rsid w:val="00790C74"/>
    <w:rsid w:val="007A04E8"/>
    <w:rsid w:val="007B2C34"/>
    <w:rsid w:val="007F02CF"/>
    <w:rsid w:val="007F4754"/>
    <w:rsid w:val="008105CE"/>
    <w:rsid w:val="00830086"/>
    <w:rsid w:val="00851625"/>
    <w:rsid w:val="00863C0A"/>
    <w:rsid w:val="008841AE"/>
    <w:rsid w:val="008A3120"/>
    <w:rsid w:val="008A4B97"/>
    <w:rsid w:val="008C5B8E"/>
    <w:rsid w:val="008C5DD5"/>
    <w:rsid w:val="008D41BE"/>
    <w:rsid w:val="008D58D3"/>
    <w:rsid w:val="008E3BC9"/>
    <w:rsid w:val="00913C9C"/>
    <w:rsid w:val="00923064"/>
    <w:rsid w:val="00930FFD"/>
    <w:rsid w:val="00936D25"/>
    <w:rsid w:val="00941EA5"/>
    <w:rsid w:val="0096373E"/>
    <w:rsid w:val="00964700"/>
    <w:rsid w:val="00965A04"/>
    <w:rsid w:val="00966C16"/>
    <w:rsid w:val="00983076"/>
    <w:rsid w:val="0098732F"/>
    <w:rsid w:val="009A045F"/>
    <w:rsid w:val="009A6A2B"/>
    <w:rsid w:val="009C7E7C"/>
    <w:rsid w:val="00A00473"/>
    <w:rsid w:val="00A03C9B"/>
    <w:rsid w:val="00A26185"/>
    <w:rsid w:val="00A269F7"/>
    <w:rsid w:val="00A37105"/>
    <w:rsid w:val="00A45C6B"/>
    <w:rsid w:val="00A606C3"/>
    <w:rsid w:val="00A60B1B"/>
    <w:rsid w:val="00A71549"/>
    <w:rsid w:val="00A83B09"/>
    <w:rsid w:val="00A84541"/>
    <w:rsid w:val="00AC2CC0"/>
    <w:rsid w:val="00AE36A0"/>
    <w:rsid w:val="00B00294"/>
    <w:rsid w:val="00B14539"/>
    <w:rsid w:val="00B202A2"/>
    <w:rsid w:val="00B3749C"/>
    <w:rsid w:val="00B42E33"/>
    <w:rsid w:val="00B517EF"/>
    <w:rsid w:val="00B57258"/>
    <w:rsid w:val="00B64FD0"/>
    <w:rsid w:val="00B7645A"/>
    <w:rsid w:val="00B829FB"/>
    <w:rsid w:val="00B8487D"/>
    <w:rsid w:val="00B9116D"/>
    <w:rsid w:val="00B95DD6"/>
    <w:rsid w:val="00BA322B"/>
    <w:rsid w:val="00BA537F"/>
    <w:rsid w:val="00BA5BD0"/>
    <w:rsid w:val="00BB1D82"/>
    <w:rsid w:val="00BC06DE"/>
    <w:rsid w:val="00BC55EB"/>
    <w:rsid w:val="00BD4709"/>
    <w:rsid w:val="00BD51C5"/>
    <w:rsid w:val="00BF26E7"/>
    <w:rsid w:val="00C03DA5"/>
    <w:rsid w:val="00C17D63"/>
    <w:rsid w:val="00C213EA"/>
    <w:rsid w:val="00C3189E"/>
    <w:rsid w:val="00C53FCA"/>
    <w:rsid w:val="00C60CC0"/>
    <w:rsid w:val="00C76BAF"/>
    <w:rsid w:val="00C814B9"/>
    <w:rsid w:val="00C83F69"/>
    <w:rsid w:val="00CB3A4B"/>
    <w:rsid w:val="00CC1F73"/>
    <w:rsid w:val="00CD0972"/>
    <w:rsid w:val="00CD516F"/>
    <w:rsid w:val="00CE4AD9"/>
    <w:rsid w:val="00D02CAD"/>
    <w:rsid w:val="00D05965"/>
    <w:rsid w:val="00D119A7"/>
    <w:rsid w:val="00D25FBA"/>
    <w:rsid w:val="00D32B28"/>
    <w:rsid w:val="00D36CDB"/>
    <w:rsid w:val="00D42954"/>
    <w:rsid w:val="00D66EAC"/>
    <w:rsid w:val="00D730DF"/>
    <w:rsid w:val="00D772F0"/>
    <w:rsid w:val="00D77BDC"/>
    <w:rsid w:val="00DC402B"/>
    <w:rsid w:val="00DC4453"/>
    <w:rsid w:val="00DC762A"/>
    <w:rsid w:val="00DE0932"/>
    <w:rsid w:val="00DE1D43"/>
    <w:rsid w:val="00DF59FF"/>
    <w:rsid w:val="00E03A27"/>
    <w:rsid w:val="00E049F1"/>
    <w:rsid w:val="00E209A7"/>
    <w:rsid w:val="00E302CC"/>
    <w:rsid w:val="00E308C2"/>
    <w:rsid w:val="00E37A25"/>
    <w:rsid w:val="00E537FF"/>
    <w:rsid w:val="00E6539B"/>
    <w:rsid w:val="00E70A31"/>
    <w:rsid w:val="00E723A7"/>
    <w:rsid w:val="00E80A23"/>
    <w:rsid w:val="00EA3F38"/>
    <w:rsid w:val="00EA5AB6"/>
    <w:rsid w:val="00EC7615"/>
    <w:rsid w:val="00ED16AA"/>
    <w:rsid w:val="00ED6B8D"/>
    <w:rsid w:val="00EE21A2"/>
    <w:rsid w:val="00EE3D7B"/>
    <w:rsid w:val="00EE643F"/>
    <w:rsid w:val="00EF1452"/>
    <w:rsid w:val="00EF662E"/>
    <w:rsid w:val="00F10064"/>
    <w:rsid w:val="00F148F1"/>
    <w:rsid w:val="00F14E83"/>
    <w:rsid w:val="00F171B7"/>
    <w:rsid w:val="00F25E1A"/>
    <w:rsid w:val="00F711A7"/>
    <w:rsid w:val="00FA26A8"/>
    <w:rsid w:val="00FA3BBF"/>
    <w:rsid w:val="00FC41F8"/>
    <w:rsid w:val="00FD7AA3"/>
    <w:rsid w:val="00FE20EE"/>
    <w:rsid w:val="00FF1C4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A0202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dpstylecall">
    <w:name w:val="dpstylecall"/>
    <w:basedOn w:val="Normal"/>
    <w:rsid w:val="001E53F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53F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paragraph" w:customStyle="1" w:styleId="Normal11pt">
    <w:name w:val="Normal + 11 pt"/>
    <w:aliases w:val="Black,Bottom: (Single solid line,Auto,1.5 pt Line width)"/>
    <w:basedOn w:val="Normal"/>
    <w:rsid w:val="00B14539"/>
    <w:rPr>
      <w:rFonts w:eastAsia="Calibr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264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87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19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89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13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81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1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93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7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39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170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0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542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860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25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R16-WRC19-C-0011!A24-A2!MSW-F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5CE8F50C-DE0A-4D72-A99A-A54D73E53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083E9F-82FC-4D36-8BBD-D1A311C7B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DF587-2D03-43D4-90FD-2E2344903FE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2600</Words>
  <Characters>14000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R16-WRC19-C-0011!A24-A2!MSW-F</vt:lpstr>
    </vt:vector>
  </TitlesOfParts>
  <Manager>Secrétariat général - Pool</Manager>
  <Company>Union internationale des télécommunications (UIT)</Company>
  <LinksUpToDate>false</LinksUpToDate>
  <CharactersWithSpaces>16567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R16-WRC19-C-0011!A24-A2!MSW-F</dc:title>
  <dc:subject>Conférence mondiale des radiocommunications - 2019</dc:subject>
  <dc:creator>Documents Proposals Manager (DPM)</dc:creator>
  <cp:keywords>DPM_v2019.9.18.2_prod</cp:keywords>
  <dc:description/>
  <cp:lastModifiedBy>Barbier, Marie-Claire</cp:lastModifiedBy>
  <cp:revision>18</cp:revision>
  <cp:lastPrinted>2019-09-23T13:43:00Z</cp:lastPrinted>
  <dcterms:created xsi:type="dcterms:W3CDTF">2019-09-20T14:11:00Z</dcterms:created>
  <dcterms:modified xsi:type="dcterms:W3CDTF">2019-09-23T13:56:00Z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