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5651C9" w:rsidRPr="00AA069D" w14:paraId="01B4D568" w14:textId="77777777" w:rsidTr="001A1357">
        <w:trPr>
          <w:cantSplit/>
        </w:trPr>
        <w:tc>
          <w:tcPr>
            <w:tcW w:w="6663" w:type="dxa"/>
          </w:tcPr>
          <w:p w14:paraId="0E4C9600" w14:textId="77777777" w:rsidR="005651C9" w:rsidRPr="00AA069D" w:rsidRDefault="00E65919" w:rsidP="009D3D63">
            <w:pPr>
              <w:spacing w:before="400" w:after="48" w:line="240" w:lineRule="atLeast"/>
              <w:rPr>
                <w:rFonts w:ascii="Verdana" w:hAnsi="Verdana"/>
                <w:b/>
                <w:bCs/>
                <w:position w:val="6"/>
              </w:rPr>
            </w:pPr>
            <w:bookmarkStart w:id="0" w:name="dtemplate"/>
            <w:bookmarkEnd w:id="0"/>
            <w:r w:rsidRPr="00AA069D">
              <w:rPr>
                <w:rFonts w:ascii="Verdana" w:hAnsi="Verdana"/>
                <w:b/>
                <w:bCs/>
                <w:szCs w:val="22"/>
              </w:rPr>
              <w:t>Всемирная конференция радиосвязи (ВКР-1</w:t>
            </w:r>
            <w:r w:rsidR="00F65316" w:rsidRPr="00AA069D">
              <w:rPr>
                <w:rFonts w:ascii="Verdana" w:hAnsi="Verdana"/>
                <w:b/>
                <w:bCs/>
                <w:szCs w:val="22"/>
              </w:rPr>
              <w:t>9</w:t>
            </w:r>
            <w:r w:rsidRPr="00AA069D">
              <w:rPr>
                <w:rFonts w:ascii="Verdana" w:hAnsi="Verdana"/>
                <w:b/>
                <w:bCs/>
                <w:szCs w:val="22"/>
              </w:rPr>
              <w:t>)</w:t>
            </w:r>
            <w:r w:rsidRPr="00AA069D">
              <w:rPr>
                <w:rFonts w:ascii="Verdana" w:hAnsi="Verdana"/>
                <w:b/>
                <w:bCs/>
                <w:sz w:val="18"/>
                <w:szCs w:val="18"/>
              </w:rPr>
              <w:br/>
            </w:r>
            <w:r w:rsidR="009D3D63" w:rsidRPr="00AA069D">
              <w:rPr>
                <w:rFonts w:ascii="Verdana" w:hAnsi="Verdana" w:cs="Times New Roman Bold"/>
                <w:b/>
                <w:bCs/>
                <w:sz w:val="18"/>
                <w:szCs w:val="18"/>
              </w:rPr>
              <w:t>Шарм-эль-Шейх, Египет</w:t>
            </w:r>
            <w:r w:rsidRPr="00AA069D">
              <w:rPr>
                <w:rFonts w:ascii="Verdana" w:hAnsi="Verdana" w:cs="Times New Roman Bold"/>
                <w:b/>
                <w:bCs/>
                <w:sz w:val="18"/>
                <w:szCs w:val="18"/>
              </w:rPr>
              <w:t>,</w:t>
            </w:r>
            <w:r w:rsidRPr="00AA069D">
              <w:rPr>
                <w:rFonts w:ascii="Verdana" w:hAnsi="Verdana"/>
                <w:b/>
                <w:bCs/>
                <w:sz w:val="18"/>
                <w:szCs w:val="18"/>
              </w:rPr>
              <w:t xml:space="preserve"> </w:t>
            </w:r>
            <w:r w:rsidR="00F65316" w:rsidRPr="00AA069D">
              <w:rPr>
                <w:rFonts w:ascii="Verdana" w:hAnsi="Verdana" w:cs="Times New Roman Bold"/>
                <w:b/>
                <w:bCs/>
                <w:sz w:val="18"/>
                <w:szCs w:val="18"/>
              </w:rPr>
              <w:t>28 октября – 22 ноября 2019 года</w:t>
            </w:r>
          </w:p>
        </w:tc>
        <w:tc>
          <w:tcPr>
            <w:tcW w:w="3368" w:type="dxa"/>
          </w:tcPr>
          <w:p w14:paraId="2B233BAB" w14:textId="77777777" w:rsidR="005651C9" w:rsidRPr="00AA069D" w:rsidRDefault="00966C93" w:rsidP="00597005">
            <w:pPr>
              <w:spacing w:before="0" w:line="240" w:lineRule="atLeast"/>
              <w:jc w:val="right"/>
            </w:pPr>
            <w:bookmarkStart w:id="1" w:name="ditulogo"/>
            <w:bookmarkEnd w:id="1"/>
            <w:r w:rsidRPr="00AA069D">
              <w:rPr>
                <w:szCs w:val="22"/>
                <w:lang w:eastAsia="zh-CN"/>
              </w:rPr>
              <w:drawing>
                <wp:inline distT="0" distB="0" distL="0" distR="0" wp14:anchorId="1B7BD3B8" wp14:editId="7875F209">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AA069D" w14:paraId="62AA4A7C" w14:textId="77777777" w:rsidTr="001A1357">
        <w:trPr>
          <w:cantSplit/>
        </w:trPr>
        <w:tc>
          <w:tcPr>
            <w:tcW w:w="6663" w:type="dxa"/>
            <w:tcBorders>
              <w:bottom w:val="single" w:sz="12" w:space="0" w:color="auto"/>
            </w:tcBorders>
          </w:tcPr>
          <w:p w14:paraId="116BB8CC" w14:textId="77777777" w:rsidR="005651C9" w:rsidRPr="00AA069D" w:rsidRDefault="005651C9">
            <w:pPr>
              <w:spacing w:after="48" w:line="240" w:lineRule="atLeast"/>
              <w:rPr>
                <w:b/>
                <w:smallCaps/>
                <w:szCs w:val="22"/>
              </w:rPr>
            </w:pPr>
            <w:bookmarkStart w:id="2" w:name="dhead"/>
          </w:p>
        </w:tc>
        <w:tc>
          <w:tcPr>
            <w:tcW w:w="3368" w:type="dxa"/>
            <w:tcBorders>
              <w:bottom w:val="single" w:sz="12" w:space="0" w:color="auto"/>
            </w:tcBorders>
          </w:tcPr>
          <w:p w14:paraId="6C9D1E8F" w14:textId="77777777" w:rsidR="005651C9" w:rsidRPr="00AA069D" w:rsidRDefault="005651C9">
            <w:pPr>
              <w:spacing w:line="240" w:lineRule="atLeast"/>
              <w:rPr>
                <w:rFonts w:ascii="Verdana" w:hAnsi="Verdana"/>
                <w:szCs w:val="22"/>
              </w:rPr>
            </w:pPr>
          </w:p>
        </w:tc>
      </w:tr>
      <w:tr w:rsidR="005651C9" w:rsidRPr="00AA069D" w14:paraId="387CC1FD" w14:textId="77777777" w:rsidTr="001A1357">
        <w:trPr>
          <w:cantSplit/>
        </w:trPr>
        <w:tc>
          <w:tcPr>
            <w:tcW w:w="6663" w:type="dxa"/>
            <w:tcBorders>
              <w:top w:val="single" w:sz="12" w:space="0" w:color="auto"/>
            </w:tcBorders>
          </w:tcPr>
          <w:p w14:paraId="39F85EAC" w14:textId="77777777" w:rsidR="005651C9" w:rsidRPr="00AA069D" w:rsidRDefault="005651C9" w:rsidP="005651C9">
            <w:pPr>
              <w:spacing w:before="0" w:after="48" w:line="240" w:lineRule="atLeast"/>
              <w:rPr>
                <w:rFonts w:ascii="Verdana" w:hAnsi="Verdana"/>
                <w:b/>
                <w:smallCaps/>
                <w:sz w:val="18"/>
                <w:szCs w:val="22"/>
              </w:rPr>
            </w:pPr>
            <w:bookmarkStart w:id="3" w:name="dspace"/>
          </w:p>
        </w:tc>
        <w:tc>
          <w:tcPr>
            <w:tcW w:w="3368" w:type="dxa"/>
            <w:tcBorders>
              <w:top w:val="single" w:sz="12" w:space="0" w:color="auto"/>
            </w:tcBorders>
          </w:tcPr>
          <w:p w14:paraId="0854CE58" w14:textId="77777777" w:rsidR="005651C9" w:rsidRPr="00AA069D" w:rsidRDefault="005651C9" w:rsidP="001A1357">
            <w:pPr>
              <w:spacing w:before="0" w:line="240" w:lineRule="atLeast"/>
              <w:ind w:left="-74" w:right="-146"/>
              <w:rPr>
                <w:rFonts w:ascii="Verdana" w:hAnsi="Verdana"/>
                <w:sz w:val="18"/>
                <w:szCs w:val="22"/>
              </w:rPr>
            </w:pPr>
          </w:p>
        </w:tc>
      </w:tr>
      <w:bookmarkEnd w:id="2"/>
      <w:bookmarkEnd w:id="3"/>
      <w:tr w:rsidR="005651C9" w:rsidRPr="00AA069D" w14:paraId="0A6FA1F2" w14:textId="77777777" w:rsidTr="001A1357">
        <w:trPr>
          <w:cantSplit/>
        </w:trPr>
        <w:tc>
          <w:tcPr>
            <w:tcW w:w="6663" w:type="dxa"/>
          </w:tcPr>
          <w:p w14:paraId="252ACD58" w14:textId="77777777" w:rsidR="005651C9" w:rsidRPr="00AA069D" w:rsidRDefault="005A295E" w:rsidP="00C266F4">
            <w:pPr>
              <w:spacing w:before="0"/>
              <w:rPr>
                <w:rFonts w:ascii="Verdana" w:hAnsi="Verdana"/>
                <w:b/>
                <w:smallCaps/>
                <w:sz w:val="18"/>
                <w:szCs w:val="22"/>
              </w:rPr>
            </w:pPr>
            <w:r w:rsidRPr="00AA069D">
              <w:rPr>
                <w:rFonts w:ascii="Verdana" w:hAnsi="Verdana"/>
                <w:b/>
                <w:smallCaps/>
                <w:sz w:val="18"/>
                <w:szCs w:val="22"/>
              </w:rPr>
              <w:t>ПЛЕНАРНОЕ ЗАСЕДАНИЕ</w:t>
            </w:r>
          </w:p>
        </w:tc>
        <w:tc>
          <w:tcPr>
            <w:tcW w:w="3368" w:type="dxa"/>
          </w:tcPr>
          <w:p w14:paraId="761478EA" w14:textId="04E3FA7A" w:rsidR="005651C9" w:rsidRPr="00AA069D" w:rsidRDefault="00B70D68" w:rsidP="001A1357">
            <w:pPr>
              <w:tabs>
                <w:tab w:val="left" w:pos="851"/>
              </w:tabs>
              <w:spacing w:before="0"/>
              <w:ind w:left="-74" w:right="-146"/>
              <w:rPr>
                <w:rFonts w:ascii="Verdana" w:hAnsi="Verdana"/>
                <w:b/>
                <w:sz w:val="18"/>
                <w:szCs w:val="18"/>
              </w:rPr>
            </w:pPr>
            <w:r w:rsidRPr="00AA069D">
              <w:rPr>
                <w:rFonts w:ascii="Verdana" w:hAnsi="Verdana"/>
                <w:b/>
                <w:bCs/>
                <w:sz w:val="18"/>
                <w:szCs w:val="18"/>
              </w:rPr>
              <w:t>Пересмотр 1</w:t>
            </w:r>
            <w:r w:rsidRPr="00AA069D">
              <w:rPr>
                <w:rFonts w:ascii="Verdana" w:hAnsi="Verdana"/>
                <w:b/>
                <w:bCs/>
                <w:sz w:val="18"/>
                <w:szCs w:val="18"/>
              </w:rPr>
              <w:br/>
            </w:r>
            <w:r w:rsidR="005A295E" w:rsidRPr="00AA069D">
              <w:rPr>
                <w:rFonts w:ascii="Verdana" w:hAnsi="Verdana"/>
                <w:b/>
                <w:bCs/>
                <w:sz w:val="18"/>
                <w:szCs w:val="18"/>
              </w:rPr>
              <w:t>Дополнительн</w:t>
            </w:r>
            <w:r w:rsidRPr="00AA069D">
              <w:rPr>
                <w:rFonts w:ascii="Verdana" w:hAnsi="Verdana"/>
                <w:b/>
                <w:bCs/>
                <w:sz w:val="18"/>
                <w:szCs w:val="18"/>
              </w:rPr>
              <w:t>ого</w:t>
            </w:r>
            <w:r w:rsidR="005A295E" w:rsidRPr="00AA069D">
              <w:rPr>
                <w:rFonts w:ascii="Verdana" w:hAnsi="Verdana"/>
                <w:b/>
                <w:bCs/>
                <w:sz w:val="18"/>
                <w:szCs w:val="18"/>
              </w:rPr>
              <w:t xml:space="preserve"> документ</w:t>
            </w:r>
            <w:r w:rsidRPr="00AA069D">
              <w:rPr>
                <w:rFonts w:ascii="Verdana" w:hAnsi="Verdana"/>
                <w:b/>
                <w:bCs/>
                <w:sz w:val="18"/>
                <w:szCs w:val="18"/>
              </w:rPr>
              <w:t>а</w:t>
            </w:r>
            <w:r w:rsidR="005A295E" w:rsidRPr="00AA069D">
              <w:rPr>
                <w:rFonts w:ascii="Verdana" w:hAnsi="Verdana"/>
                <w:b/>
                <w:bCs/>
                <w:sz w:val="18"/>
                <w:szCs w:val="18"/>
              </w:rPr>
              <w:t xml:space="preserve"> 14</w:t>
            </w:r>
            <w:r w:rsidR="005A295E" w:rsidRPr="00AA069D">
              <w:rPr>
                <w:rFonts w:ascii="Verdana" w:hAnsi="Verdana"/>
                <w:b/>
                <w:bCs/>
                <w:sz w:val="18"/>
                <w:szCs w:val="18"/>
              </w:rPr>
              <w:br/>
              <w:t>к Документу 11(Add.24)</w:t>
            </w:r>
            <w:r w:rsidR="005651C9" w:rsidRPr="00AA069D">
              <w:rPr>
                <w:rFonts w:ascii="Verdana" w:hAnsi="Verdana"/>
                <w:b/>
                <w:bCs/>
                <w:sz w:val="18"/>
                <w:szCs w:val="18"/>
              </w:rPr>
              <w:t>-</w:t>
            </w:r>
            <w:r w:rsidR="005A295E" w:rsidRPr="00AA069D">
              <w:rPr>
                <w:rFonts w:ascii="Verdana" w:hAnsi="Verdana"/>
                <w:b/>
                <w:bCs/>
                <w:sz w:val="18"/>
                <w:szCs w:val="18"/>
              </w:rPr>
              <w:t>R</w:t>
            </w:r>
          </w:p>
        </w:tc>
      </w:tr>
      <w:tr w:rsidR="000F33D8" w:rsidRPr="00AA069D" w14:paraId="62B229EA" w14:textId="77777777" w:rsidTr="001A1357">
        <w:trPr>
          <w:cantSplit/>
        </w:trPr>
        <w:tc>
          <w:tcPr>
            <w:tcW w:w="6663" w:type="dxa"/>
          </w:tcPr>
          <w:p w14:paraId="77A47AFB" w14:textId="77777777" w:rsidR="000F33D8" w:rsidRPr="00AA069D" w:rsidRDefault="000F33D8" w:rsidP="00C266F4">
            <w:pPr>
              <w:spacing w:before="0"/>
              <w:rPr>
                <w:rFonts w:ascii="Verdana" w:hAnsi="Verdana"/>
                <w:b/>
                <w:smallCaps/>
                <w:sz w:val="18"/>
                <w:szCs w:val="22"/>
              </w:rPr>
            </w:pPr>
          </w:p>
        </w:tc>
        <w:tc>
          <w:tcPr>
            <w:tcW w:w="3368" w:type="dxa"/>
          </w:tcPr>
          <w:p w14:paraId="7C0EE69E" w14:textId="62399A69" w:rsidR="000F33D8" w:rsidRPr="00AA069D" w:rsidRDefault="000F33D8" w:rsidP="001A1357">
            <w:pPr>
              <w:spacing w:before="0"/>
              <w:ind w:left="-74" w:right="-146"/>
              <w:rPr>
                <w:rFonts w:ascii="Verdana" w:hAnsi="Verdana"/>
                <w:sz w:val="18"/>
                <w:szCs w:val="22"/>
              </w:rPr>
            </w:pPr>
            <w:r w:rsidRPr="00AA069D">
              <w:rPr>
                <w:rFonts w:ascii="Verdana" w:hAnsi="Verdana"/>
                <w:b/>
                <w:bCs/>
                <w:sz w:val="18"/>
                <w:szCs w:val="18"/>
              </w:rPr>
              <w:t xml:space="preserve">7 </w:t>
            </w:r>
            <w:r w:rsidR="00B70D68" w:rsidRPr="00AA069D">
              <w:rPr>
                <w:rFonts w:ascii="Verdana" w:hAnsi="Verdana"/>
                <w:b/>
                <w:bCs/>
                <w:sz w:val="18"/>
                <w:szCs w:val="18"/>
              </w:rPr>
              <w:t>ноября</w:t>
            </w:r>
            <w:r w:rsidRPr="00AA069D">
              <w:rPr>
                <w:rFonts w:ascii="Verdana" w:hAnsi="Verdana"/>
                <w:b/>
                <w:bCs/>
                <w:sz w:val="18"/>
                <w:szCs w:val="18"/>
              </w:rPr>
              <w:t xml:space="preserve"> 2019 года</w:t>
            </w:r>
          </w:p>
        </w:tc>
      </w:tr>
      <w:tr w:rsidR="000F33D8" w:rsidRPr="00AA069D" w14:paraId="3E132FA5" w14:textId="77777777" w:rsidTr="001A1357">
        <w:trPr>
          <w:cantSplit/>
        </w:trPr>
        <w:tc>
          <w:tcPr>
            <w:tcW w:w="6663" w:type="dxa"/>
          </w:tcPr>
          <w:p w14:paraId="67FEF336" w14:textId="77777777" w:rsidR="000F33D8" w:rsidRPr="00AA069D" w:rsidRDefault="000F33D8" w:rsidP="00C266F4">
            <w:pPr>
              <w:spacing w:before="0"/>
              <w:rPr>
                <w:rFonts w:ascii="Verdana" w:hAnsi="Verdana"/>
                <w:b/>
                <w:smallCaps/>
                <w:sz w:val="18"/>
                <w:szCs w:val="22"/>
              </w:rPr>
            </w:pPr>
          </w:p>
        </w:tc>
        <w:tc>
          <w:tcPr>
            <w:tcW w:w="3368" w:type="dxa"/>
          </w:tcPr>
          <w:p w14:paraId="3AC54C76" w14:textId="7F3897F1" w:rsidR="000F33D8" w:rsidRPr="00AA069D" w:rsidRDefault="000F33D8" w:rsidP="001A1357">
            <w:pPr>
              <w:spacing w:before="0"/>
              <w:ind w:left="-74" w:right="-146"/>
              <w:rPr>
                <w:rFonts w:ascii="Verdana" w:hAnsi="Verdana"/>
                <w:sz w:val="18"/>
                <w:szCs w:val="22"/>
              </w:rPr>
            </w:pPr>
            <w:r w:rsidRPr="00AA069D">
              <w:rPr>
                <w:rFonts w:ascii="Verdana" w:hAnsi="Verdana"/>
                <w:b/>
                <w:bCs/>
                <w:sz w:val="18"/>
                <w:szCs w:val="22"/>
              </w:rPr>
              <w:t>Оригинал:</w:t>
            </w:r>
            <w:r w:rsidR="001A1357" w:rsidRPr="00AA069D">
              <w:rPr>
                <w:rFonts w:ascii="Verdana" w:hAnsi="Verdana"/>
                <w:b/>
                <w:bCs/>
                <w:sz w:val="18"/>
                <w:szCs w:val="22"/>
              </w:rPr>
              <w:tab/>
            </w:r>
            <w:r w:rsidRPr="00AA069D">
              <w:rPr>
                <w:rFonts w:ascii="Verdana" w:hAnsi="Verdana"/>
                <w:b/>
                <w:bCs/>
                <w:sz w:val="18"/>
                <w:szCs w:val="22"/>
              </w:rPr>
              <w:t>английский</w:t>
            </w:r>
            <w:r w:rsidR="001A1357" w:rsidRPr="00AA069D">
              <w:rPr>
                <w:rFonts w:ascii="Verdana" w:hAnsi="Verdana"/>
                <w:b/>
                <w:bCs/>
                <w:sz w:val="18"/>
                <w:szCs w:val="22"/>
              </w:rPr>
              <w:t>/</w:t>
            </w:r>
            <w:r w:rsidR="001A1357" w:rsidRPr="00AA069D">
              <w:rPr>
                <w:rFonts w:ascii="Verdana" w:hAnsi="Verdana"/>
                <w:b/>
                <w:bCs/>
                <w:sz w:val="18"/>
                <w:szCs w:val="22"/>
              </w:rPr>
              <w:br/>
            </w:r>
            <w:r w:rsidR="001A1357" w:rsidRPr="00AA069D">
              <w:rPr>
                <w:rFonts w:ascii="Verdana" w:hAnsi="Verdana"/>
                <w:b/>
                <w:bCs/>
                <w:sz w:val="18"/>
                <w:szCs w:val="22"/>
              </w:rPr>
              <w:tab/>
              <w:t>испанский</w:t>
            </w:r>
          </w:p>
        </w:tc>
      </w:tr>
      <w:tr w:rsidR="000F33D8" w:rsidRPr="00AA069D" w14:paraId="05296407" w14:textId="77777777" w:rsidTr="00234FD2">
        <w:trPr>
          <w:cantSplit/>
        </w:trPr>
        <w:tc>
          <w:tcPr>
            <w:tcW w:w="10031" w:type="dxa"/>
            <w:gridSpan w:val="2"/>
          </w:tcPr>
          <w:p w14:paraId="0117B28C" w14:textId="77777777" w:rsidR="000F33D8" w:rsidRPr="00AA069D" w:rsidRDefault="000F33D8" w:rsidP="004B716F">
            <w:pPr>
              <w:spacing w:before="0"/>
              <w:rPr>
                <w:rFonts w:ascii="Verdana" w:hAnsi="Verdana"/>
                <w:b/>
                <w:bCs/>
                <w:sz w:val="18"/>
                <w:szCs w:val="22"/>
              </w:rPr>
            </w:pPr>
          </w:p>
        </w:tc>
      </w:tr>
      <w:tr w:rsidR="000F33D8" w:rsidRPr="00AA069D" w14:paraId="3294F8D7" w14:textId="77777777">
        <w:trPr>
          <w:cantSplit/>
        </w:trPr>
        <w:tc>
          <w:tcPr>
            <w:tcW w:w="10031" w:type="dxa"/>
            <w:gridSpan w:val="2"/>
          </w:tcPr>
          <w:p w14:paraId="1FEF18BE" w14:textId="77777777" w:rsidR="000F33D8" w:rsidRPr="00AA069D" w:rsidRDefault="000F33D8" w:rsidP="000F33D8">
            <w:pPr>
              <w:pStyle w:val="Source"/>
              <w:rPr>
                <w:szCs w:val="26"/>
              </w:rPr>
            </w:pPr>
            <w:bookmarkStart w:id="4" w:name="dsource" w:colFirst="0" w:colLast="0"/>
            <w:r w:rsidRPr="00AA069D">
              <w:rPr>
                <w:szCs w:val="26"/>
              </w:rPr>
              <w:t>Государства – члены Межамериканской комиссии по электросвязи (СИТЕЛ)</w:t>
            </w:r>
          </w:p>
        </w:tc>
      </w:tr>
      <w:tr w:rsidR="000F33D8" w:rsidRPr="00AA069D" w14:paraId="61B6D218" w14:textId="77777777">
        <w:trPr>
          <w:cantSplit/>
        </w:trPr>
        <w:tc>
          <w:tcPr>
            <w:tcW w:w="10031" w:type="dxa"/>
            <w:gridSpan w:val="2"/>
          </w:tcPr>
          <w:p w14:paraId="181B130F" w14:textId="77777777" w:rsidR="000F33D8" w:rsidRPr="00AA069D" w:rsidRDefault="000F33D8" w:rsidP="000F33D8">
            <w:pPr>
              <w:pStyle w:val="Title1"/>
              <w:rPr>
                <w:szCs w:val="26"/>
              </w:rPr>
            </w:pPr>
            <w:bookmarkStart w:id="5" w:name="dtitle1" w:colFirst="0" w:colLast="0"/>
            <w:bookmarkEnd w:id="4"/>
            <w:r w:rsidRPr="00AA069D">
              <w:rPr>
                <w:szCs w:val="26"/>
              </w:rPr>
              <w:t>ПРЕДЛОЖЕНИЯ ДЛЯ РАБОТЫ КОНФЕРЕНЦИИ</w:t>
            </w:r>
          </w:p>
        </w:tc>
      </w:tr>
      <w:tr w:rsidR="000F33D8" w:rsidRPr="00AA069D" w14:paraId="425E6758" w14:textId="77777777">
        <w:trPr>
          <w:cantSplit/>
        </w:trPr>
        <w:tc>
          <w:tcPr>
            <w:tcW w:w="10031" w:type="dxa"/>
            <w:gridSpan w:val="2"/>
          </w:tcPr>
          <w:p w14:paraId="3DA6C849" w14:textId="77777777" w:rsidR="000F33D8" w:rsidRPr="00AA069D" w:rsidRDefault="000F33D8" w:rsidP="001A7DD0">
            <w:pPr>
              <w:pStyle w:val="Title2"/>
              <w:spacing w:before="240"/>
              <w:rPr>
                <w:szCs w:val="26"/>
              </w:rPr>
            </w:pPr>
            <w:bookmarkStart w:id="6" w:name="dtitle2" w:colFirst="0" w:colLast="0"/>
            <w:bookmarkEnd w:id="5"/>
          </w:p>
        </w:tc>
      </w:tr>
      <w:tr w:rsidR="000F33D8" w:rsidRPr="00AA069D" w14:paraId="789F752D" w14:textId="77777777">
        <w:trPr>
          <w:cantSplit/>
        </w:trPr>
        <w:tc>
          <w:tcPr>
            <w:tcW w:w="10031" w:type="dxa"/>
            <w:gridSpan w:val="2"/>
          </w:tcPr>
          <w:p w14:paraId="3AAF781B" w14:textId="77777777" w:rsidR="000F33D8" w:rsidRPr="00AA069D" w:rsidRDefault="000F33D8" w:rsidP="000F33D8">
            <w:pPr>
              <w:pStyle w:val="Agendaitem"/>
              <w:rPr>
                <w:lang w:val="ru-RU"/>
              </w:rPr>
            </w:pPr>
            <w:bookmarkStart w:id="7" w:name="dtitle3" w:colFirst="0" w:colLast="0"/>
            <w:bookmarkEnd w:id="6"/>
            <w:r w:rsidRPr="00AA069D">
              <w:rPr>
                <w:lang w:val="ru-RU"/>
              </w:rPr>
              <w:t>Пункт 10 повестки дня</w:t>
            </w:r>
          </w:p>
        </w:tc>
      </w:tr>
    </w:tbl>
    <w:bookmarkEnd w:id="7"/>
    <w:p w14:paraId="5F1F066A" w14:textId="77777777" w:rsidR="00234FD2" w:rsidRPr="00AA069D" w:rsidRDefault="00372A0E" w:rsidP="001A1357">
      <w:pPr>
        <w:pStyle w:val="Normalaftertitle"/>
      </w:pPr>
      <w:r w:rsidRPr="00AA069D">
        <w:t>10</w:t>
      </w:r>
      <w:r w:rsidRPr="00AA069D">
        <w:rPr>
          <w:b/>
          <w:color w:val="000000"/>
          <w14:scene3d>
            <w14:camera w14:prst="orthographicFront"/>
            <w14:lightRig w14:rig="threePt" w14:dir="t">
              <w14:rot w14:lat="0" w14:lon="0" w14:rev="0"/>
            </w14:lightRig>
          </w14:scene3d>
        </w:rPr>
        <w:tab/>
      </w:r>
      <w:r w:rsidRPr="00AA069D">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14:paraId="0B2970DD" w14:textId="622BBCAC" w:rsidR="001A1357" w:rsidRPr="00AA069D" w:rsidRDefault="001A1357" w:rsidP="001A1357">
      <w:pPr>
        <w:pStyle w:val="Headingb"/>
        <w:rPr>
          <w:lang w:val="ru-RU"/>
        </w:rPr>
      </w:pPr>
      <w:r w:rsidRPr="00AA069D">
        <w:rPr>
          <w:lang w:val="ru-RU"/>
        </w:rPr>
        <w:t>Базовая информация</w:t>
      </w:r>
    </w:p>
    <w:p w14:paraId="13097014" w14:textId="039E2AD0" w:rsidR="002C3FA1" w:rsidRPr="00AA069D" w:rsidRDefault="002C3FA1" w:rsidP="002C3FA1">
      <w:r w:rsidRPr="00AA069D">
        <w:t>ВКР-19 предпримет попытку определить спектр в миллиметровом диапазоне для IMT, для того чтобы обеспечить развертывание сетей 5G с высокими показателями работы и высокой пропускной способностью. Для обеспечения доступнос</w:t>
      </w:r>
      <w:bookmarkStart w:id="8" w:name="_GoBack"/>
      <w:bookmarkEnd w:id="8"/>
      <w:r w:rsidRPr="00AA069D">
        <w:t>ти сетей 5G во всех районах, следует также провести исследования для более низких частот в диапазоне между предельными значениями, установленными ВКР-15 (верхний предел − 3,7 ГГц) и ВКР-19 (нижний предел − 24 ГГц). В настоящем документе намечены полосы, которые поддерживаются отраслью или странами/регионами.</w:t>
      </w:r>
    </w:p>
    <w:p w14:paraId="6C1D758C" w14:textId="4D428DB8" w:rsidR="002C3FA1" w:rsidRPr="00AA069D" w:rsidRDefault="002C3FA1" w:rsidP="002C3FA1">
      <w:r w:rsidRPr="00AA069D">
        <w:t>Первые результаты коммерческого внедрения сетей 5G выявили проблемы, которые придется решать специалистам по управлению использованием спектра. Согласно SK Telecom, объем использовани</w:t>
      </w:r>
      <w:r w:rsidR="001A7DD0" w:rsidRPr="00AA069D">
        <w:t>я</w:t>
      </w:r>
      <w:r w:rsidRPr="00AA069D">
        <w:t xml:space="preserve"> данных 5G увеличился втрое по сравнению с 4G. LG Uplus, на начальном этапе внедрения 5G, констатировала, что каждый абонент использовал 1,3 гигабайта данных в день. При том что достаточный доступ к миллиметровым диапазонам позволяет решить проблему нехватки пропускной способности, потребуются более подходящие характеристики распространения и покрыти</w:t>
      </w:r>
      <w:r w:rsidR="001A7DD0" w:rsidRPr="00AA069D">
        <w:t>я</w:t>
      </w:r>
      <w:r w:rsidRPr="00AA069D">
        <w:t xml:space="preserve"> внутри помещений в тесной </w:t>
      </w:r>
      <w:r w:rsidR="001A7DD0" w:rsidRPr="00AA069D">
        <w:t>увязке</w:t>
      </w:r>
      <w:r w:rsidRPr="00AA069D">
        <w:t xml:space="preserve"> с пропускной способностью на миллиметровых волнах. </w:t>
      </w:r>
    </w:p>
    <w:p w14:paraId="4133643C" w14:textId="77777777" w:rsidR="002C3FA1" w:rsidRPr="00AA069D" w:rsidRDefault="002C3FA1" w:rsidP="002C3FA1">
      <w:r w:rsidRPr="00AA069D">
        <w:t>В диапазоне 3 ГГц, чтобы воспользоваться всеми преимуществами технологии 5G, каждому оператору для развертывания сетей требуется 100 МГц непрерывного спектра. Аналогичный объем спектра с аналогичными характеристики распространения, вероятно потребуется в будущем, чтобы улучшить пропускную способность высокопроизводительных сетей 5G. В некоторых странах спектр в этом же диапазоне резервируется для других целей, например для вертикальных секторов, что дополнительно ограничивает объем спектра, доступного для сетей 5G. Благодаря технологии 5G NR появится возможность установления новых массовых соединений между вещами, объединенных в рамках одной технологии, что потребует среднеполосного спектра.</w:t>
      </w:r>
    </w:p>
    <w:p w14:paraId="7FF45B11" w14:textId="77777777" w:rsidR="002C3FA1" w:rsidRPr="00AA069D" w:rsidRDefault="002C3FA1" w:rsidP="002C3FA1">
      <w:r w:rsidRPr="00AA069D">
        <w:t>При том что СИТЕЛ определила диапазон частот в прилагаемом предложении, она полагает, что для исследований должен быть выбран только один сегмент диапазона. Корме того, некоторые из потенциальных полос частот в диапазоне 3300 МГц − 15,35 ГГц могут оказаться неприемлемыми для возможного исследования и определения.</w:t>
      </w:r>
    </w:p>
    <w:p w14:paraId="0646A49F" w14:textId="02F775FD" w:rsidR="00697716" w:rsidRPr="00AA069D" w:rsidRDefault="00372A0E" w:rsidP="002C3FA1">
      <w:pPr>
        <w:pStyle w:val="Proposal"/>
      </w:pPr>
      <w:r w:rsidRPr="00AA069D">
        <w:lastRenderedPageBreak/>
        <w:t>ADD</w:t>
      </w:r>
      <w:r w:rsidRPr="00AA069D">
        <w:tab/>
        <w:t>IAP/11A24A14/1</w:t>
      </w:r>
    </w:p>
    <w:p w14:paraId="5F262AD2" w14:textId="4FE1B109" w:rsidR="00697716" w:rsidRPr="00AA069D" w:rsidRDefault="00372A0E">
      <w:pPr>
        <w:pStyle w:val="ResNo"/>
      </w:pPr>
      <w:r w:rsidRPr="00AA069D">
        <w:t>Проект новой Резолюции [</w:t>
      </w:r>
      <w:r w:rsidR="001A1357" w:rsidRPr="00AA069D">
        <w:t>IAP/10(N)-2023</w:t>
      </w:r>
      <w:r w:rsidRPr="00AA069D">
        <w:t>]</w:t>
      </w:r>
      <w:r w:rsidR="001A1357" w:rsidRPr="00AA069D">
        <w:t xml:space="preserve"> (ВКР-19)</w:t>
      </w:r>
    </w:p>
    <w:p w14:paraId="5645A9EE" w14:textId="1EA4371C" w:rsidR="00697716" w:rsidRPr="00AA069D" w:rsidRDefault="001A1357">
      <w:pPr>
        <w:pStyle w:val="Restitle"/>
      </w:pPr>
      <w:r w:rsidRPr="00AA069D">
        <w:rPr>
          <w:rFonts w:ascii="Times New Roman"/>
        </w:rPr>
        <w:t>Повестка</w:t>
      </w:r>
      <w:r w:rsidRPr="00AA069D">
        <w:rPr>
          <w:rFonts w:ascii="Times New Roman"/>
        </w:rPr>
        <w:t xml:space="preserve"> </w:t>
      </w:r>
      <w:r w:rsidRPr="00AA069D">
        <w:rPr>
          <w:rFonts w:ascii="Times New Roman"/>
        </w:rPr>
        <w:t>дня</w:t>
      </w:r>
      <w:r w:rsidRPr="00AA069D">
        <w:rPr>
          <w:rFonts w:ascii="Times New Roman"/>
        </w:rPr>
        <w:t xml:space="preserve"> </w:t>
      </w:r>
      <w:r w:rsidRPr="00AA069D">
        <w:rPr>
          <w:rFonts w:ascii="Times New Roman"/>
        </w:rPr>
        <w:t>Всемирной</w:t>
      </w:r>
      <w:r w:rsidRPr="00AA069D">
        <w:rPr>
          <w:rFonts w:ascii="Times New Roman"/>
        </w:rPr>
        <w:t xml:space="preserve"> </w:t>
      </w:r>
      <w:r w:rsidRPr="00AA069D">
        <w:rPr>
          <w:rFonts w:ascii="Times New Roman"/>
        </w:rPr>
        <w:t>конференции</w:t>
      </w:r>
      <w:r w:rsidRPr="00AA069D">
        <w:rPr>
          <w:rFonts w:ascii="Times New Roman"/>
        </w:rPr>
        <w:t xml:space="preserve"> </w:t>
      </w:r>
      <w:r w:rsidRPr="00AA069D">
        <w:rPr>
          <w:rFonts w:ascii="Times New Roman"/>
        </w:rPr>
        <w:t>радиосвязи</w:t>
      </w:r>
      <w:r w:rsidRPr="00AA069D">
        <w:rPr>
          <w:rFonts w:ascii="Times New Roman"/>
        </w:rPr>
        <w:t xml:space="preserve"> 2023 </w:t>
      </w:r>
      <w:r w:rsidRPr="00AA069D">
        <w:rPr>
          <w:rFonts w:ascii="Times New Roman"/>
        </w:rPr>
        <w:t>года</w:t>
      </w:r>
    </w:p>
    <w:p w14:paraId="27D35FF2" w14:textId="77777777" w:rsidR="00D13F84" w:rsidRPr="00AA069D" w:rsidRDefault="00D13F84" w:rsidP="00D13F84">
      <w:pPr>
        <w:pStyle w:val="Normalaftertitle"/>
      </w:pPr>
      <w:r w:rsidRPr="00AA069D">
        <w:t>Всемирная конференция радиосвязи (Шарм-эль-Шейх, 2019 г.),</w:t>
      </w:r>
    </w:p>
    <w:p w14:paraId="0A0A42F0" w14:textId="77777777" w:rsidR="001A1357" w:rsidRPr="00AA069D" w:rsidRDefault="001A1357" w:rsidP="001A1357">
      <w:r w:rsidRPr="00AA069D">
        <w:t>…</w:t>
      </w:r>
    </w:p>
    <w:p w14:paraId="46B696E0" w14:textId="1331580F" w:rsidR="001A1357" w:rsidRPr="00AA069D" w:rsidRDefault="001A1357" w:rsidP="00E74F13">
      <w:pPr>
        <w:rPr>
          <w:lang w:eastAsia="ko-KR"/>
        </w:rPr>
      </w:pPr>
      <w:r w:rsidRPr="00AA069D">
        <w:rPr>
          <w:b/>
          <w:bCs/>
          <w:lang w:eastAsia="ko-KR"/>
        </w:rPr>
        <w:t>1.IMT</w:t>
      </w:r>
      <w:r w:rsidRPr="00AA069D">
        <w:rPr>
          <w:lang w:eastAsia="ko-KR"/>
        </w:rPr>
        <w:tab/>
      </w:r>
      <w:r w:rsidRPr="00AA069D">
        <w:rPr>
          <w:lang w:eastAsia="ko-KR"/>
        </w:rPr>
        <w:tab/>
      </w:r>
      <w:r w:rsidR="008D094E" w:rsidRPr="00AA069D">
        <w:rPr>
          <w:lang w:eastAsia="ko-KR"/>
        </w:rPr>
        <w:t xml:space="preserve">рассмотреть </w:t>
      </w:r>
      <w:r w:rsidR="00736C06" w:rsidRPr="00AA069D">
        <w:rPr>
          <w:lang w:eastAsia="ko-KR"/>
        </w:rPr>
        <w:t>определение конкретных полос частот в диапазоне</w:t>
      </w:r>
      <w:r w:rsidRPr="00AA069D">
        <w:rPr>
          <w:lang w:eastAsia="ko-KR"/>
        </w:rPr>
        <w:t xml:space="preserve"> [3300 </w:t>
      </w:r>
      <w:r w:rsidR="00E74F13" w:rsidRPr="00AA069D">
        <w:rPr>
          <w:lang w:eastAsia="ko-KR"/>
        </w:rPr>
        <w:t xml:space="preserve">МГц − </w:t>
      </w:r>
      <w:r w:rsidRPr="00AA069D">
        <w:rPr>
          <w:lang w:eastAsia="ko-KR"/>
        </w:rPr>
        <w:t>15</w:t>
      </w:r>
      <w:r w:rsidR="00E74F13" w:rsidRPr="00AA069D">
        <w:rPr>
          <w:lang w:eastAsia="ko-KR"/>
        </w:rPr>
        <w:t>,</w:t>
      </w:r>
      <w:r w:rsidRPr="00AA069D">
        <w:rPr>
          <w:lang w:eastAsia="ko-KR"/>
        </w:rPr>
        <w:t>35</w:t>
      </w:r>
      <w:r w:rsidR="00E74F13" w:rsidRPr="00AA069D">
        <w:rPr>
          <w:lang w:eastAsia="ko-KR"/>
        </w:rPr>
        <w:t> ГГц</w:t>
      </w:r>
      <w:r w:rsidRPr="00AA069D">
        <w:rPr>
          <w:lang w:eastAsia="ko-KR"/>
        </w:rPr>
        <w:t xml:space="preserve">] для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w:t>
      </w:r>
      <w:r w:rsidRPr="00AA069D">
        <w:rPr>
          <w:b/>
          <w:bCs/>
          <w:lang w:eastAsia="ko-KR"/>
        </w:rPr>
        <w:t>[</w:t>
      </w:r>
      <w:r w:rsidRPr="00AA069D">
        <w:rPr>
          <w:b/>
          <w:lang w:eastAsia="ko-KR"/>
        </w:rPr>
        <w:t>IAP/10(N)-IMT-WRC-23]</w:t>
      </w:r>
      <w:r w:rsidRPr="00AA069D">
        <w:rPr>
          <w:lang w:eastAsia="ko-KR"/>
        </w:rPr>
        <w:t xml:space="preserve"> </w:t>
      </w:r>
      <w:r w:rsidRPr="00AA069D">
        <w:rPr>
          <w:b/>
          <w:lang w:eastAsia="ko-KR"/>
        </w:rPr>
        <w:t>(</w:t>
      </w:r>
      <w:r w:rsidR="00575F53" w:rsidRPr="00AA069D">
        <w:rPr>
          <w:b/>
          <w:lang w:eastAsia="ko-KR"/>
        </w:rPr>
        <w:t>ВКР</w:t>
      </w:r>
      <w:r w:rsidRPr="00AA069D">
        <w:rPr>
          <w:b/>
          <w:lang w:eastAsia="ko-KR"/>
        </w:rPr>
        <w:t>-19)</w:t>
      </w:r>
      <w:r w:rsidRPr="00AA069D">
        <w:rPr>
          <w:lang w:eastAsia="ko-KR"/>
        </w:rPr>
        <w:t>.</w:t>
      </w:r>
    </w:p>
    <w:p w14:paraId="747B95F7" w14:textId="3901FA1A" w:rsidR="00697716" w:rsidRPr="00AA069D" w:rsidRDefault="00372A0E">
      <w:pPr>
        <w:pStyle w:val="Reasons"/>
      </w:pPr>
      <w:r w:rsidRPr="00AA069D">
        <w:rPr>
          <w:b/>
        </w:rPr>
        <w:t>Основания</w:t>
      </w:r>
      <w:r w:rsidRPr="00AA069D">
        <w:rPr>
          <w:bCs/>
        </w:rPr>
        <w:t>:</w:t>
      </w:r>
      <w:r w:rsidRPr="00AA069D">
        <w:tab/>
      </w:r>
      <w:r w:rsidR="00736C06" w:rsidRPr="00AA069D">
        <w:t>Удовлетворить дополнительную потребность в спектре для</w:t>
      </w:r>
      <w:r w:rsidR="00E74F13" w:rsidRPr="00AA069D">
        <w:t xml:space="preserve"> IMT </w:t>
      </w:r>
      <w:r w:rsidR="00736C06" w:rsidRPr="00AA069D">
        <w:t>в упомянутом диапазоне</w:t>
      </w:r>
      <w:r w:rsidR="00E74F13" w:rsidRPr="00AA069D">
        <w:t>.</w:t>
      </w:r>
    </w:p>
    <w:p w14:paraId="44351340" w14:textId="77777777" w:rsidR="00697716" w:rsidRPr="00AA069D" w:rsidRDefault="00372A0E">
      <w:pPr>
        <w:pStyle w:val="Proposal"/>
      </w:pPr>
      <w:r w:rsidRPr="00AA069D">
        <w:t>ADD</w:t>
      </w:r>
      <w:r w:rsidRPr="00AA069D">
        <w:tab/>
        <w:t>IAP/11A24A14/2</w:t>
      </w:r>
    </w:p>
    <w:p w14:paraId="43305518" w14:textId="07008431" w:rsidR="00697716" w:rsidRPr="00AA069D" w:rsidRDefault="00372A0E">
      <w:pPr>
        <w:pStyle w:val="ResNo"/>
      </w:pPr>
      <w:r w:rsidRPr="00AA069D">
        <w:t>Проект новой Резолюции [</w:t>
      </w:r>
      <w:r w:rsidR="00E74F13" w:rsidRPr="00AA069D">
        <w:t>IAP/10(N)/IMT-WRC-23</w:t>
      </w:r>
      <w:r w:rsidRPr="00AA069D">
        <w:t>]</w:t>
      </w:r>
      <w:r w:rsidR="00E74F13" w:rsidRPr="00AA069D">
        <w:t xml:space="preserve"> (ВКР-19)</w:t>
      </w:r>
    </w:p>
    <w:p w14:paraId="303D4134" w14:textId="747FC2EA" w:rsidR="00697716" w:rsidRPr="00AA069D" w:rsidRDefault="007D3BFE">
      <w:pPr>
        <w:pStyle w:val="Restitle"/>
      </w:pPr>
      <w:bookmarkStart w:id="9" w:name="_Toc450048693"/>
      <w:r w:rsidRPr="00AA069D">
        <w:t>Дополнительные полосы частот</w:t>
      </w:r>
      <w:r w:rsidR="00E74F13" w:rsidRPr="00AA069D">
        <w:t xml:space="preserve"> </w:t>
      </w:r>
      <w:r w:rsidRPr="00AA069D">
        <w:t>для наземного сегмента</w:t>
      </w:r>
      <w:r w:rsidR="00E74F13" w:rsidRPr="00AA069D">
        <w:t xml:space="preserve"> IMT </w:t>
      </w:r>
      <w:r w:rsidR="00E74F13" w:rsidRPr="00AA069D">
        <w:br/>
      </w:r>
      <w:r w:rsidRPr="00AA069D">
        <w:t>между</w:t>
      </w:r>
      <w:r w:rsidR="00E74F13" w:rsidRPr="00AA069D">
        <w:t xml:space="preserve"> 3300 МГц и 15,35 ГГц</w:t>
      </w:r>
      <w:bookmarkEnd w:id="9"/>
    </w:p>
    <w:p w14:paraId="74889178" w14:textId="782BC7CC" w:rsidR="001A1357" w:rsidRPr="00AA069D" w:rsidRDefault="001A1357" w:rsidP="001A1357">
      <w:pPr>
        <w:pStyle w:val="Normalaftertitle"/>
      </w:pPr>
      <w:r w:rsidRPr="00AA069D">
        <w:t>Всемирная конференция радиосвязи (</w:t>
      </w:r>
      <w:r w:rsidR="00E74F13" w:rsidRPr="00AA069D">
        <w:t>Шарм-эль-Шейх</w:t>
      </w:r>
      <w:r w:rsidRPr="00AA069D">
        <w:t>, 201</w:t>
      </w:r>
      <w:r w:rsidR="00E74F13" w:rsidRPr="00AA069D">
        <w:t>9</w:t>
      </w:r>
      <w:r w:rsidRPr="00AA069D">
        <w:t> г.),</w:t>
      </w:r>
    </w:p>
    <w:p w14:paraId="36418C2D" w14:textId="77777777" w:rsidR="001A1357" w:rsidRPr="00AA069D" w:rsidRDefault="001A1357" w:rsidP="00E74F13">
      <w:pPr>
        <w:pStyle w:val="Call"/>
      </w:pPr>
      <w:r w:rsidRPr="00AA069D">
        <w:t>учитывая</w:t>
      </w:r>
      <w:r w:rsidRPr="00401E23">
        <w:rPr>
          <w:i w:val="0"/>
        </w:rPr>
        <w:t>,</w:t>
      </w:r>
    </w:p>
    <w:p w14:paraId="0BAB5D43" w14:textId="4F9C14C3" w:rsidR="001A1357" w:rsidRPr="00AA069D" w:rsidRDefault="001A1357" w:rsidP="00E74F13">
      <w:pPr>
        <w:rPr>
          <w:i/>
          <w:iCs/>
        </w:rPr>
      </w:pPr>
      <w:r w:rsidRPr="00AA069D">
        <w:rPr>
          <w:i/>
          <w:iCs/>
        </w:rPr>
        <w:t>a)</w:t>
      </w:r>
      <w:r w:rsidRPr="00AA069D">
        <w:rPr>
          <w:i/>
          <w:iCs/>
        </w:rPr>
        <w:tab/>
      </w:r>
      <w:r w:rsidRPr="00AA069D">
        <w:t>что Международная подвижная электросвязь (IMT) предназнач</w:t>
      </w:r>
      <w:r w:rsidR="00017DCE" w:rsidRPr="00AA069D">
        <w:t>ена</w:t>
      </w:r>
      <w:r w:rsidRPr="00AA069D">
        <w:t xml:space="preserve"> для предоставления услуг электросвязи во всемирном масштабе, </w:t>
      </w:r>
      <w:r w:rsidR="00017DCE" w:rsidRPr="00AA069D">
        <w:t>независимо</w:t>
      </w:r>
      <w:r w:rsidRPr="00AA069D">
        <w:t xml:space="preserve"> от местоположения или вида сети и оконечного устройства;</w:t>
      </w:r>
    </w:p>
    <w:p w14:paraId="48258EAF" w14:textId="77777777" w:rsidR="001A1357" w:rsidRPr="00AA069D" w:rsidRDefault="001A1357" w:rsidP="00E74F13">
      <w:r w:rsidRPr="00AA069D">
        <w:rPr>
          <w:i/>
          <w:iCs/>
        </w:rPr>
        <w:t>b)</w:t>
      </w:r>
      <w:r w:rsidRPr="00AA069D">
        <w:tab/>
        <w:t>что системы IMT способствуют глобальному социально-экономическому развитию;</w:t>
      </w:r>
      <w:r w:rsidRPr="00AA069D" w:rsidDel="00C901B7">
        <w:t xml:space="preserve"> </w:t>
      </w:r>
    </w:p>
    <w:p w14:paraId="63DFA404" w14:textId="77777777" w:rsidR="001A1357" w:rsidRPr="00AA069D" w:rsidRDefault="001A1357" w:rsidP="00E74F13">
      <w:r w:rsidRPr="00AA069D">
        <w:rPr>
          <w:i/>
          <w:iCs/>
        </w:rPr>
        <w:t>c)</w:t>
      </w:r>
      <w:r w:rsidRPr="00AA069D">
        <w:tab/>
        <w:t>что в настоящее время происходит развитие систем IMT, сопровождаемое обеспечением различных сценариев использования и применений, таких как усовершенствованная подвижная широкополосная связь, интенсивный межмашинный обмен и сверхнадежная передача данных с малой задержкой;</w:t>
      </w:r>
    </w:p>
    <w:p w14:paraId="32CDCC13" w14:textId="75069B21" w:rsidR="001A1357" w:rsidRPr="00AA069D" w:rsidRDefault="001A1357" w:rsidP="00E74F13">
      <w:r w:rsidRPr="00AA069D">
        <w:rPr>
          <w:i/>
          <w:iCs/>
        </w:rPr>
        <w:t>d)</w:t>
      </w:r>
      <w:r w:rsidRPr="00AA069D">
        <w:tab/>
        <w:t>что необходимо постоянно использова</w:t>
      </w:r>
      <w:r w:rsidR="001A7DD0" w:rsidRPr="00AA069D">
        <w:t>ть</w:t>
      </w:r>
      <w:r w:rsidRPr="00AA069D">
        <w:t xml:space="preserve"> преимуществ</w:t>
      </w:r>
      <w:r w:rsidR="001A7DD0" w:rsidRPr="00AA069D">
        <w:t>а</w:t>
      </w:r>
      <w:r w:rsidRPr="00AA069D">
        <w:t xml:space="preserve"> технологических достижений в целях расширения эффективного использования спектра и содействия доступу к спектру;</w:t>
      </w:r>
    </w:p>
    <w:p w14:paraId="048CA87B" w14:textId="2889B5D1" w:rsidR="001A1357" w:rsidRPr="00AA069D" w:rsidRDefault="00E74F13" w:rsidP="00E74F13">
      <w:r w:rsidRPr="00AA069D">
        <w:rPr>
          <w:i/>
          <w:iCs/>
        </w:rPr>
        <w:t>e</w:t>
      </w:r>
      <w:r w:rsidR="001A1357" w:rsidRPr="00AA069D">
        <w:rPr>
          <w:i/>
          <w:iCs/>
        </w:rPr>
        <w:t>)</w:t>
      </w:r>
      <w:r w:rsidR="001A1357" w:rsidRPr="00AA069D">
        <w:tab/>
        <w:t xml:space="preserve">что </w:t>
      </w:r>
      <w:r w:rsidR="001A7DD0" w:rsidRPr="00AA069D">
        <w:t>своевременное наличие достаточного объема</w:t>
      </w:r>
      <w:r w:rsidR="001A1357" w:rsidRPr="00AA069D">
        <w:t xml:space="preserve"> спектра и </w:t>
      </w:r>
      <w:r w:rsidR="001A7DD0" w:rsidRPr="00AA069D">
        <w:t>поддерживающих</w:t>
      </w:r>
      <w:r w:rsidR="001A1357" w:rsidRPr="00AA069D">
        <w:t xml:space="preserve"> регламентарных положений имеют существенное значение для выполнения задач, указанных в Рекомендации МСЭ</w:t>
      </w:r>
      <w:r w:rsidR="001A1357" w:rsidRPr="00AA069D">
        <w:noBreakHyphen/>
        <w:t xml:space="preserve">R M.2083; </w:t>
      </w:r>
    </w:p>
    <w:p w14:paraId="232826A4" w14:textId="5400580D" w:rsidR="001A1357" w:rsidRPr="00AA069D" w:rsidRDefault="00E74F13" w:rsidP="00E74F13">
      <w:r w:rsidRPr="00AA069D">
        <w:rPr>
          <w:i/>
          <w:iCs/>
        </w:rPr>
        <w:t>f</w:t>
      </w:r>
      <w:r w:rsidR="001A1357" w:rsidRPr="00AA069D">
        <w:rPr>
          <w:i/>
          <w:iCs/>
        </w:rPr>
        <w:t>)</w:t>
      </w:r>
      <w:r w:rsidR="001A1357" w:rsidRPr="00AA069D">
        <w:tab/>
        <w:t>что весьма желательно согласование на всемирном уровне полос частот и планов размещения частот для систем IMT в целях обеспечения глобального роуминга и преимуществ, обусловливаемых экономией за счет масштаб</w:t>
      </w:r>
      <w:r w:rsidR="00B35BAD" w:rsidRPr="00AA069D">
        <w:t>а</w:t>
      </w:r>
      <w:r w:rsidR="001A1357" w:rsidRPr="00AA069D">
        <w:t xml:space="preserve">; </w:t>
      </w:r>
    </w:p>
    <w:p w14:paraId="565F1EA5" w14:textId="700E6477" w:rsidR="001A1357" w:rsidRPr="00AA069D" w:rsidRDefault="00E74F13" w:rsidP="00E74F13">
      <w:r w:rsidRPr="00AA069D">
        <w:rPr>
          <w:i/>
          <w:iCs/>
        </w:rPr>
        <w:t>g</w:t>
      </w:r>
      <w:r w:rsidR="001A1357" w:rsidRPr="00AA069D">
        <w:rPr>
          <w:i/>
          <w:iCs/>
        </w:rPr>
        <w:t>)</w:t>
      </w:r>
      <w:r w:rsidR="001A1357" w:rsidRPr="00AA069D">
        <w:tab/>
        <w:t>что определение для IMT полос частот, распределенных подвижной службе, может изменить ситуацию совместного использования частот в отношении применений служб, которым полоса частот уже распределена, и может потребовать дополнительных мер регламентарного характера</w:t>
      </w:r>
      <w:r w:rsidRPr="00AA069D">
        <w:t>,</w:t>
      </w:r>
    </w:p>
    <w:p w14:paraId="77AE5CDE" w14:textId="77777777" w:rsidR="001A1357" w:rsidRPr="00AA069D" w:rsidRDefault="001A1357" w:rsidP="00E74F13">
      <w:pPr>
        <w:pStyle w:val="Call"/>
      </w:pPr>
      <w:r w:rsidRPr="00AA069D">
        <w:lastRenderedPageBreak/>
        <w:t>отмечая</w:t>
      </w:r>
      <w:r w:rsidRPr="00AA069D">
        <w:rPr>
          <w:i w:val="0"/>
        </w:rPr>
        <w:t>,</w:t>
      </w:r>
    </w:p>
    <w:p w14:paraId="2E98D05C" w14:textId="105ED772" w:rsidR="001A1357" w:rsidRPr="00AA069D" w:rsidRDefault="001A1357" w:rsidP="00E74F13">
      <w:r w:rsidRPr="00AA069D">
        <w:rPr>
          <w:i/>
        </w:rPr>
        <w:t>a)</w:t>
      </w:r>
      <w:r w:rsidRPr="00AA069D">
        <w:tab/>
      </w:r>
      <w:r w:rsidR="00E74F13" w:rsidRPr="00AA069D">
        <w:t>что IMT охватывает одновременно IMT</w:t>
      </w:r>
      <w:r w:rsidR="00E74F13" w:rsidRPr="00AA069D">
        <w:noBreakHyphen/>
        <w:t>2000, IMT-Advanced и IMT</w:t>
      </w:r>
      <w:r w:rsidR="00E74F13" w:rsidRPr="00AA069D">
        <w:noBreakHyphen/>
        <w:t>2020, как определено в Резолюции МСЭ-R 56-2;</w:t>
      </w:r>
    </w:p>
    <w:p w14:paraId="7EE06A40" w14:textId="6058B045" w:rsidR="001A1357" w:rsidRPr="00AA069D" w:rsidRDefault="00E74F13" w:rsidP="00E74F13">
      <w:r w:rsidRPr="00AA069D">
        <w:rPr>
          <w:i/>
        </w:rPr>
        <w:t>b</w:t>
      </w:r>
      <w:r w:rsidR="001A1357" w:rsidRPr="00AA069D">
        <w:rPr>
          <w:i/>
        </w:rPr>
        <w:t>)</w:t>
      </w:r>
      <w:r w:rsidR="001A1357" w:rsidRPr="00AA069D">
        <w:tab/>
        <w:t>Рекомендацию МСЭ-R M.2083 об основах и задачах будущего развития IMT на период до 2020 года и далее;</w:t>
      </w:r>
    </w:p>
    <w:p w14:paraId="0259199B" w14:textId="53C6F085" w:rsidR="001A1357" w:rsidRPr="00AA069D" w:rsidRDefault="00E74F13" w:rsidP="00E74F13">
      <w:r w:rsidRPr="00AA069D">
        <w:rPr>
          <w:i/>
          <w:iCs/>
        </w:rPr>
        <w:t>c</w:t>
      </w:r>
      <w:r w:rsidR="001A1357" w:rsidRPr="00AA069D">
        <w:rPr>
          <w:i/>
          <w:iCs/>
        </w:rPr>
        <w:t>)</w:t>
      </w:r>
      <w:r w:rsidR="001A1357" w:rsidRPr="00AA069D">
        <w:tab/>
        <w:t>что в Отчете МСЭ-R M.2320 рассматриваются будущие тенденции в технологии наземных систем IMT;</w:t>
      </w:r>
    </w:p>
    <w:p w14:paraId="2F3808A1" w14:textId="4A914707" w:rsidR="001A1357" w:rsidRPr="00AA069D" w:rsidRDefault="00E74F13" w:rsidP="00E74F13">
      <w:r w:rsidRPr="00AA069D">
        <w:rPr>
          <w:i/>
          <w:iCs/>
        </w:rPr>
        <w:t>d</w:t>
      </w:r>
      <w:r w:rsidR="001A1357" w:rsidRPr="00AA069D">
        <w:rPr>
          <w:i/>
          <w:iCs/>
        </w:rPr>
        <w:t>)</w:t>
      </w:r>
      <w:r w:rsidR="001A1357" w:rsidRPr="00AA069D">
        <w:tab/>
        <w:t xml:space="preserve">Отчет МСЭ-R M.2376 о технической </w:t>
      </w:r>
      <w:r w:rsidR="001A7DD0" w:rsidRPr="00AA069D">
        <w:t>возможности реализации</w:t>
      </w:r>
      <w:r w:rsidR="001A1357" w:rsidRPr="00AA069D">
        <w:t xml:space="preserve"> IMT в полосах частот выше 6 ГГц;</w:t>
      </w:r>
    </w:p>
    <w:p w14:paraId="0F400F04" w14:textId="425EAFCF" w:rsidR="001A1357" w:rsidRPr="00AA069D" w:rsidRDefault="00E74F13" w:rsidP="00E74F13">
      <w:r w:rsidRPr="00AA069D">
        <w:rPr>
          <w:i/>
        </w:rPr>
        <w:t>e</w:t>
      </w:r>
      <w:r w:rsidR="001A1357" w:rsidRPr="00AA069D">
        <w:rPr>
          <w:i/>
        </w:rPr>
        <w:t>)</w:t>
      </w:r>
      <w:r w:rsidR="001A1357" w:rsidRPr="00AA069D">
        <w:tab/>
        <w:t>что в Отчете МСЭ-R M.2370 анализируются тенденции, влияющие на будущий рост трафика IMT в период после 2020 года</w:t>
      </w:r>
      <w:r w:rsidR="001A7DD0" w:rsidRPr="00AA069D">
        <w:t>,</w:t>
      </w:r>
      <w:r w:rsidR="001A1357" w:rsidRPr="00AA069D">
        <w:t xml:space="preserve"> и даются оценки глобального спроса на трафик на период 2020−2030 годов,</w:t>
      </w:r>
    </w:p>
    <w:p w14:paraId="278CB60A" w14:textId="77777777" w:rsidR="001A1357" w:rsidRPr="00AA069D" w:rsidRDefault="001A1357" w:rsidP="00E74F13">
      <w:pPr>
        <w:pStyle w:val="Call"/>
      </w:pPr>
      <w:r w:rsidRPr="00AA069D">
        <w:t>признавая</w:t>
      </w:r>
      <w:r w:rsidRPr="00AA069D">
        <w:rPr>
          <w:i w:val="0"/>
        </w:rPr>
        <w:t>,</w:t>
      </w:r>
    </w:p>
    <w:p w14:paraId="5C307034" w14:textId="77777777" w:rsidR="001A1357" w:rsidRPr="00AA069D" w:rsidRDefault="001A1357" w:rsidP="00E74F13">
      <w:r w:rsidRPr="00AA069D">
        <w:rPr>
          <w:i/>
          <w:iCs/>
        </w:rPr>
        <w:t>a)</w:t>
      </w:r>
      <w:r w:rsidRPr="00AA069D">
        <w:tab/>
        <w:t>что между распределением полос частот всемирными конференциями радиосвязи и развертыванием систем в этих полосах проходит довольно длительный период времени и что существенное значение для поддержки развития IMT имеет своевременная доступность широких и непрерывных блоков спектра;</w:t>
      </w:r>
    </w:p>
    <w:p w14:paraId="494D5B2C" w14:textId="77777777" w:rsidR="001A1357" w:rsidRPr="00AA069D" w:rsidRDefault="001A1357" w:rsidP="00E74F13">
      <w:r w:rsidRPr="00AA069D">
        <w:rPr>
          <w:i/>
          <w:iCs/>
        </w:rPr>
        <w:t>b)</w:t>
      </w:r>
      <w:r w:rsidRPr="00AA069D">
        <w:tab/>
        <w:t>что полосы частот, распределенные пассивным службам на исключительной основе, не подходят для распределения подвижной службе;</w:t>
      </w:r>
    </w:p>
    <w:p w14:paraId="37AF907C" w14:textId="77777777" w:rsidR="001A1357" w:rsidRPr="00AA069D" w:rsidRDefault="001A1357" w:rsidP="00E74F13">
      <w:r w:rsidRPr="00AA069D">
        <w:rPr>
          <w:i/>
          <w:iCs/>
        </w:rPr>
        <w:t>c)</w:t>
      </w:r>
      <w:r w:rsidRPr="00AA069D">
        <w:tab/>
        <w:t>что при любом определении полос частот для IMT следует принимать во внимание использование этих полос частот другими службами и изменение потребностей этих служб;</w:t>
      </w:r>
    </w:p>
    <w:p w14:paraId="04339B6A" w14:textId="2296D175" w:rsidR="00E74F13" w:rsidRPr="00AA069D" w:rsidRDefault="001A1357" w:rsidP="00E74F13">
      <w:r w:rsidRPr="00AA069D">
        <w:rPr>
          <w:i/>
          <w:iCs/>
        </w:rPr>
        <w:t>d)</w:t>
      </w:r>
      <w:r w:rsidRPr="00AA069D">
        <w:tab/>
        <w:t xml:space="preserve">что не </w:t>
      </w:r>
      <w:r w:rsidR="001A7DD0" w:rsidRPr="00AA069D">
        <w:t xml:space="preserve">следует налагать </w:t>
      </w:r>
      <w:r w:rsidRPr="00AA069D">
        <w:t>дополнительны</w:t>
      </w:r>
      <w:r w:rsidR="001A7DD0" w:rsidRPr="00AA069D">
        <w:t>е</w:t>
      </w:r>
      <w:r w:rsidRPr="00AA069D">
        <w:t xml:space="preserve"> регламентарны</w:t>
      </w:r>
      <w:r w:rsidR="001A7DD0" w:rsidRPr="00AA069D">
        <w:t>е</w:t>
      </w:r>
      <w:r w:rsidRPr="00AA069D">
        <w:t xml:space="preserve"> или технически</w:t>
      </w:r>
      <w:r w:rsidR="001A7DD0" w:rsidRPr="00AA069D">
        <w:t>е</w:t>
      </w:r>
      <w:r w:rsidRPr="00AA069D">
        <w:t xml:space="preserve"> ограничени</w:t>
      </w:r>
      <w:r w:rsidR="001A7DD0" w:rsidRPr="00AA069D">
        <w:t>я</w:t>
      </w:r>
      <w:r w:rsidRPr="00AA069D">
        <w:t xml:space="preserve"> на службы, которым эта полоса частот в настоящее время распределена на первичной основе</w:t>
      </w:r>
      <w:r w:rsidR="00E74F13" w:rsidRPr="00AA069D">
        <w:t>;</w:t>
      </w:r>
    </w:p>
    <w:p w14:paraId="6546B54B" w14:textId="2B46B74B" w:rsidR="001A1357" w:rsidRPr="00AA069D" w:rsidRDefault="00E74F13" w:rsidP="00E74F13">
      <w:r w:rsidRPr="00AA069D">
        <w:rPr>
          <w:i/>
          <w:iCs/>
        </w:rPr>
        <w:t>e)</w:t>
      </w:r>
      <w:r w:rsidRPr="00AA069D">
        <w:tab/>
      </w:r>
      <w:r w:rsidR="00F957C5" w:rsidRPr="00AA069D">
        <w:t>что полосы, распределенные пассивным службам</w:t>
      </w:r>
      <w:r w:rsidR="00AF5686" w:rsidRPr="00AA069D">
        <w:t xml:space="preserve">, </w:t>
      </w:r>
      <w:r w:rsidR="00B35BAD" w:rsidRPr="00AA069D">
        <w:t xml:space="preserve">которые работают в полосах, </w:t>
      </w:r>
      <w:r w:rsidR="00AF5686" w:rsidRPr="00AA069D">
        <w:t>сосед</w:t>
      </w:r>
      <w:r w:rsidR="00B35BAD" w:rsidRPr="00AA069D">
        <w:t>них</w:t>
      </w:r>
      <w:r w:rsidR="00AF5686" w:rsidRPr="00AA069D">
        <w:t xml:space="preserve"> с полосами</w:t>
      </w:r>
      <w:r w:rsidRPr="00AA069D">
        <w:t xml:space="preserve"> </w:t>
      </w:r>
      <w:r w:rsidR="00AF5686" w:rsidRPr="00AA069D">
        <w:t>предусмотренными для</w:t>
      </w:r>
      <w:r w:rsidRPr="00AA069D">
        <w:t xml:space="preserve"> IMT</w:t>
      </w:r>
      <w:r w:rsidR="00AF5686" w:rsidRPr="00AA069D">
        <w:t>,</w:t>
      </w:r>
      <w:r w:rsidRPr="00AA069D">
        <w:t xml:space="preserve"> </w:t>
      </w:r>
      <w:r w:rsidR="00AF5686" w:rsidRPr="00AA069D">
        <w:t>должны быть защищены</w:t>
      </w:r>
      <w:r w:rsidR="001A1357" w:rsidRPr="00AA069D">
        <w:t>,</w:t>
      </w:r>
    </w:p>
    <w:p w14:paraId="64A5ECB0" w14:textId="77777777" w:rsidR="001A1357" w:rsidRPr="00AA069D" w:rsidRDefault="001A1357" w:rsidP="00E74F13">
      <w:pPr>
        <w:pStyle w:val="Call"/>
      </w:pPr>
      <w:r w:rsidRPr="00AA069D">
        <w:t>решает предложить МСЭ-R</w:t>
      </w:r>
    </w:p>
    <w:p w14:paraId="4C761219" w14:textId="23FF865F" w:rsidR="001A1357" w:rsidRPr="00AA069D" w:rsidRDefault="001A1357" w:rsidP="00E74F13">
      <w:r w:rsidRPr="00AA069D">
        <w:t>1</w:t>
      </w:r>
      <w:r w:rsidRPr="00AA069D">
        <w:tab/>
        <w:t>провести и своевременно завершить к ВКР-</w:t>
      </w:r>
      <w:r w:rsidR="00E74F13" w:rsidRPr="00AA069D">
        <w:t>23</w:t>
      </w:r>
      <w:r w:rsidRPr="00AA069D">
        <w:t xml:space="preserve"> соответствующие исследования с целью определения потребностей в спектре для наземного сегмента IMT в диапазоне частот между </w:t>
      </w:r>
      <w:r w:rsidR="00E74F13" w:rsidRPr="00AA069D">
        <w:t>3300 МГц и 15,35 ГГц</w:t>
      </w:r>
      <w:r w:rsidRPr="00AA069D">
        <w:t>, принимая во внимание:</w:t>
      </w:r>
    </w:p>
    <w:p w14:paraId="68A13414" w14:textId="77777777" w:rsidR="001A1357" w:rsidRPr="00AA069D" w:rsidRDefault="001A1357" w:rsidP="00E74F13">
      <w:pPr>
        <w:pStyle w:val="enumlev1"/>
      </w:pPr>
      <w:r w:rsidRPr="00AA069D">
        <w:t>–</w:t>
      </w:r>
      <w:r w:rsidRPr="00AA069D">
        <w:tab/>
        <w:t>технические и эксплуатационные характеристики наземных систем IMT, которые будут работать в этом диапазоне частот, включая развитие IMT, благодаря достижениям в области технологий и методов эффективного использования спектра;</w:t>
      </w:r>
    </w:p>
    <w:p w14:paraId="0B57CBCB" w14:textId="52F278C2" w:rsidR="001A1357" w:rsidRPr="00AA069D" w:rsidRDefault="001A1357" w:rsidP="00E74F13">
      <w:pPr>
        <w:pStyle w:val="enumlev1"/>
      </w:pPr>
      <w:r w:rsidRPr="00AA069D">
        <w:t>–</w:t>
      </w:r>
      <w:r w:rsidRPr="00AA069D">
        <w:tab/>
        <w:t>сценарии развертывания, предусматриваемые для систем IMT-2020, и связанные с ними требования к трафику высокоскоростной передачи данных, например в густонаселенных городских районах и/или во время пиковых нагрузок;</w:t>
      </w:r>
    </w:p>
    <w:p w14:paraId="4231ED22" w14:textId="77777777" w:rsidR="001A1357" w:rsidRPr="00AA069D" w:rsidRDefault="001A1357" w:rsidP="00E74F13">
      <w:pPr>
        <w:pStyle w:val="enumlev1"/>
      </w:pPr>
      <w:r w:rsidRPr="00AA069D">
        <w:t>–</w:t>
      </w:r>
      <w:r w:rsidRPr="00AA069D">
        <w:tab/>
        <w:t>потребности развивающихся стран;</w:t>
      </w:r>
    </w:p>
    <w:p w14:paraId="106308A5" w14:textId="77777777" w:rsidR="001A1357" w:rsidRPr="00AA069D" w:rsidRDefault="001A1357" w:rsidP="00E74F13">
      <w:pPr>
        <w:pStyle w:val="enumlev1"/>
      </w:pPr>
      <w:r w:rsidRPr="00AA069D">
        <w:t>–</w:t>
      </w:r>
      <w:r w:rsidRPr="00AA069D">
        <w:tab/>
        <w:t>сроки, в которые потребуется спектр;</w:t>
      </w:r>
    </w:p>
    <w:p w14:paraId="424F6CDF" w14:textId="379F2065" w:rsidR="001A1357" w:rsidRPr="00AA069D" w:rsidRDefault="001A1357" w:rsidP="00E74F13">
      <w:r w:rsidRPr="00AA069D">
        <w:rPr>
          <w:iCs/>
        </w:rPr>
        <w:t>2</w:t>
      </w:r>
      <w:r w:rsidRPr="00AA069D">
        <w:rPr>
          <w:iCs/>
        </w:rPr>
        <w:tab/>
      </w:r>
      <w:r w:rsidRPr="00AA069D">
        <w:t>провести и своевременно завершить к ВКР-</w:t>
      </w:r>
      <w:r w:rsidR="00E74F13" w:rsidRPr="00AA069D">
        <w:t>23</w:t>
      </w:r>
      <w:r w:rsidRPr="00AA069D">
        <w:t xml:space="preserve"> соответствующие исследования совместного использования частот и совместимости</w:t>
      </w:r>
      <w:r w:rsidR="004C1A68" w:rsidRPr="00AA069D">
        <w:t xml:space="preserve"> </w:t>
      </w:r>
      <w:r w:rsidR="00AF5686" w:rsidRPr="00AA069D">
        <w:t>в полос</w:t>
      </w:r>
      <w:r w:rsidR="00E1788E" w:rsidRPr="00AA069D">
        <w:t>ах</w:t>
      </w:r>
      <w:r w:rsidR="00AF5686" w:rsidRPr="00AA069D">
        <w:t xml:space="preserve"> частот </w:t>
      </w:r>
      <w:r w:rsidR="00B70D68" w:rsidRPr="00AA069D">
        <w:t xml:space="preserve">3300−3400 МГц, 3600−3700 МГц, 3700−3800 МГц, 4800−4990 МГц, 10 000−10 500 МГц и 14 800−15 350 МГц </w:t>
      </w:r>
      <w:r w:rsidR="00AF5686" w:rsidRPr="00AA069D">
        <w:t xml:space="preserve">или </w:t>
      </w:r>
      <w:r w:rsidR="00B35BAD" w:rsidRPr="00AA069D">
        <w:t>участках</w:t>
      </w:r>
      <w:r w:rsidR="00AF5686" w:rsidRPr="00AA069D">
        <w:t xml:space="preserve"> этих полос частот</w:t>
      </w:r>
      <w:r w:rsidR="00B70D68" w:rsidRPr="00AA069D">
        <w:t>,</w:t>
      </w:r>
    </w:p>
    <w:p w14:paraId="0FF48E4F" w14:textId="77777777" w:rsidR="001A1357" w:rsidRPr="00AA069D" w:rsidRDefault="001A1357" w:rsidP="004C1A68">
      <w:pPr>
        <w:pStyle w:val="Call"/>
      </w:pPr>
      <w:r w:rsidRPr="00AA069D">
        <w:t>далее решает</w:t>
      </w:r>
    </w:p>
    <w:p w14:paraId="1ED73E90" w14:textId="5D201100" w:rsidR="001A1357" w:rsidRPr="00AA069D" w:rsidRDefault="001A1357" w:rsidP="00E74F13">
      <w:pPr>
        <w:rPr>
          <w:i/>
          <w:iCs/>
        </w:rPr>
      </w:pPr>
      <w:r w:rsidRPr="00AA069D">
        <w:t>предложить ВКР-</w:t>
      </w:r>
      <w:r w:rsidR="004C1A68" w:rsidRPr="00AA069D">
        <w:t>23</w:t>
      </w:r>
      <w:r w:rsidRPr="00AA069D">
        <w:t xml:space="preserve"> рассмотреть на основе результатов вышеупомянутых исследований вопрос о</w:t>
      </w:r>
      <w:r w:rsidR="00401E23">
        <w:t> </w:t>
      </w:r>
      <w:r w:rsidRPr="00AA069D">
        <w:t xml:space="preserve">дополнительных распределениях спектра подвижной службе на первичной основе и вопрос об определении полос частот для наземного сегмента Международной подвижной электросвязи; полосы </w:t>
      </w:r>
      <w:r w:rsidRPr="00AA069D">
        <w:lastRenderedPageBreak/>
        <w:t xml:space="preserve">частот, подлежащие рассмотрению, ограничены частью или всеми полосами частот, перечисленными в пункте </w:t>
      </w:r>
      <w:r w:rsidRPr="00AA069D">
        <w:rPr>
          <w:i/>
          <w:iCs/>
        </w:rPr>
        <w:t xml:space="preserve">2 </w:t>
      </w:r>
      <w:r w:rsidRPr="00AA069D">
        <w:t xml:space="preserve">раздела </w:t>
      </w:r>
      <w:r w:rsidRPr="00AA069D">
        <w:rPr>
          <w:i/>
          <w:iCs/>
        </w:rPr>
        <w:t>решает предложить МСЭ-R</w:t>
      </w:r>
      <w:r w:rsidRPr="00AA069D">
        <w:t>,</w:t>
      </w:r>
    </w:p>
    <w:p w14:paraId="4287E072" w14:textId="77777777" w:rsidR="001A1357" w:rsidRPr="00AA069D" w:rsidRDefault="001A1357" w:rsidP="004C1A68">
      <w:pPr>
        <w:pStyle w:val="Call"/>
      </w:pPr>
      <w:r w:rsidRPr="00AA069D">
        <w:t>предлагает администрациям</w:t>
      </w:r>
    </w:p>
    <w:p w14:paraId="71BA4FDA" w14:textId="77777777" w:rsidR="001A1357" w:rsidRPr="00AA069D" w:rsidRDefault="001A1357" w:rsidP="00E74F13">
      <w:r w:rsidRPr="00AA069D">
        <w:t>принять активное участие в этих исследованиях, представляя свои вклады в МСЭ-R.</w:t>
      </w:r>
    </w:p>
    <w:p w14:paraId="4BBEB801" w14:textId="77777777" w:rsidR="00CF1230" w:rsidRPr="00AA069D" w:rsidRDefault="00CF1230" w:rsidP="00CF1230">
      <w:pPr>
        <w:pStyle w:val="Reasons"/>
      </w:pPr>
    </w:p>
    <w:p w14:paraId="2CE5BA42" w14:textId="77777777" w:rsidR="004C1A68" w:rsidRPr="00AA069D" w:rsidRDefault="004C1A68">
      <w:pPr>
        <w:tabs>
          <w:tab w:val="clear" w:pos="1134"/>
          <w:tab w:val="clear" w:pos="1871"/>
          <w:tab w:val="clear" w:pos="2268"/>
        </w:tabs>
        <w:overflowPunct/>
        <w:autoSpaceDE/>
        <w:autoSpaceDN/>
        <w:adjustRightInd/>
        <w:spacing w:before="0"/>
        <w:textAlignment w:val="auto"/>
        <w:rPr>
          <w:b/>
        </w:rPr>
      </w:pPr>
      <w:r w:rsidRPr="00AA069D">
        <w:rPr>
          <w:b/>
        </w:rPr>
        <w:br w:type="page"/>
      </w:r>
    </w:p>
    <w:p w14:paraId="055D7288" w14:textId="3D7BD2E0" w:rsidR="001A1357" w:rsidRPr="00AA069D" w:rsidRDefault="004C1A68" w:rsidP="00401E23">
      <w:pPr>
        <w:pStyle w:val="AnnexNo"/>
        <w:spacing w:after="360"/>
      </w:pPr>
      <w:r w:rsidRPr="00AA069D">
        <w:lastRenderedPageBreak/>
        <w:t>ПРИЛОЖЕНИЕ</w:t>
      </w:r>
    </w:p>
    <w:tbl>
      <w:tblPr>
        <w:tblW w:w="0" w:type="auto"/>
        <w:tblLook w:val="04A0" w:firstRow="1" w:lastRow="0" w:firstColumn="1" w:lastColumn="0" w:noHBand="0" w:noVBand="1"/>
      </w:tblPr>
      <w:tblGrid>
        <w:gridCol w:w="4819"/>
        <w:gridCol w:w="4820"/>
      </w:tblGrid>
      <w:tr w:rsidR="001A1357" w:rsidRPr="00AA069D" w14:paraId="22236539" w14:textId="77777777" w:rsidTr="00234FD2">
        <w:tc>
          <w:tcPr>
            <w:tcW w:w="9639" w:type="dxa"/>
            <w:gridSpan w:val="2"/>
            <w:tcBorders>
              <w:left w:val="nil"/>
              <w:bottom w:val="single" w:sz="4" w:space="0" w:color="auto"/>
              <w:right w:val="nil"/>
            </w:tcBorders>
          </w:tcPr>
          <w:p w14:paraId="6CFF8878" w14:textId="46E932C0" w:rsidR="001A1357" w:rsidRPr="00AA069D" w:rsidRDefault="001A1357" w:rsidP="004C1A68">
            <w:pPr>
              <w:spacing w:before="60" w:after="60"/>
            </w:pPr>
            <w:r w:rsidRPr="00AA069D">
              <w:rPr>
                <w:b/>
                <w:bCs/>
                <w:i/>
                <w:iCs/>
              </w:rPr>
              <w:t>Предмет</w:t>
            </w:r>
            <w:r w:rsidRPr="00AA069D">
              <w:t xml:space="preserve">: </w:t>
            </w:r>
            <w:r w:rsidR="004C1A68" w:rsidRPr="00AA069D">
              <w:t>Предложение по пункту повестки дня ВКР-23</w:t>
            </w:r>
          </w:p>
        </w:tc>
      </w:tr>
      <w:tr w:rsidR="001A1357" w:rsidRPr="00AA069D" w14:paraId="64BF1FB5" w14:textId="77777777" w:rsidTr="00234FD2">
        <w:tc>
          <w:tcPr>
            <w:tcW w:w="9639" w:type="dxa"/>
            <w:gridSpan w:val="2"/>
            <w:tcBorders>
              <w:top w:val="single" w:sz="4" w:space="0" w:color="auto"/>
              <w:left w:val="nil"/>
              <w:bottom w:val="single" w:sz="4" w:space="0" w:color="auto"/>
              <w:right w:val="nil"/>
            </w:tcBorders>
          </w:tcPr>
          <w:p w14:paraId="42EEF879" w14:textId="3CB00BB7" w:rsidR="001A1357" w:rsidRPr="00AA069D" w:rsidRDefault="001A1357" w:rsidP="004C1A68">
            <w:pPr>
              <w:spacing w:before="60" w:after="60"/>
            </w:pPr>
            <w:r w:rsidRPr="00AA069D">
              <w:rPr>
                <w:b/>
                <w:bCs/>
                <w:i/>
                <w:iCs/>
              </w:rPr>
              <w:t>Источник</w:t>
            </w:r>
            <w:r w:rsidRPr="00AA069D">
              <w:t xml:space="preserve">: </w:t>
            </w:r>
            <w:r w:rsidR="004C1A68" w:rsidRPr="00AA069D">
              <w:t>Государства − члены СИТЕЛ</w:t>
            </w:r>
          </w:p>
        </w:tc>
      </w:tr>
      <w:tr w:rsidR="001A1357" w:rsidRPr="00AA069D" w14:paraId="406878A9" w14:textId="77777777" w:rsidTr="00234FD2">
        <w:tc>
          <w:tcPr>
            <w:tcW w:w="9639" w:type="dxa"/>
            <w:gridSpan w:val="2"/>
            <w:tcBorders>
              <w:top w:val="single" w:sz="4" w:space="0" w:color="auto"/>
              <w:left w:val="nil"/>
              <w:bottom w:val="single" w:sz="4" w:space="0" w:color="auto"/>
              <w:right w:val="nil"/>
            </w:tcBorders>
          </w:tcPr>
          <w:p w14:paraId="13305639" w14:textId="5AE3D7C3" w:rsidR="001A1357" w:rsidRPr="00AA069D" w:rsidRDefault="001A1357" w:rsidP="004C1A68">
            <w:pPr>
              <w:spacing w:before="60" w:after="60"/>
            </w:pPr>
            <w:r w:rsidRPr="00AA069D">
              <w:rPr>
                <w:b/>
                <w:bCs/>
                <w:i/>
                <w:iCs/>
              </w:rPr>
              <w:t>Предложение</w:t>
            </w:r>
            <w:r w:rsidRPr="00AA069D">
              <w:t xml:space="preserve">: </w:t>
            </w:r>
            <w:r w:rsidR="00234FD2" w:rsidRPr="00AA069D">
              <w:rPr>
                <w:lang w:eastAsia="ko-KR"/>
              </w:rPr>
              <w:t xml:space="preserve">рассмотреть определение для IMT в конкретных полосах частот в диапазоне между [3300 МГц − 15,35 ГГц] в соответствии с Резолюцией </w:t>
            </w:r>
            <w:r w:rsidR="004C1A68" w:rsidRPr="00AA069D">
              <w:rPr>
                <w:b/>
                <w:bCs/>
              </w:rPr>
              <w:t>[</w:t>
            </w:r>
            <w:r w:rsidR="00B70D68" w:rsidRPr="00AA069D">
              <w:rPr>
                <w:b/>
                <w:bCs/>
              </w:rPr>
              <w:t>IAP/10(N)/</w:t>
            </w:r>
            <w:r w:rsidR="004C1A68" w:rsidRPr="00AA069D">
              <w:rPr>
                <w:b/>
                <w:bCs/>
              </w:rPr>
              <w:t>IMT-WRC-23]</w:t>
            </w:r>
            <w:r w:rsidR="004C1A68" w:rsidRPr="00AA069D">
              <w:t xml:space="preserve"> </w:t>
            </w:r>
            <w:r w:rsidR="004C1A68" w:rsidRPr="00AA069D">
              <w:rPr>
                <w:b/>
                <w:bCs/>
              </w:rPr>
              <w:t>(ВКР-23)</w:t>
            </w:r>
            <w:r w:rsidR="004C1A68" w:rsidRPr="00AA069D">
              <w:t>.</w:t>
            </w:r>
          </w:p>
        </w:tc>
      </w:tr>
      <w:tr w:rsidR="001A1357" w:rsidRPr="00AA069D" w14:paraId="5EB04FEA" w14:textId="77777777" w:rsidTr="00234FD2">
        <w:tc>
          <w:tcPr>
            <w:tcW w:w="9639" w:type="dxa"/>
            <w:gridSpan w:val="2"/>
            <w:tcBorders>
              <w:top w:val="single" w:sz="4" w:space="0" w:color="auto"/>
              <w:left w:val="nil"/>
              <w:bottom w:val="single" w:sz="4" w:space="0" w:color="auto"/>
              <w:right w:val="nil"/>
            </w:tcBorders>
          </w:tcPr>
          <w:p w14:paraId="1AC3BE21" w14:textId="2955E498" w:rsidR="00234FD2" w:rsidRPr="00AA069D" w:rsidRDefault="00B35BAD" w:rsidP="00D13F84">
            <w:pPr>
              <w:spacing w:before="60" w:after="60"/>
            </w:pPr>
            <w:r w:rsidRPr="00AA069D">
              <w:t xml:space="preserve">ВКР-19 предпримет попытку определить спектр в миллиметровом диапазоне для IMT, для того чтобы </w:t>
            </w:r>
            <w:r w:rsidR="00234FD2" w:rsidRPr="00AA069D">
              <w:t xml:space="preserve">обеспечить развертывание сетей 5G с высокими показателями работы и высокой пропускной способностью. </w:t>
            </w:r>
            <w:r w:rsidRPr="00AA069D">
              <w:t xml:space="preserve">Для обеспечения доступности сетей </w:t>
            </w:r>
            <w:r w:rsidR="00234FD2" w:rsidRPr="00AA069D">
              <w:t xml:space="preserve">5G во всех районах, </w:t>
            </w:r>
            <w:r w:rsidRPr="00AA069D">
              <w:t xml:space="preserve">следует </w:t>
            </w:r>
            <w:r w:rsidR="00234FD2" w:rsidRPr="00AA069D">
              <w:t xml:space="preserve">также </w:t>
            </w:r>
            <w:r w:rsidRPr="00AA069D">
              <w:t>провести исследования для более низких частот</w:t>
            </w:r>
            <w:r w:rsidR="00234FD2" w:rsidRPr="00AA069D">
              <w:t xml:space="preserve"> в диапазоне между предельными значениями, установленными ВКР-15 (верхний предел </w:t>
            </w:r>
            <w:r w:rsidR="00D13F84" w:rsidRPr="00AA069D">
              <w:t>−</w:t>
            </w:r>
            <w:r w:rsidR="00234FD2" w:rsidRPr="00AA069D">
              <w:t xml:space="preserve"> 3,7 ГГц) и ВКР-19 (нижний предел </w:t>
            </w:r>
            <w:r w:rsidR="00D13F84" w:rsidRPr="00AA069D">
              <w:t>−</w:t>
            </w:r>
            <w:r w:rsidR="00234FD2" w:rsidRPr="00AA069D">
              <w:t xml:space="preserve"> 24 ГГц). В</w:t>
            </w:r>
            <w:r w:rsidR="00D13F84" w:rsidRPr="00AA069D">
              <w:t> </w:t>
            </w:r>
            <w:r w:rsidR="00234FD2" w:rsidRPr="00AA069D">
              <w:t>настоящем документе намечены полосы, которые поддерживаются отраслью или странами/регионами.</w:t>
            </w:r>
          </w:p>
          <w:p w14:paraId="6261C34A" w14:textId="373539F4" w:rsidR="00234FD2" w:rsidRPr="00AA069D" w:rsidRDefault="00234FD2" w:rsidP="00D13F84">
            <w:pPr>
              <w:spacing w:before="60" w:after="60"/>
            </w:pPr>
            <w:r w:rsidRPr="00AA069D">
              <w:t xml:space="preserve">Первые результаты коммерческого внедрения сетей 5G выявили проблемы, </w:t>
            </w:r>
            <w:r w:rsidR="00EE5233" w:rsidRPr="00AA069D">
              <w:t>которые придется решать специалистам</w:t>
            </w:r>
            <w:r w:rsidRPr="00AA069D">
              <w:t xml:space="preserve"> по управлению использованием спектра. </w:t>
            </w:r>
            <w:r w:rsidR="00EE5233" w:rsidRPr="00AA069D">
              <w:t>Согласно SK Telecom, объем использовани</w:t>
            </w:r>
            <w:r w:rsidR="00AA069D" w:rsidRPr="00AA069D">
              <w:t>я</w:t>
            </w:r>
            <w:r w:rsidR="00EE5233" w:rsidRPr="00AA069D">
              <w:t xml:space="preserve"> данных 5G увеличился втрое по сравнению с 4G. LG Uplus, на начальном этапе внедрения 5G, констатировала</w:t>
            </w:r>
            <w:r w:rsidRPr="00AA069D">
              <w:t>, что каждый абонент использовал 1</w:t>
            </w:r>
            <w:r w:rsidR="00CF1230">
              <w:t>,</w:t>
            </w:r>
            <w:r w:rsidRPr="00AA069D">
              <w:t xml:space="preserve">3 гигабайта данных в день. </w:t>
            </w:r>
            <w:r w:rsidR="00EE5233" w:rsidRPr="00AA069D">
              <w:t xml:space="preserve">При том что </w:t>
            </w:r>
            <w:r w:rsidRPr="00AA069D">
              <w:t xml:space="preserve">достаточный доступ к миллиметровым диапазонам позволяет решить проблему нехватки пропускной способности, </w:t>
            </w:r>
            <w:r w:rsidR="00EE5233" w:rsidRPr="00AA069D">
              <w:t xml:space="preserve">потребуются более подходящие характеристики </w:t>
            </w:r>
            <w:r w:rsidRPr="00AA069D">
              <w:t>распространения и покрыти</w:t>
            </w:r>
            <w:r w:rsidR="00AA069D" w:rsidRPr="00AA069D">
              <w:t>я</w:t>
            </w:r>
            <w:r w:rsidRPr="00AA069D">
              <w:t xml:space="preserve"> внутри помещений в тесной </w:t>
            </w:r>
            <w:r w:rsidR="00AA069D" w:rsidRPr="00AA069D">
              <w:t>увязке</w:t>
            </w:r>
            <w:r w:rsidRPr="00AA069D">
              <w:t xml:space="preserve"> с пропускной способностью на миллиметровых волнах. </w:t>
            </w:r>
          </w:p>
          <w:p w14:paraId="02E9CED4" w14:textId="0BCB1063" w:rsidR="001A1357" w:rsidRPr="00AA069D" w:rsidRDefault="00234FD2" w:rsidP="00D13F84">
            <w:pPr>
              <w:spacing w:before="60" w:after="60"/>
            </w:pPr>
            <w:r w:rsidRPr="00AA069D">
              <w:t xml:space="preserve">В полосе 3 ГГц, чтобы воспользоваться всеми преимуществами технологии 5G, каждому оператору для развертывания сетей требуется 100 МГц непрерывного спектра. Аналогичный объем спектра с аналогичными характеристики распространения, вероятно потребуется в будущем, чтобы улучшить пропускную способность высокопроизводительных сетей 5G. В некоторых странах спектр в этом же диапазоне резервируется для других целей, например для вертикальных секторов, что дополнительно ограничивает </w:t>
            </w:r>
            <w:r w:rsidR="00EE5233" w:rsidRPr="00AA069D">
              <w:t>объем</w:t>
            </w:r>
            <w:r w:rsidRPr="00AA069D">
              <w:t xml:space="preserve"> спектра, доступного для сетей 5G. Благодаря технологии 5G NR появится возможность установления новых массовых соединений между вещами, объединенны</w:t>
            </w:r>
            <w:r w:rsidR="00EE5233" w:rsidRPr="00AA069D">
              <w:t>х</w:t>
            </w:r>
            <w:r w:rsidRPr="00AA069D">
              <w:t xml:space="preserve"> в рамках одной технологии, что потребует среднеполосного спектра.</w:t>
            </w:r>
          </w:p>
        </w:tc>
      </w:tr>
      <w:tr w:rsidR="001A1357" w:rsidRPr="00AA069D" w14:paraId="0D7126BC" w14:textId="77777777" w:rsidTr="00234FD2">
        <w:tc>
          <w:tcPr>
            <w:tcW w:w="9639" w:type="dxa"/>
            <w:gridSpan w:val="2"/>
            <w:tcBorders>
              <w:top w:val="single" w:sz="4" w:space="0" w:color="auto"/>
              <w:left w:val="nil"/>
              <w:bottom w:val="single" w:sz="4" w:space="0" w:color="auto"/>
              <w:right w:val="nil"/>
            </w:tcBorders>
          </w:tcPr>
          <w:p w14:paraId="2CF6A6FE" w14:textId="0FFD2255" w:rsidR="001A1357" w:rsidRPr="00AA069D" w:rsidRDefault="001A1357" w:rsidP="004C1A68">
            <w:pPr>
              <w:spacing w:before="60" w:after="60"/>
            </w:pPr>
            <w:r w:rsidRPr="00AA069D">
              <w:rPr>
                <w:b/>
                <w:bCs/>
                <w:i/>
                <w:iCs/>
              </w:rPr>
              <w:t>Затрагиваемые службы радиосвязи</w:t>
            </w:r>
            <w:r w:rsidRPr="00AA069D">
              <w:t xml:space="preserve">: Фиксированная, </w:t>
            </w:r>
            <w:r w:rsidR="004C1A68" w:rsidRPr="00AA069D">
              <w:t xml:space="preserve">фиксированная спутниковая </w:t>
            </w:r>
            <w:r w:rsidRPr="00AA069D">
              <w:t xml:space="preserve">и </w:t>
            </w:r>
            <w:r w:rsidR="004C1A68" w:rsidRPr="00AA069D">
              <w:t>другие</w:t>
            </w:r>
            <w:r w:rsidRPr="00AA069D">
              <w:t xml:space="preserve"> службы</w:t>
            </w:r>
          </w:p>
        </w:tc>
      </w:tr>
      <w:tr w:rsidR="001A1357" w:rsidRPr="00AA069D" w14:paraId="78FA0E02" w14:textId="77777777" w:rsidTr="00234FD2">
        <w:tc>
          <w:tcPr>
            <w:tcW w:w="9639" w:type="dxa"/>
            <w:gridSpan w:val="2"/>
            <w:tcBorders>
              <w:top w:val="single" w:sz="4" w:space="0" w:color="auto"/>
              <w:left w:val="nil"/>
              <w:bottom w:val="single" w:sz="4" w:space="0" w:color="auto"/>
              <w:right w:val="nil"/>
            </w:tcBorders>
          </w:tcPr>
          <w:p w14:paraId="48E7A036" w14:textId="1A6BD8C9" w:rsidR="001A1357" w:rsidRPr="00AA069D" w:rsidRDefault="001A1357" w:rsidP="004C1A68">
            <w:pPr>
              <w:spacing w:before="60" w:after="60"/>
            </w:pPr>
            <w:r w:rsidRPr="00AA069D">
              <w:rPr>
                <w:b/>
                <w:bCs/>
                <w:i/>
                <w:iCs/>
              </w:rPr>
              <w:t>Указание возможных трудностей</w:t>
            </w:r>
            <w:r w:rsidRPr="00AA069D">
              <w:t xml:space="preserve">: </w:t>
            </w:r>
            <w:r w:rsidR="00337504" w:rsidRPr="00AA069D">
              <w:t>Предлагаемые полосы используются другими службами</w:t>
            </w:r>
            <w:r w:rsidR="00CF1230">
              <w:t>.</w:t>
            </w:r>
          </w:p>
        </w:tc>
      </w:tr>
      <w:tr w:rsidR="001A1357" w:rsidRPr="00AA069D" w14:paraId="6FB39BC4" w14:textId="77777777" w:rsidTr="00234FD2">
        <w:tc>
          <w:tcPr>
            <w:tcW w:w="9639" w:type="dxa"/>
            <w:gridSpan w:val="2"/>
            <w:tcBorders>
              <w:top w:val="single" w:sz="4" w:space="0" w:color="auto"/>
              <w:left w:val="nil"/>
              <w:bottom w:val="single" w:sz="4" w:space="0" w:color="auto"/>
              <w:right w:val="nil"/>
            </w:tcBorders>
          </w:tcPr>
          <w:p w14:paraId="2BF84D20" w14:textId="36685702" w:rsidR="001A1357" w:rsidRPr="00AA069D" w:rsidRDefault="001A1357" w:rsidP="004C1A68">
            <w:pPr>
              <w:spacing w:before="60" w:after="60"/>
            </w:pPr>
            <w:r w:rsidRPr="00AA069D">
              <w:rPr>
                <w:b/>
                <w:bCs/>
                <w:i/>
                <w:iCs/>
              </w:rPr>
              <w:t>Ранее проведенные</w:t>
            </w:r>
            <w:r w:rsidRPr="00AA069D">
              <w:rPr>
                <w:b/>
                <w:bCs/>
              </w:rPr>
              <w:t>/</w:t>
            </w:r>
            <w:r w:rsidRPr="00AA069D">
              <w:rPr>
                <w:b/>
                <w:bCs/>
                <w:i/>
                <w:iCs/>
              </w:rPr>
              <w:t>текущие исследования по данному вопросу</w:t>
            </w:r>
            <w:r w:rsidRPr="00AA069D">
              <w:t xml:space="preserve">: </w:t>
            </w:r>
            <w:r w:rsidR="00337504" w:rsidRPr="00AA069D">
              <w:t>Соответствующие исследования уже начаты</w:t>
            </w:r>
            <w:r w:rsidR="004C1A68" w:rsidRPr="00AA069D">
              <w:t xml:space="preserve"> </w:t>
            </w:r>
            <w:r w:rsidR="005B237A" w:rsidRPr="00AA069D">
              <w:t>и в настоящее время проводятся в</w:t>
            </w:r>
            <w:r w:rsidR="004C1A68" w:rsidRPr="00AA069D">
              <w:t xml:space="preserve"> </w:t>
            </w:r>
            <w:r w:rsidR="005B237A" w:rsidRPr="00AA069D">
              <w:t>РГ 5D МСЭ</w:t>
            </w:r>
            <w:r w:rsidR="004C1A68" w:rsidRPr="00AA069D">
              <w:t>-R</w:t>
            </w:r>
            <w:r w:rsidR="00CF1230">
              <w:t>.</w:t>
            </w:r>
          </w:p>
        </w:tc>
      </w:tr>
      <w:tr w:rsidR="001A1357" w:rsidRPr="00AA069D" w14:paraId="11DBC45F" w14:textId="77777777" w:rsidTr="00234FD2">
        <w:tc>
          <w:tcPr>
            <w:tcW w:w="4819" w:type="dxa"/>
            <w:tcBorders>
              <w:top w:val="single" w:sz="4" w:space="0" w:color="auto"/>
              <w:left w:val="nil"/>
              <w:bottom w:val="single" w:sz="4" w:space="0" w:color="auto"/>
              <w:right w:val="single" w:sz="4" w:space="0" w:color="auto"/>
            </w:tcBorders>
          </w:tcPr>
          <w:p w14:paraId="586B918F" w14:textId="64F867C7" w:rsidR="001A1357" w:rsidRPr="00AA069D" w:rsidRDefault="001A1357" w:rsidP="004C1A68">
            <w:pPr>
              <w:spacing w:before="60" w:after="60"/>
            </w:pPr>
            <w:r w:rsidRPr="00AA069D">
              <w:rPr>
                <w:b/>
                <w:bCs/>
                <w:i/>
                <w:iCs/>
              </w:rPr>
              <w:t>Кем будут проводиться исследования</w:t>
            </w:r>
            <w:r w:rsidRPr="00AA069D">
              <w:t>: РГ 5</w:t>
            </w:r>
            <w:r w:rsidR="004C1A68" w:rsidRPr="00AA069D">
              <w:t>D МСЭ-R</w:t>
            </w:r>
          </w:p>
        </w:tc>
        <w:tc>
          <w:tcPr>
            <w:tcW w:w="4820" w:type="dxa"/>
            <w:tcBorders>
              <w:top w:val="single" w:sz="4" w:space="0" w:color="auto"/>
              <w:left w:val="single" w:sz="4" w:space="0" w:color="auto"/>
              <w:bottom w:val="single" w:sz="4" w:space="0" w:color="auto"/>
              <w:right w:val="nil"/>
            </w:tcBorders>
          </w:tcPr>
          <w:p w14:paraId="31BBEF65" w14:textId="77777777" w:rsidR="001A1357" w:rsidRPr="00AA069D" w:rsidRDefault="001A1357" w:rsidP="004C1A68">
            <w:pPr>
              <w:spacing w:before="60" w:after="60"/>
            </w:pPr>
            <w:r w:rsidRPr="00AA069D">
              <w:rPr>
                <w:b/>
                <w:bCs/>
                <w:i/>
                <w:iCs/>
              </w:rPr>
              <w:t>с участием</w:t>
            </w:r>
            <w:r w:rsidRPr="00AA069D">
              <w:t>: администраций и Членов Сектора МСЭ-R</w:t>
            </w:r>
          </w:p>
        </w:tc>
      </w:tr>
      <w:tr w:rsidR="001A1357" w:rsidRPr="00AA069D" w14:paraId="731E44F2" w14:textId="77777777" w:rsidTr="00234FD2">
        <w:tc>
          <w:tcPr>
            <w:tcW w:w="9639" w:type="dxa"/>
            <w:gridSpan w:val="2"/>
            <w:tcBorders>
              <w:top w:val="single" w:sz="4" w:space="0" w:color="auto"/>
              <w:left w:val="nil"/>
              <w:bottom w:val="single" w:sz="4" w:space="0" w:color="auto"/>
              <w:right w:val="nil"/>
            </w:tcBorders>
          </w:tcPr>
          <w:p w14:paraId="37091959" w14:textId="4C7F6115" w:rsidR="001A1357" w:rsidRPr="00AA069D" w:rsidRDefault="001A1357" w:rsidP="004C1A68">
            <w:pPr>
              <w:spacing w:before="60" w:after="60"/>
            </w:pPr>
            <w:r w:rsidRPr="00AA069D">
              <w:rPr>
                <w:b/>
                <w:bCs/>
                <w:i/>
                <w:iCs/>
              </w:rPr>
              <w:t>Затрагиваемые исследовательские комиссии МСЭ-R</w:t>
            </w:r>
            <w:r w:rsidRPr="00AA069D">
              <w:t>: ИК5</w:t>
            </w:r>
            <w:r w:rsidR="004C1A68" w:rsidRPr="00AA069D">
              <w:t xml:space="preserve"> и другие исследовательские комиссии</w:t>
            </w:r>
          </w:p>
        </w:tc>
      </w:tr>
      <w:tr w:rsidR="001A1357" w:rsidRPr="00AA069D" w14:paraId="3EAB1AD3" w14:textId="77777777" w:rsidTr="00234FD2">
        <w:tc>
          <w:tcPr>
            <w:tcW w:w="9639" w:type="dxa"/>
            <w:gridSpan w:val="2"/>
            <w:tcBorders>
              <w:top w:val="single" w:sz="4" w:space="0" w:color="auto"/>
              <w:left w:val="nil"/>
              <w:bottom w:val="single" w:sz="4" w:space="0" w:color="auto"/>
              <w:right w:val="nil"/>
            </w:tcBorders>
          </w:tcPr>
          <w:p w14:paraId="6B47DB0B" w14:textId="66AB4F42" w:rsidR="001A1357" w:rsidRPr="00AA069D" w:rsidRDefault="001A1357" w:rsidP="004C1A68">
            <w:pPr>
              <w:spacing w:before="60" w:after="60"/>
            </w:pPr>
            <w:r w:rsidRPr="00AA069D">
              <w:rPr>
                <w:b/>
                <w:bCs/>
                <w:i/>
                <w:iCs/>
              </w:rPr>
              <w:t>Влияние на ресурсы МСЭ, включая финансовые последствия (см. K126)</w:t>
            </w:r>
            <w:r w:rsidRPr="00AA069D">
              <w:t>: Исследования по данному предлагаемому пункту повестки дня будут проводиться в соответствии с обычными процедурами и запланированным бюджетом МСЭ-R.</w:t>
            </w:r>
            <w:r w:rsidR="004C1A68" w:rsidRPr="00AA069D">
              <w:t xml:space="preserve"> </w:t>
            </w:r>
            <w:r w:rsidR="005B237A" w:rsidRPr="00AA069D">
              <w:t>РГ 5D МСЭ</w:t>
            </w:r>
            <w:r w:rsidR="004C1A68" w:rsidRPr="00AA069D">
              <w:t>-R</w:t>
            </w:r>
            <w:r w:rsidR="005B237A" w:rsidRPr="00AA069D">
              <w:t xml:space="preserve">, как группа, ответственная за исследования по IMT, проводит собрания, как правило, три раза в год продолжительностью </w:t>
            </w:r>
            <w:r w:rsidR="00EE5233" w:rsidRPr="00AA069D">
              <w:t>по шесть</w:t>
            </w:r>
            <w:r w:rsidR="005B237A" w:rsidRPr="00AA069D">
              <w:t xml:space="preserve"> дней каждое</w:t>
            </w:r>
            <w:r w:rsidR="004C1A68" w:rsidRPr="00AA069D">
              <w:t>.</w:t>
            </w:r>
          </w:p>
        </w:tc>
      </w:tr>
      <w:tr w:rsidR="001A1357" w:rsidRPr="00AA069D" w14:paraId="1A8670BA" w14:textId="77777777" w:rsidTr="00234FD2">
        <w:tc>
          <w:tcPr>
            <w:tcW w:w="4819" w:type="dxa"/>
            <w:tcBorders>
              <w:top w:val="single" w:sz="4" w:space="0" w:color="auto"/>
              <w:left w:val="nil"/>
              <w:bottom w:val="single" w:sz="4" w:space="0" w:color="auto"/>
              <w:right w:val="nil"/>
            </w:tcBorders>
          </w:tcPr>
          <w:p w14:paraId="4530E4CC" w14:textId="22B63317" w:rsidR="001A1357" w:rsidRPr="00AA069D" w:rsidRDefault="001A1357" w:rsidP="004C1A68">
            <w:pPr>
              <w:spacing w:before="60" w:after="60"/>
            </w:pPr>
            <w:r w:rsidRPr="00AA069D">
              <w:rPr>
                <w:b/>
                <w:bCs/>
                <w:i/>
                <w:iCs/>
              </w:rPr>
              <w:t>Общее региональное предложение</w:t>
            </w:r>
            <w:r w:rsidRPr="00AA069D">
              <w:t>: Да</w:t>
            </w:r>
            <w:r w:rsidR="004C1A68" w:rsidRPr="00AA069D">
              <w:t>/нет</w:t>
            </w:r>
          </w:p>
        </w:tc>
        <w:tc>
          <w:tcPr>
            <w:tcW w:w="4820" w:type="dxa"/>
            <w:tcBorders>
              <w:top w:val="single" w:sz="4" w:space="0" w:color="auto"/>
              <w:left w:val="nil"/>
              <w:bottom w:val="single" w:sz="4" w:space="0" w:color="auto"/>
              <w:right w:val="nil"/>
            </w:tcBorders>
          </w:tcPr>
          <w:p w14:paraId="7FC63F45" w14:textId="042E244C" w:rsidR="001A1357" w:rsidRPr="00AA069D" w:rsidRDefault="001A1357" w:rsidP="004C1A68">
            <w:pPr>
              <w:spacing w:before="60" w:after="60"/>
            </w:pPr>
            <w:r w:rsidRPr="00AA069D">
              <w:rPr>
                <w:b/>
                <w:bCs/>
                <w:i/>
                <w:iCs/>
              </w:rPr>
              <w:t>Предложение группы стран</w:t>
            </w:r>
            <w:r w:rsidRPr="00AA069D">
              <w:t xml:space="preserve">: </w:t>
            </w:r>
            <w:r w:rsidR="004C1A68" w:rsidRPr="00AA069D">
              <w:t>Да/нет</w:t>
            </w:r>
          </w:p>
          <w:p w14:paraId="7376401C" w14:textId="77777777" w:rsidR="001A1357" w:rsidRPr="00AA069D" w:rsidRDefault="001A1357" w:rsidP="004C1A68">
            <w:pPr>
              <w:spacing w:before="60" w:after="60"/>
            </w:pPr>
            <w:r w:rsidRPr="00AA069D">
              <w:rPr>
                <w:b/>
                <w:bCs/>
                <w:i/>
                <w:iCs/>
              </w:rPr>
              <w:t>Количество стран</w:t>
            </w:r>
            <w:r w:rsidRPr="00AA069D">
              <w:t>:</w:t>
            </w:r>
          </w:p>
        </w:tc>
      </w:tr>
      <w:tr w:rsidR="001A1357" w:rsidRPr="00AA069D" w14:paraId="276B0087" w14:textId="77777777" w:rsidTr="00234FD2">
        <w:tc>
          <w:tcPr>
            <w:tcW w:w="9639" w:type="dxa"/>
            <w:gridSpan w:val="2"/>
            <w:tcBorders>
              <w:top w:val="single" w:sz="4" w:space="0" w:color="auto"/>
              <w:left w:val="nil"/>
              <w:bottom w:val="nil"/>
              <w:right w:val="nil"/>
            </w:tcBorders>
          </w:tcPr>
          <w:p w14:paraId="329F6178" w14:textId="3D0585C6" w:rsidR="001A1357" w:rsidRPr="00AA069D" w:rsidRDefault="001A1357" w:rsidP="004C1A68">
            <w:pPr>
              <w:spacing w:before="60" w:after="60"/>
            </w:pPr>
            <w:r w:rsidRPr="00AA069D">
              <w:rPr>
                <w:b/>
                <w:bCs/>
                <w:i/>
                <w:iCs/>
              </w:rPr>
              <w:t>Примечания</w:t>
            </w:r>
            <w:r w:rsidRPr="00AA069D">
              <w:t>:</w:t>
            </w:r>
          </w:p>
        </w:tc>
      </w:tr>
    </w:tbl>
    <w:p w14:paraId="00BE96CB" w14:textId="6C35493A" w:rsidR="004C1A68" w:rsidRPr="00AA069D" w:rsidRDefault="004C1A68" w:rsidP="00CF1230">
      <w:pPr>
        <w:spacing w:before="360"/>
        <w:jc w:val="center"/>
      </w:pPr>
      <w:r w:rsidRPr="00AA069D">
        <w:t>______________</w:t>
      </w:r>
    </w:p>
    <w:sectPr w:rsidR="004C1A68" w:rsidRPr="00AA069D">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F681" w14:textId="77777777" w:rsidR="00234FD2" w:rsidRDefault="00234FD2">
      <w:r>
        <w:separator/>
      </w:r>
    </w:p>
  </w:endnote>
  <w:endnote w:type="continuationSeparator" w:id="0">
    <w:p w14:paraId="76753610" w14:textId="77777777" w:rsidR="00234FD2" w:rsidRDefault="0023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441C" w14:textId="77777777" w:rsidR="00234FD2" w:rsidRDefault="00234FD2">
    <w:pPr>
      <w:framePr w:wrap="around" w:vAnchor="text" w:hAnchor="margin" w:xAlign="right" w:y="1"/>
    </w:pPr>
    <w:r>
      <w:fldChar w:fldCharType="begin"/>
    </w:r>
    <w:r>
      <w:instrText xml:space="preserve">PAGE  </w:instrText>
    </w:r>
    <w:r>
      <w:fldChar w:fldCharType="end"/>
    </w:r>
  </w:p>
  <w:p w14:paraId="358DC076" w14:textId="269139AD" w:rsidR="00234FD2" w:rsidRDefault="00234FD2">
    <w:pPr>
      <w:ind w:right="360"/>
      <w:rPr>
        <w:lang w:val="fr-FR"/>
      </w:rPr>
    </w:pPr>
    <w:r>
      <w:fldChar w:fldCharType="begin"/>
    </w:r>
    <w:r>
      <w:rPr>
        <w:lang w:val="fr-FR"/>
      </w:rPr>
      <w:instrText xml:space="preserve"> FILENAME \p  \* MERGEFORMAT </w:instrText>
    </w:r>
    <w:r>
      <w:fldChar w:fldCharType="separate"/>
    </w:r>
    <w:r w:rsidR="0091440D">
      <w:rPr>
        <w:noProof/>
        <w:lang w:val="fr-FR"/>
      </w:rPr>
      <w:t>P:\RUS\ITU-R\CONF-R\CMR19\000\011ADD24ADD14REV1R.docx</w:t>
    </w:r>
    <w:r>
      <w:fldChar w:fldCharType="end"/>
    </w:r>
    <w:r>
      <w:rPr>
        <w:lang w:val="fr-FR"/>
      </w:rPr>
      <w:tab/>
    </w:r>
    <w:r>
      <w:fldChar w:fldCharType="begin"/>
    </w:r>
    <w:r>
      <w:instrText xml:space="preserve"> SAVEDATE \@ DD.MM.YY </w:instrText>
    </w:r>
    <w:r>
      <w:fldChar w:fldCharType="separate"/>
    </w:r>
    <w:r w:rsidR="0091440D">
      <w:rPr>
        <w:noProof/>
      </w:rPr>
      <w:t>07.11.19</w:t>
    </w:r>
    <w:r>
      <w:fldChar w:fldCharType="end"/>
    </w:r>
    <w:r>
      <w:rPr>
        <w:lang w:val="fr-FR"/>
      </w:rPr>
      <w:tab/>
    </w:r>
    <w:r>
      <w:fldChar w:fldCharType="begin"/>
    </w:r>
    <w:r>
      <w:instrText xml:space="preserve"> PRINTDATE \@ DD.MM.YY </w:instrText>
    </w:r>
    <w:r>
      <w:fldChar w:fldCharType="separate"/>
    </w:r>
    <w:r w:rsidR="0091440D">
      <w:rPr>
        <w:noProof/>
      </w:rPr>
      <w:t>07.11.19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0192" w14:textId="3C7D25FC" w:rsidR="00234FD2" w:rsidRPr="00AA4D40" w:rsidRDefault="00234FD2" w:rsidP="00F33B22">
    <w:pPr>
      <w:pStyle w:val="Footer"/>
    </w:pPr>
    <w:r>
      <w:fldChar w:fldCharType="begin"/>
    </w:r>
    <w:r w:rsidRPr="00EE5746">
      <w:rPr>
        <w:lang w:val="en-US"/>
      </w:rPr>
      <w:instrText xml:space="preserve"> FILENAME \p  \* MERGEFORMAT </w:instrText>
    </w:r>
    <w:r>
      <w:fldChar w:fldCharType="separate"/>
    </w:r>
    <w:r w:rsidR="0091440D">
      <w:rPr>
        <w:lang w:val="en-US"/>
      </w:rPr>
      <w:t>P:\RUS\ITU-R\CONF-R\CMR19\000\011ADD24ADD14REV1R.docx</w:t>
    </w:r>
    <w:r>
      <w:fldChar w:fldCharType="end"/>
    </w:r>
    <w:r w:rsidRPr="00AA4D40">
      <w:t xml:space="preserve"> (</w:t>
    </w:r>
    <w:r w:rsidR="00B70D68">
      <w:t>463914</w:t>
    </w:r>
    <w:r w:rsidRPr="00AA4D4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5283" w14:textId="7D909B6F" w:rsidR="00234FD2" w:rsidRPr="00A16075" w:rsidRDefault="00234FD2" w:rsidP="00FB67E5">
    <w:pPr>
      <w:pStyle w:val="Footer"/>
    </w:pPr>
    <w:r>
      <w:fldChar w:fldCharType="begin"/>
    </w:r>
    <w:r w:rsidRPr="00EE5746">
      <w:rPr>
        <w:lang w:val="en-US"/>
      </w:rPr>
      <w:instrText xml:space="preserve"> FILENAME \p  \* MERGEFORMAT </w:instrText>
    </w:r>
    <w:r>
      <w:fldChar w:fldCharType="separate"/>
    </w:r>
    <w:r w:rsidR="0091440D">
      <w:rPr>
        <w:lang w:val="en-US"/>
      </w:rPr>
      <w:t>P:\RUS\ITU-R\CONF-R\CMR19\000\011ADD24ADD14REV1R.docx</w:t>
    </w:r>
    <w:r>
      <w:fldChar w:fldCharType="end"/>
    </w:r>
    <w:r w:rsidRPr="00AA4D40">
      <w:t xml:space="preserve"> (</w:t>
    </w:r>
    <w:r w:rsidR="00B70D68">
      <w:t>463914</w:t>
    </w:r>
    <w:r w:rsidR="00A16075" w:rsidRPr="00A1607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37B71" w14:textId="77777777" w:rsidR="00234FD2" w:rsidRDefault="00234FD2">
      <w:r>
        <w:rPr>
          <w:b/>
        </w:rPr>
        <w:t>_______________</w:t>
      </w:r>
    </w:p>
  </w:footnote>
  <w:footnote w:type="continuationSeparator" w:id="0">
    <w:p w14:paraId="7E3276C7" w14:textId="77777777" w:rsidR="00234FD2" w:rsidRDefault="0023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43AC" w14:textId="77777777" w:rsidR="00234FD2" w:rsidRPr="00434A7C" w:rsidRDefault="00234FD2" w:rsidP="00DE2EBA">
    <w:pPr>
      <w:pStyle w:val="Header"/>
      <w:rPr>
        <w:lang w:val="en-US"/>
      </w:rPr>
    </w:pPr>
    <w:r>
      <w:fldChar w:fldCharType="begin"/>
    </w:r>
    <w:r>
      <w:instrText xml:space="preserve"> PAGE </w:instrText>
    </w:r>
    <w:r>
      <w:fldChar w:fldCharType="separate"/>
    </w:r>
    <w:r>
      <w:rPr>
        <w:noProof/>
      </w:rPr>
      <w:t>2</w:t>
    </w:r>
    <w:r>
      <w:fldChar w:fldCharType="end"/>
    </w:r>
  </w:p>
  <w:p w14:paraId="0F24E2B9" w14:textId="414DC05E" w:rsidR="00234FD2" w:rsidRDefault="00234FD2" w:rsidP="00F65316">
    <w:pPr>
      <w:pStyle w:val="Header"/>
      <w:rPr>
        <w:lang w:val="en-US"/>
      </w:rPr>
    </w:pPr>
    <w:r>
      <w:t>CMR</w:t>
    </w:r>
    <w:r>
      <w:rPr>
        <w:lang w:val="en-US"/>
      </w:rPr>
      <w:t>19</w:t>
    </w:r>
    <w:r>
      <w:t>/11(Add.24)(Add.14)</w:t>
    </w:r>
    <w:r w:rsidR="00B70D68">
      <w:rPr>
        <w:lang w:val="ru-RU"/>
      </w:rPr>
      <w:t>(</w:t>
    </w:r>
    <w:r w:rsidR="00B70D68">
      <w:t>Rev.1)</w:t>
    </w:r>
    <w:r>
      <w:t>-</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17DCE"/>
    <w:rsid w:val="000260F1"/>
    <w:rsid w:val="0003535B"/>
    <w:rsid w:val="00087A7D"/>
    <w:rsid w:val="000A0EF3"/>
    <w:rsid w:val="000C3F55"/>
    <w:rsid w:val="000F33D8"/>
    <w:rsid w:val="000F39B4"/>
    <w:rsid w:val="00106531"/>
    <w:rsid w:val="00113D0B"/>
    <w:rsid w:val="001226EC"/>
    <w:rsid w:val="00123B68"/>
    <w:rsid w:val="00124C09"/>
    <w:rsid w:val="00126F2E"/>
    <w:rsid w:val="00147921"/>
    <w:rsid w:val="001521AE"/>
    <w:rsid w:val="00184D59"/>
    <w:rsid w:val="001A1357"/>
    <w:rsid w:val="001A3D7F"/>
    <w:rsid w:val="001A5585"/>
    <w:rsid w:val="001A7DD0"/>
    <w:rsid w:val="001E5FB4"/>
    <w:rsid w:val="00202CA0"/>
    <w:rsid w:val="00230582"/>
    <w:rsid w:val="00234FD2"/>
    <w:rsid w:val="002449AA"/>
    <w:rsid w:val="00245A1F"/>
    <w:rsid w:val="002761D8"/>
    <w:rsid w:val="00290C74"/>
    <w:rsid w:val="002A2D3F"/>
    <w:rsid w:val="002C3FA1"/>
    <w:rsid w:val="00300F84"/>
    <w:rsid w:val="003258F2"/>
    <w:rsid w:val="00337504"/>
    <w:rsid w:val="00341358"/>
    <w:rsid w:val="00344EB8"/>
    <w:rsid w:val="00346BEC"/>
    <w:rsid w:val="00371E4B"/>
    <w:rsid w:val="00372A0E"/>
    <w:rsid w:val="003C19E6"/>
    <w:rsid w:val="003C583C"/>
    <w:rsid w:val="003F0078"/>
    <w:rsid w:val="003F3B45"/>
    <w:rsid w:val="00400066"/>
    <w:rsid w:val="00401E23"/>
    <w:rsid w:val="00434A7C"/>
    <w:rsid w:val="0045143A"/>
    <w:rsid w:val="004A33C2"/>
    <w:rsid w:val="004A58F4"/>
    <w:rsid w:val="004B716F"/>
    <w:rsid w:val="004C1369"/>
    <w:rsid w:val="004C1A68"/>
    <w:rsid w:val="004C47ED"/>
    <w:rsid w:val="004F3B0D"/>
    <w:rsid w:val="004F4BB7"/>
    <w:rsid w:val="0051315E"/>
    <w:rsid w:val="005144A9"/>
    <w:rsid w:val="00514E1F"/>
    <w:rsid w:val="005201E6"/>
    <w:rsid w:val="00521B1D"/>
    <w:rsid w:val="005305D5"/>
    <w:rsid w:val="00530D97"/>
    <w:rsid w:val="00532FD8"/>
    <w:rsid w:val="00540D1E"/>
    <w:rsid w:val="00541F71"/>
    <w:rsid w:val="005651C9"/>
    <w:rsid w:val="00567276"/>
    <w:rsid w:val="005755E2"/>
    <w:rsid w:val="00575F53"/>
    <w:rsid w:val="00597005"/>
    <w:rsid w:val="005A295E"/>
    <w:rsid w:val="005B237A"/>
    <w:rsid w:val="005D1879"/>
    <w:rsid w:val="005D79A3"/>
    <w:rsid w:val="005E61DD"/>
    <w:rsid w:val="006023DF"/>
    <w:rsid w:val="006115BE"/>
    <w:rsid w:val="00614771"/>
    <w:rsid w:val="00620DD7"/>
    <w:rsid w:val="00657DE0"/>
    <w:rsid w:val="00692C06"/>
    <w:rsid w:val="00697716"/>
    <w:rsid w:val="006A6E9B"/>
    <w:rsid w:val="006B575A"/>
    <w:rsid w:val="00736C06"/>
    <w:rsid w:val="00763F4F"/>
    <w:rsid w:val="00775720"/>
    <w:rsid w:val="00776EF9"/>
    <w:rsid w:val="007917AE"/>
    <w:rsid w:val="007A08B5"/>
    <w:rsid w:val="007D3BFE"/>
    <w:rsid w:val="007F25F5"/>
    <w:rsid w:val="00802D82"/>
    <w:rsid w:val="00811633"/>
    <w:rsid w:val="00812452"/>
    <w:rsid w:val="00815749"/>
    <w:rsid w:val="0085235D"/>
    <w:rsid w:val="00872FC8"/>
    <w:rsid w:val="008B43F2"/>
    <w:rsid w:val="008C3257"/>
    <w:rsid w:val="008C3DA3"/>
    <w:rsid w:val="008C401C"/>
    <w:rsid w:val="008D094E"/>
    <w:rsid w:val="009119CC"/>
    <w:rsid w:val="0091440D"/>
    <w:rsid w:val="00917C0A"/>
    <w:rsid w:val="00941A02"/>
    <w:rsid w:val="00966C93"/>
    <w:rsid w:val="00987FA4"/>
    <w:rsid w:val="009B5CC2"/>
    <w:rsid w:val="009D3D63"/>
    <w:rsid w:val="009E5FC8"/>
    <w:rsid w:val="00A117A3"/>
    <w:rsid w:val="00A138D0"/>
    <w:rsid w:val="00A141AF"/>
    <w:rsid w:val="00A16075"/>
    <w:rsid w:val="00A2044F"/>
    <w:rsid w:val="00A4600A"/>
    <w:rsid w:val="00A57C04"/>
    <w:rsid w:val="00A61057"/>
    <w:rsid w:val="00A61AB2"/>
    <w:rsid w:val="00A710E7"/>
    <w:rsid w:val="00A81026"/>
    <w:rsid w:val="00A97EC0"/>
    <w:rsid w:val="00AA069D"/>
    <w:rsid w:val="00AA4D40"/>
    <w:rsid w:val="00AC66E6"/>
    <w:rsid w:val="00AF5686"/>
    <w:rsid w:val="00B24E60"/>
    <w:rsid w:val="00B35BAD"/>
    <w:rsid w:val="00B468A6"/>
    <w:rsid w:val="00B70D68"/>
    <w:rsid w:val="00B732C7"/>
    <w:rsid w:val="00B75113"/>
    <w:rsid w:val="00BA13A4"/>
    <w:rsid w:val="00BA1AA1"/>
    <w:rsid w:val="00BA35DC"/>
    <w:rsid w:val="00BC5313"/>
    <w:rsid w:val="00BD0D2F"/>
    <w:rsid w:val="00BD1129"/>
    <w:rsid w:val="00C0572C"/>
    <w:rsid w:val="00C20466"/>
    <w:rsid w:val="00C266F4"/>
    <w:rsid w:val="00C324A8"/>
    <w:rsid w:val="00C56E7A"/>
    <w:rsid w:val="00C779CE"/>
    <w:rsid w:val="00C916AF"/>
    <w:rsid w:val="00CC47C6"/>
    <w:rsid w:val="00CC4DE6"/>
    <w:rsid w:val="00CD3F3C"/>
    <w:rsid w:val="00CE5E47"/>
    <w:rsid w:val="00CF020F"/>
    <w:rsid w:val="00CF1230"/>
    <w:rsid w:val="00D13F84"/>
    <w:rsid w:val="00D53715"/>
    <w:rsid w:val="00D94288"/>
    <w:rsid w:val="00DE2EBA"/>
    <w:rsid w:val="00E1788E"/>
    <w:rsid w:val="00E2253F"/>
    <w:rsid w:val="00E43E99"/>
    <w:rsid w:val="00E5155F"/>
    <w:rsid w:val="00E65919"/>
    <w:rsid w:val="00E74F13"/>
    <w:rsid w:val="00E976C1"/>
    <w:rsid w:val="00EA0C0C"/>
    <w:rsid w:val="00EB66F7"/>
    <w:rsid w:val="00EE5233"/>
    <w:rsid w:val="00EE5746"/>
    <w:rsid w:val="00F1578A"/>
    <w:rsid w:val="00F21A03"/>
    <w:rsid w:val="00F33B22"/>
    <w:rsid w:val="00F65316"/>
    <w:rsid w:val="00F65C19"/>
    <w:rsid w:val="00F761D2"/>
    <w:rsid w:val="00F957C5"/>
    <w:rsid w:val="00F97203"/>
    <w:rsid w:val="00FB67E5"/>
    <w:rsid w:val="00FC63FD"/>
    <w:rsid w:val="00FD18DB"/>
    <w:rsid w:val="00FD51E3"/>
    <w:rsid w:val="00FE344F"/>
    <w:rsid w:val="00FF7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D36E9"/>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 + (Asian) Si...,Footnote Reference/,Footnote symbol,Style 12,(NECG) Footnote Reference,Style 124,o,fr,Style 13,FR,Style 17,Appel note de bas de p + 11 pt,Italic,Appel note de bas de p1"/>
    <w:basedOn w:val="DefaultParagraphFont"/>
    <w:rsid w:val="00941A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941A02"/>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R16-WRC19-C-0011!A24-A14!MSW-R</DPM_x0020_File_x0020_name>
    <DPM_x0020_Author xmlns="32a1a8c5-2265-4ebc-b7a0-2071e2c5c9bb" xsi:nil="false">DPM</DPM_x0020_Author>
    <DPM_x0020_Version xmlns="32a1a8c5-2265-4ebc-b7a0-2071e2c5c9bb" xsi:nil="false">DPM_2019.08.19.01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FF35FB-41C6-47AD-8CB9-51D438F7DE5F}">
  <ds:schemaRefs>
    <ds:schemaRef ds:uri="http://schemas.microsoft.com/sharepoint/v3/contenttype/forms"/>
  </ds:schemaRefs>
</ds:datastoreItem>
</file>

<file path=customXml/itemProps2.xml><?xml version="1.0" encoding="utf-8"?>
<ds:datastoreItem xmlns:ds="http://schemas.openxmlformats.org/officeDocument/2006/customXml" ds:itemID="{0939546C-1B8B-4534-ADFA-A5AB66AD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FC61C-08D2-432F-A10C-2DBE9283DD28}">
  <ds:schemaRef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47F6943-1891-4857-A83B-8FC484A26E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1416</Words>
  <Characters>9756</Characters>
  <Application>Microsoft Office Word</Application>
  <DocSecurity>0</DocSecurity>
  <Lines>187</Lines>
  <Paragraphs>75</Paragraphs>
  <ScaleCrop>false</ScaleCrop>
  <HeadingPairs>
    <vt:vector size="2" baseType="variant">
      <vt:variant>
        <vt:lpstr>Title</vt:lpstr>
      </vt:variant>
      <vt:variant>
        <vt:i4>1</vt:i4>
      </vt:variant>
    </vt:vector>
  </HeadingPairs>
  <TitlesOfParts>
    <vt:vector size="1" baseType="lpstr">
      <vt:lpstr>R16-WRC19-C-0011!A24-A14!MSW-R</vt:lpstr>
    </vt:vector>
  </TitlesOfParts>
  <Manager>General Secretariat - Pool</Manager>
  <Company>International Telecommunication Union (ITU)</Company>
  <LinksUpToDate>false</LinksUpToDate>
  <CharactersWithSpaces>11111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R16-WRC19-C-0011!A24-A14!MSW-R</dc:title>
  <dc:subject>World Radiocommunication Conference - 2019</dc:subject>
  <dc:creator>Documents Proposals Manager (DPM)</dc:creator>
  <cp:keywords>DPM_v2019.9.20.1_prod</cp:keywords>
  <dc:description/>
  <cp:lastModifiedBy>Russian</cp:lastModifiedBy>
  <cp:revision>10</cp:revision>
  <cp:lastPrinted>2019-11-07T20:49:00Z</cp:lastPrinted>
  <dcterms:created xsi:type="dcterms:W3CDTF">2019-11-07T18:32:00Z</dcterms:created>
  <dcterms:modified xsi:type="dcterms:W3CDTF">2019-11-07T20:49:00Z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