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BB1D82" w:rsidRPr="00431A54" w14:paraId="6D646932" w14:textId="77777777" w:rsidTr="009B5C9B">
        <w:trPr>
          <w:cantSplit/>
        </w:trPr>
        <w:tc>
          <w:tcPr>
            <w:tcW w:w="6804" w:type="dxa"/>
          </w:tcPr>
          <w:p w14:paraId="6926A2A1" w14:textId="77777777" w:rsidR="00BB1D82" w:rsidRPr="00431A54" w:rsidRDefault="00851625" w:rsidP="009A664E">
            <w:pPr>
              <w:spacing w:before="400" w:after="48"/>
              <w:rPr>
                <w:rFonts w:ascii="Verdana" w:hAnsi="Verdana"/>
                <w:b/>
                <w:bCs/>
                <w:sz w:val="20"/>
              </w:rPr>
            </w:pPr>
            <w:r w:rsidRPr="00431A54">
              <w:rPr>
                <w:rFonts w:ascii="Verdana" w:hAnsi="Verdana"/>
                <w:b/>
                <w:bCs/>
                <w:sz w:val="20"/>
              </w:rPr>
              <w:t>Conférence mondiale des radiocommunications (CMR-1</w:t>
            </w:r>
            <w:r w:rsidR="00FD7AA3" w:rsidRPr="00431A54">
              <w:rPr>
                <w:rFonts w:ascii="Verdana" w:hAnsi="Verdana"/>
                <w:b/>
                <w:bCs/>
                <w:sz w:val="20"/>
              </w:rPr>
              <w:t>9</w:t>
            </w:r>
            <w:r w:rsidRPr="00431A54">
              <w:rPr>
                <w:rFonts w:ascii="Verdana" w:hAnsi="Verdana"/>
                <w:b/>
                <w:bCs/>
                <w:sz w:val="20"/>
              </w:rPr>
              <w:t>)</w:t>
            </w:r>
            <w:r w:rsidRPr="00431A54">
              <w:rPr>
                <w:rFonts w:ascii="Verdana" w:hAnsi="Verdana"/>
                <w:b/>
                <w:bCs/>
                <w:sz w:val="20"/>
              </w:rPr>
              <w:br/>
            </w:r>
            <w:r w:rsidR="00063A1F" w:rsidRPr="00431A54">
              <w:rPr>
                <w:rFonts w:ascii="Verdana" w:hAnsi="Verdana"/>
                <w:b/>
                <w:bCs/>
                <w:sz w:val="18"/>
                <w:szCs w:val="18"/>
              </w:rPr>
              <w:t xml:space="preserve">Charm el-Cheikh, </w:t>
            </w:r>
            <w:r w:rsidR="00081366" w:rsidRPr="00431A54">
              <w:rPr>
                <w:rFonts w:ascii="Verdana" w:hAnsi="Verdana"/>
                <w:b/>
                <w:bCs/>
                <w:sz w:val="18"/>
                <w:szCs w:val="18"/>
              </w:rPr>
              <w:t>É</w:t>
            </w:r>
            <w:r w:rsidR="00063A1F" w:rsidRPr="00431A54">
              <w:rPr>
                <w:rFonts w:ascii="Verdana" w:hAnsi="Verdana"/>
                <w:b/>
                <w:bCs/>
                <w:sz w:val="18"/>
                <w:szCs w:val="18"/>
              </w:rPr>
              <w:t>gypte</w:t>
            </w:r>
            <w:r w:rsidRPr="00431A54">
              <w:rPr>
                <w:rFonts w:ascii="Verdana" w:hAnsi="Verdana"/>
                <w:b/>
                <w:bCs/>
                <w:sz w:val="18"/>
                <w:szCs w:val="18"/>
              </w:rPr>
              <w:t>,</w:t>
            </w:r>
            <w:r w:rsidR="00E537FF" w:rsidRPr="00431A54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431A54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D7AA3" w:rsidRPr="00431A54">
              <w:rPr>
                <w:rFonts w:ascii="Verdana" w:hAnsi="Verdana"/>
                <w:b/>
                <w:bCs/>
                <w:sz w:val="18"/>
                <w:szCs w:val="18"/>
              </w:rPr>
              <w:t xml:space="preserve">8 octobre </w:t>
            </w:r>
            <w:r w:rsidR="00F10064" w:rsidRPr="00431A54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FD7AA3" w:rsidRPr="00431A54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431A54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D7AA3" w:rsidRPr="00431A54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431A54">
              <w:rPr>
                <w:rFonts w:ascii="Verdana" w:hAnsi="Verdana"/>
                <w:b/>
                <w:bCs/>
                <w:sz w:val="18"/>
                <w:szCs w:val="18"/>
              </w:rPr>
              <w:t xml:space="preserve"> novembre 201</w:t>
            </w:r>
            <w:r w:rsidR="00FD7AA3" w:rsidRPr="00431A54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227" w:type="dxa"/>
          </w:tcPr>
          <w:p w14:paraId="0A39FB25" w14:textId="77777777" w:rsidR="00BB1D82" w:rsidRPr="00431A54" w:rsidRDefault="000A55AE" w:rsidP="009A664E">
            <w:pPr>
              <w:spacing w:before="0"/>
              <w:jc w:val="right"/>
            </w:pPr>
            <w:bookmarkStart w:id="0" w:name="ditulogo"/>
            <w:bookmarkEnd w:id="0"/>
            <w:r w:rsidRPr="00431A54">
              <w:rPr>
                <w:rFonts w:ascii="Verdana" w:hAnsi="Verdana"/>
                <w:b/>
                <w:bCs/>
                <w:lang w:eastAsia="zh-CN"/>
              </w:rPr>
              <w:drawing>
                <wp:inline distT="0" distB="0" distL="0" distR="0" wp14:anchorId="67CC2F96" wp14:editId="1F4A7D70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431A54" w14:paraId="3BEF1C49" w14:textId="77777777" w:rsidTr="009B5C9B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40248A31" w14:textId="77777777" w:rsidR="00BB1D82" w:rsidRPr="00431A54" w:rsidRDefault="00BB1D82" w:rsidP="009A664E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54D64A59" w14:textId="77777777" w:rsidR="00BB1D82" w:rsidRPr="00431A54" w:rsidRDefault="00BB1D82" w:rsidP="009A664E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BB1D82" w:rsidRPr="00431A54" w14:paraId="0F8D41D6" w14:textId="77777777" w:rsidTr="009B5C9B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5F1D0232" w14:textId="77777777" w:rsidR="00BB1D82" w:rsidRPr="00431A54" w:rsidRDefault="00BB1D82" w:rsidP="009A664E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76EA24A8" w14:textId="77777777" w:rsidR="00BB1D82" w:rsidRPr="00431A54" w:rsidRDefault="00BB1D82" w:rsidP="009A664E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BB1D82" w:rsidRPr="00431A54" w14:paraId="1C034D4A" w14:textId="77777777" w:rsidTr="009B5C9B">
        <w:trPr>
          <w:cantSplit/>
        </w:trPr>
        <w:tc>
          <w:tcPr>
            <w:tcW w:w="6804" w:type="dxa"/>
          </w:tcPr>
          <w:p w14:paraId="39236B83" w14:textId="77777777" w:rsidR="00BB1D82" w:rsidRPr="00431A54" w:rsidRDefault="006D4724" w:rsidP="009A664E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431A54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227" w:type="dxa"/>
          </w:tcPr>
          <w:p w14:paraId="1EE03FFB" w14:textId="3661E25C" w:rsidR="00BB1D82" w:rsidRPr="00431A54" w:rsidRDefault="003A7E8A" w:rsidP="009A664E">
            <w:pPr>
              <w:spacing w:before="0"/>
              <w:rPr>
                <w:rFonts w:ascii="Verdana" w:hAnsi="Verdana"/>
                <w:sz w:val="20"/>
              </w:rPr>
            </w:pPr>
            <w:r w:rsidRPr="00431A54">
              <w:rPr>
                <w:rFonts w:ascii="Verdana" w:hAnsi="Verdana"/>
                <w:b/>
                <w:sz w:val="20"/>
              </w:rPr>
              <w:t xml:space="preserve">Révision 1 </w:t>
            </w:r>
            <w:r w:rsidR="009A664E" w:rsidRPr="00431A54">
              <w:rPr>
                <w:rFonts w:ascii="Verdana" w:hAnsi="Verdana"/>
                <w:b/>
                <w:sz w:val="20"/>
              </w:rPr>
              <w:t>du</w:t>
            </w:r>
            <w:r w:rsidR="006D4724" w:rsidRPr="00431A54">
              <w:rPr>
                <w:rFonts w:ascii="Verdana" w:hAnsi="Verdana"/>
                <w:b/>
                <w:sz w:val="20"/>
              </w:rPr>
              <w:br/>
              <w:t>Document 11</w:t>
            </w:r>
            <w:r w:rsidR="009A664E" w:rsidRPr="00431A54">
              <w:rPr>
                <w:rFonts w:ascii="Verdana" w:hAnsi="Verdana"/>
                <w:b/>
                <w:sz w:val="20"/>
              </w:rPr>
              <w:t xml:space="preserve"> </w:t>
            </w:r>
            <w:r w:rsidR="006D4724" w:rsidRPr="00431A54">
              <w:rPr>
                <w:rFonts w:ascii="Verdana" w:hAnsi="Verdana"/>
                <w:b/>
                <w:sz w:val="20"/>
              </w:rPr>
              <w:t>(Add.24)</w:t>
            </w:r>
            <w:r w:rsidR="009A664E" w:rsidRPr="00431A54">
              <w:rPr>
                <w:rFonts w:ascii="Verdana" w:hAnsi="Verdana"/>
                <w:b/>
                <w:sz w:val="20"/>
              </w:rPr>
              <w:t>(Add.14)</w:t>
            </w:r>
            <w:r w:rsidR="00BB1D82" w:rsidRPr="00431A54">
              <w:rPr>
                <w:rFonts w:ascii="Verdana" w:hAnsi="Verdana"/>
                <w:b/>
                <w:sz w:val="20"/>
              </w:rPr>
              <w:t>-</w:t>
            </w:r>
            <w:r w:rsidR="006D4724" w:rsidRPr="00431A54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1"/>
      <w:tr w:rsidR="00690C7B" w:rsidRPr="00431A54" w14:paraId="4AD76B3F" w14:textId="77777777" w:rsidTr="009B5C9B">
        <w:trPr>
          <w:cantSplit/>
        </w:trPr>
        <w:tc>
          <w:tcPr>
            <w:tcW w:w="6804" w:type="dxa"/>
          </w:tcPr>
          <w:p w14:paraId="45B8BFD6" w14:textId="209C096C" w:rsidR="00690C7B" w:rsidRPr="00431A54" w:rsidRDefault="00690C7B" w:rsidP="009A664E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227" w:type="dxa"/>
          </w:tcPr>
          <w:p w14:paraId="5BA4582C" w14:textId="4432DC72" w:rsidR="00690C7B" w:rsidRPr="00431A54" w:rsidRDefault="00B3592B" w:rsidP="009A664E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431A54">
              <w:rPr>
                <w:rFonts w:ascii="Verdana" w:hAnsi="Verdana"/>
                <w:b/>
                <w:sz w:val="20"/>
              </w:rPr>
              <w:t>7</w:t>
            </w:r>
            <w:r w:rsidR="00690C7B" w:rsidRPr="00431A54">
              <w:rPr>
                <w:rFonts w:ascii="Verdana" w:hAnsi="Verdana"/>
                <w:b/>
                <w:sz w:val="20"/>
              </w:rPr>
              <w:t xml:space="preserve"> </w:t>
            </w:r>
            <w:r w:rsidRPr="00431A54">
              <w:rPr>
                <w:rFonts w:ascii="Verdana" w:hAnsi="Verdana"/>
                <w:b/>
                <w:sz w:val="20"/>
              </w:rPr>
              <w:t>nov</w:t>
            </w:r>
            <w:r w:rsidR="00690C7B" w:rsidRPr="00431A54">
              <w:rPr>
                <w:rFonts w:ascii="Verdana" w:hAnsi="Verdana"/>
                <w:b/>
                <w:sz w:val="20"/>
              </w:rPr>
              <w:t>embre 2019</w:t>
            </w:r>
          </w:p>
        </w:tc>
      </w:tr>
      <w:tr w:rsidR="00690C7B" w:rsidRPr="00431A54" w14:paraId="72A21892" w14:textId="77777777" w:rsidTr="009B5C9B">
        <w:trPr>
          <w:cantSplit/>
        </w:trPr>
        <w:tc>
          <w:tcPr>
            <w:tcW w:w="6804" w:type="dxa"/>
          </w:tcPr>
          <w:p w14:paraId="453A32DE" w14:textId="77777777" w:rsidR="00690C7B" w:rsidRPr="00431A54" w:rsidRDefault="00690C7B" w:rsidP="009A664E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14:paraId="64BE4676" w14:textId="1812AAE4" w:rsidR="00690C7B" w:rsidRPr="00431A54" w:rsidRDefault="00690C7B" w:rsidP="009A664E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431A54">
              <w:rPr>
                <w:rFonts w:ascii="Verdana" w:hAnsi="Verdana"/>
                <w:b/>
                <w:sz w:val="20"/>
              </w:rPr>
              <w:t>Original: anglais</w:t>
            </w:r>
            <w:r w:rsidR="00C678EB" w:rsidRPr="00431A54">
              <w:rPr>
                <w:rFonts w:ascii="Verdana" w:hAnsi="Verdana"/>
                <w:b/>
                <w:sz w:val="20"/>
              </w:rPr>
              <w:t>/</w:t>
            </w:r>
            <w:r w:rsidR="00377413" w:rsidRPr="00431A54">
              <w:rPr>
                <w:rFonts w:ascii="Verdana" w:hAnsi="Verdana"/>
                <w:b/>
                <w:sz w:val="20"/>
              </w:rPr>
              <w:t>espagnol</w:t>
            </w:r>
          </w:p>
        </w:tc>
      </w:tr>
      <w:tr w:rsidR="00690C7B" w:rsidRPr="00431A54" w14:paraId="3880D8B8" w14:textId="77777777" w:rsidTr="00C11970">
        <w:trPr>
          <w:cantSplit/>
        </w:trPr>
        <w:tc>
          <w:tcPr>
            <w:tcW w:w="10031" w:type="dxa"/>
            <w:gridSpan w:val="2"/>
          </w:tcPr>
          <w:p w14:paraId="4F9594F8" w14:textId="77777777" w:rsidR="00690C7B" w:rsidRPr="00431A54" w:rsidRDefault="00690C7B" w:rsidP="009A664E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431A54" w14:paraId="1A7AA20A" w14:textId="77777777" w:rsidTr="0050008E">
        <w:trPr>
          <w:cantSplit/>
        </w:trPr>
        <w:tc>
          <w:tcPr>
            <w:tcW w:w="10031" w:type="dxa"/>
            <w:gridSpan w:val="2"/>
          </w:tcPr>
          <w:p w14:paraId="4206D087" w14:textId="77777777" w:rsidR="00690C7B" w:rsidRPr="00431A54" w:rsidRDefault="00690C7B" w:rsidP="009A664E">
            <w:pPr>
              <w:pStyle w:val="Source"/>
            </w:pPr>
            <w:bookmarkStart w:id="2" w:name="dsource" w:colFirst="0" w:colLast="0"/>
            <w:r w:rsidRPr="00431A54">
              <w:t>États Membres de la Commission interaméricaine des télécommunications (CITEL)</w:t>
            </w:r>
          </w:p>
        </w:tc>
      </w:tr>
      <w:tr w:rsidR="00690C7B" w:rsidRPr="00431A54" w14:paraId="3C052479" w14:textId="77777777" w:rsidTr="0050008E">
        <w:trPr>
          <w:cantSplit/>
        </w:trPr>
        <w:tc>
          <w:tcPr>
            <w:tcW w:w="10031" w:type="dxa"/>
            <w:gridSpan w:val="2"/>
          </w:tcPr>
          <w:p w14:paraId="6DA708AF" w14:textId="0A8F6472" w:rsidR="00690C7B" w:rsidRPr="00431A54" w:rsidRDefault="00C678EB" w:rsidP="009A664E">
            <w:pPr>
              <w:pStyle w:val="Title1"/>
            </w:pPr>
            <w:bookmarkStart w:id="3" w:name="dtitle1" w:colFirst="0" w:colLast="0"/>
            <w:bookmarkEnd w:id="2"/>
            <w:r w:rsidRPr="00431A54">
              <w:t>PROPOSITIONS POUR LES TRAVAUX DE LA CONFÉRENCE</w:t>
            </w:r>
          </w:p>
        </w:tc>
      </w:tr>
      <w:tr w:rsidR="00690C7B" w:rsidRPr="00431A54" w14:paraId="582EC10E" w14:textId="77777777" w:rsidTr="0050008E">
        <w:trPr>
          <w:cantSplit/>
        </w:trPr>
        <w:tc>
          <w:tcPr>
            <w:tcW w:w="10031" w:type="dxa"/>
            <w:gridSpan w:val="2"/>
          </w:tcPr>
          <w:p w14:paraId="2C551C63" w14:textId="77777777" w:rsidR="00690C7B" w:rsidRPr="00431A54" w:rsidRDefault="00690C7B" w:rsidP="009A664E">
            <w:pPr>
              <w:pStyle w:val="Title2"/>
            </w:pPr>
            <w:bookmarkStart w:id="4" w:name="dtitle2" w:colFirst="0" w:colLast="0"/>
            <w:bookmarkEnd w:id="3"/>
          </w:p>
        </w:tc>
      </w:tr>
      <w:tr w:rsidR="00690C7B" w:rsidRPr="00431A54" w14:paraId="67668CA6" w14:textId="77777777" w:rsidTr="0050008E">
        <w:trPr>
          <w:cantSplit/>
        </w:trPr>
        <w:tc>
          <w:tcPr>
            <w:tcW w:w="10031" w:type="dxa"/>
            <w:gridSpan w:val="2"/>
          </w:tcPr>
          <w:p w14:paraId="14B10DAE" w14:textId="6ABB456C" w:rsidR="00690C7B" w:rsidRPr="00431A54" w:rsidRDefault="00690C7B" w:rsidP="009A664E">
            <w:pPr>
              <w:pStyle w:val="Agendaitem"/>
              <w:rPr>
                <w:lang w:val="fr-FR"/>
              </w:rPr>
            </w:pPr>
            <w:bookmarkStart w:id="5" w:name="dtitle3" w:colFirst="0" w:colLast="0"/>
            <w:bookmarkEnd w:id="4"/>
            <w:r w:rsidRPr="00431A54">
              <w:rPr>
                <w:lang w:val="fr-FR"/>
              </w:rPr>
              <w:t>Point 10 de l</w:t>
            </w:r>
            <w:r w:rsidR="00BD27FA" w:rsidRPr="00431A54">
              <w:rPr>
                <w:lang w:val="fr-FR"/>
              </w:rPr>
              <w:t>'</w:t>
            </w:r>
            <w:r w:rsidRPr="00431A54">
              <w:rPr>
                <w:lang w:val="fr-FR"/>
              </w:rPr>
              <w:t>ordre du jour</w:t>
            </w:r>
          </w:p>
        </w:tc>
      </w:tr>
    </w:tbl>
    <w:bookmarkEnd w:id="5"/>
    <w:p w14:paraId="27916D1E" w14:textId="3F4002A4" w:rsidR="001C0E40" w:rsidRPr="00431A54" w:rsidRDefault="000D1545" w:rsidP="009A664E">
      <w:r w:rsidRPr="00431A54">
        <w:t>10</w:t>
      </w:r>
      <w:r w:rsidRPr="00431A54">
        <w:tab/>
        <w:t>recommander au Conseil des points à inscrire à l</w:t>
      </w:r>
      <w:r w:rsidR="00BD27FA" w:rsidRPr="00431A54">
        <w:t>'</w:t>
      </w:r>
      <w:r w:rsidRPr="00431A54">
        <w:t>ordre du jour de la CMR suivante et exposer ses vues sur l</w:t>
      </w:r>
      <w:r w:rsidR="00BD27FA" w:rsidRPr="00431A54">
        <w:t>'</w:t>
      </w:r>
      <w:r w:rsidRPr="00431A54">
        <w:t>ordre du jour préliminaire de la conférence ultérieure ainsi que sur des points éventuels à inscrire à l</w:t>
      </w:r>
      <w:r w:rsidR="00BD27FA" w:rsidRPr="00431A54">
        <w:t>'</w:t>
      </w:r>
      <w:r w:rsidRPr="00431A54">
        <w:t>ordre du jour de conférences futures, conformément à l</w:t>
      </w:r>
      <w:r w:rsidR="00BD27FA" w:rsidRPr="00431A54">
        <w:t>'</w:t>
      </w:r>
      <w:r w:rsidRPr="00431A54">
        <w:t>article 7 de la Convention,</w:t>
      </w:r>
    </w:p>
    <w:p w14:paraId="04D1F2EE" w14:textId="5695E33B" w:rsidR="00C678EB" w:rsidRPr="00431A54" w:rsidRDefault="006C41A9" w:rsidP="009A664E">
      <w:pPr>
        <w:pStyle w:val="Headingb"/>
      </w:pPr>
      <w:r w:rsidRPr="00431A54">
        <w:t>Rappel</w:t>
      </w:r>
    </w:p>
    <w:p w14:paraId="0561562D" w14:textId="6116C17A" w:rsidR="00C678EB" w:rsidRPr="00431A54" w:rsidRDefault="006C41A9" w:rsidP="009A664E">
      <w:r w:rsidRPr="00431A54">
        <w:t>La CMR</w:t>
      </w:r>
      <w:r w:rsidR="00C678EB" w:rsidRPr="00431A54">
        <w:t>-19</w:t>
      </w:r>
      <w:r w:rsidR="00BD27FA" w:rsidRPr="00431A54">
        <w:t xml:space="preserve"> </w:t>
      </w:r>
      <w:r w:rsidRPr="00431A54">
        <w:t>s</w:t>
      </w:r>
      <w:r w:rsidR="00BD27FA" w:rsidRPr="00431A54">
        <w:t>'</w:t>
      </w:r>
      <w:r w:rsidRPr="00431A54">
        <w:t>efforcera d</w:t>
      </w:r>
      <w:r w:rsidR="00BD27FA" w:rsidRPr="00431A54">
        <w:t>'</w:t>
      </w:r>
      <w:r w:rsidRPr="00431A54">
        <w:t xml:space="preserve">identifier des bandes en ondes millimétriques pour </w:t>
      </w:r>
      <w:r w:rsidR="009B5C9B" w:rsidRPr="00431A54">
        <w:t xml:space="preserve">les IMT afin de </w:t>
      </w:r>
      <w:r w:rsidR="0060047A" w:rsidRPr="00431A54">
        <w:t>permettre la mise en place de réseaux 5G de qualité et de grande capacité.</w:t>
      </w:r>
      <w:r w:rsidR="00BD27FA" w:rsidRPr="00431A54">
        <w:t xml:space="preserve"> </w:t>
      </w:r>
      <w:r w:rsidR="0060047A" w:rsidRPr="00431A54">
        <w:t>Afin de faire en sorte que la 5G soit disponible dans toutes les régions,</w:t>
      </w:r>
      <w:r w:rsidR="00C95DD9" w:rsidRPr="00431A54">
        <w:t xml:space="preserve"> </w:t>
      </w:r>
      <w:r w:rsidR="0060047A" w:rsidRPr="00431A54">
        <w:t>il conviendrait également d</w:t>
      </w:r>
      <w:r w:rsidR="00BD27FA" w:rsidRPr="00431A54">
        <w:t>'</w:t>
      </w:r>
      <w:r w:rsidR="0060047A" w:rsidRPr="00431A54">
        <w:t>examiner les fréquences inférieures situées dans la gamme comprise entre les limites fixées par la</w:t>
      </w:r>
      <w:r w:rsidR="00BD27FA" w:rsidRPr="00431A54">
        <w:t xml:space="preserve"> </w:t>
      </w:r>
      <w:r w:rsidRPr="00431A54">
        <w:t>CMR</w:t>
      </w:r>
      <w:r w:rsidR="00C678EB" w:rsidRPr="00431A54">
        <w:t>-15 (</w:t>
      </w:r>
      <w:r w:rsidR="0060047A" w:rsidRPr="00431A54">
        <w:t xml:space="preserve">limite supérieure </w:t>
      </w:r>
      <w:r w:rsidR="00C678EB" w:rsidRPr="00431A54">
        <w:t>3</w:t>
      </w:r>
      <w:r w:rsidR="00BD27FA" w:rsidRPr="00431A54">
        <w:t>,</w:t>
      </w:r>
      <w:r w:rsidR="00C678EB" w:rsidRPr="00431A54">
        <w:t>7 GHz)</w:t>
      </w:r>
      <w:r w:rsidR="0060047A" w:rsidRPr="00431A54">
        <w:t xml:space="preserve"> et la</w:t>
      </w:r>
      <w:r w:rsidR="00C678EB" w:rsidRPr="00431A54">
        <w:t xml:space="preserve"> </w:t>
      </w:r>
      <w:r w:rsidRPr="00431A54">
        <w:t>CMR</w:t>
      </w:r>
      <w:r w:rsidR="00BD27FA" w:rsidRPr="00431A54">
        <w:noBreakHyphen/>
      </w:r>
      <w:r w:rsidR="00C678EB" w:rsidRPr="00431A54">
        <w:t>19 (</w:t>
      </w:r>
      <w:r w:rsidR="0060047A" w:rsidRPr="00431A54">
        <w:t xml:space="preserve">limite inférieure </w:t>
      </w:r>
      <w:r w:rsidR="00C678EB" w:rsidRPr="00431A54">
        <w:t>24 GHz)</w:t>
      </w:r>
      <w:r w:rsidR="0060047A" w:rsidRPr="00431A54">
        <w:t>. Dans le présent document, la CITEL indique les bandes qui sont appuyées par le secteur ou par les pays/régions.</w:t>
      </w:r>
    </w:p>
    <w:p w14:paraId="0233BB4B" w14:textId="197B985A" w:rsidR="00C678EB" w:rsidRPr="00431A54" w:rsidRDefault="00C95DD9" w:rsidP="009A664E">
      <w:r w:rsidRPr="00431A54">
        <w:t xml:space="preserve">Les premiers </w:t>
      </w:r>
      <w:r w:rsidR="00974FBC" w:rsidRPr="00431A54">
        <w:t>produits</w:t>
      </w:r>
      <w:r w:rsidRPr="00431A54">
        <w:t xml:space="preserve"> 5G qui </w:t>
      </w:r>
      <w:r w:rsidR="00974FBC" w:rsidRPr="00431A54">
        <w:t>ont fait leur apparition sur le marché</w:t>
      </w:r>
      <w:r w:rsidRPr="00431A54">
        <w:t xml:space="preserve"> ont mis en lumière les défis qui attendent les gestionnaires du spectre. D</w:t>
      </w:r>
      <w:r w:rsidR="00BD27FA" w:rsidRPr="00431A54">
        <w:t>'</w:t>
      </w:r>
      <w:r w:rsidRPr="00431A54">
        <w:t>après SK Telecom, l</w:t>
      </w:r>
      <w:r w:rsidR="00BD27FA" w:rsidRPr="00431A54">
        <w:t>'</w:t>
      </w:r>
      <w:r w:rsidRPr="00431A54">
        <w:t>utilisation de données 5G</w:t>
      </w:r>
      <w:r w:rsidR="00BD27FA" w:rsidRPr="00431A54">
        <w:t xml:space="preserve"> </w:t>
      </w:r>
      <w:r w:rsidRPr="00431A54">
        <w:t>a triplé</w:t>
      </w:r>
      <w:r w:rsidR="00BD27FA" w:rsidRPr="00431A54">
        <w:t xml:space="preserve"> </w:t>
      </w:r>
      <w:r w:rsidRPr="00431A54">
        <w:t>par rapport à la</w:t>
      </w:r>
      <w:r w:rsidR="00BD27FA" w:rsidRPr="00431A54">
        <w:t xml:space="preserve"> </w:t>
      </w:r>
      <w:r w:rsidR="00C678EB" w:rsidRPr="00431A54">
        <w:t>4G. LG Uplus</w:t>
      </w:r>
      <w:r w:rsidRPr="00431A54">
        <w:t>, au début du lancement de la</w:t>
      </w:r>
      <w:r w:rsidR="00C678EB" w:rsidRPr="00431A54">
        <w:t xml:space="preserve"> </w:t>
      </w:r>
      <w:r w:rsidRPr="00431A54">
        <w:t>5G</w:t>
      </w:r>
      <w:r w:rsidR="00BD27FA" w:rsidRPr="00431A54">
        <w:t>,</w:t>
      </w:r>
      <w:r w:rsidRPr="00431A54">
        <w:t xml:space="preserve"> a constaté </w:t>
      </w:r>
      <w:r w:rsidR="00974FBC" w:rsidRPr="00431A54">
        <w:t xml:space="preserve">que chaque abonné utilisait </w:t>
      </w:r>
      <w:r w:rsidR="00C678EB" w:rsidRPr="00431A54">
        <w:t>1</w:t>
      </w:r>
      <w:r w:rsidR="00BD27FA" w:rsidRPr="00431A54">
        <w:t>,</w:t>
      </w:r>
      <w:r w:rsidR="00C678EB" w:rsidRPr="00431A54">
        <w:t>3</w:t>
      </w:r>
      <w:r w:rsidRPr="00431A54">
        <w:t xml:space="preserve"> gigaoctet</w:t>
      </w:r>
      <w:r w:rsidR="00BD27FA" w:rsidRPr="00431A54">
        <w:t xml:space="preserve"> </w:t>
      </w:r>
      <w:r w:rsidRPr="00431A54">
        <w:t>de données par jour</w:t>
      </w:r>
      <w:r w:rsidR="00974FBC" w:rsidRPr="00431A54">
        <w:t>. S</w:t>
      </w:r>
      <w:r w:rsidR="00BD27FA" w:rsidRPr="00431A54">
        <w:t>'</w:t>
      </w:r>
      <w:r w:rsidR="00974FBC" w:rsidRPr="00431A54">
        <w:t>il est vrai qu</w:t>
      </w:r>
      <w:r w:rsidR="00BD27FA" w:rsidRPr="00431A54">
        <w:t>'</w:t>
      </w:r>
      <w:r w:rsidR="00974FBC" w:rsidRPr="00431A54">
        <w:t>un accès suffisant aux bandes d</w:t>
      </w:r>
      <w:r w:rsidR="00BD27FA" w:rsidRPr="00431A54">
        <w:t>'</w:t>
      </w:r>
      <w:r w:rsidR="00974FBC" w:rsidRPr="00431A54">
        <w:t xml:space="preserve">ondes millimétriques permet de </w:t>
      </w:r>
      <w:r w:rsidR="009B5C9B" w:rsidRPr="00431A54">
        <w:t xml:space="preserve">surmonter </w:t>
      </w:r>
      <w:r w:rsidR="00974FBC" w:rsidRPr="00431A54">
        <w:t>les problèmes de capacité, une amélioration de la propagation et de la couverture en intérieur sera nécessaire en étroite association avec la capacité en ondes millimétriques.</w:t>
      </w:r>
    </w:p>
    <w:p w14:paraId="15A4CF8A" w14:textId="717B3260" w:rsidR="00C678EB" w:rsidRPr="00431A54" w:rsidRDefault="00974FBC" w:rsidP="009A664E">
      <w:r w:rsidRPr="00431A54">
        <w:t xml:space="preserve">Dans la bande des </w:t>
      </w:r>
      <w:r w:rsidR="00C678EB" w:rsidRPr="00431A54">
        <w:t>3 GHz</w:t>
      </w:r>
      <w:r w:rsidR="00BD27FA" w:rsidRPr="00431A54">
        <w:t>,</w:t>
      </w:r>
      <w:r w:rsidR="00C678EB" w:rsidRPr="00431A54">
        <w:t xml:space="preserve"> </w:t>
      </w:r>
      <w:r w:rsidR="00BF7E31" w:rsidRPr="00431A54">
        <w:t>on a besoin d</w:t>
      </w:r>
      <w:r w:rsidR="00BD27FA" w:rsidRPr="00431A54">
        <w:t>'</w:t>
      </w:r>
      <w:r w:rsidR="00BF7E31" w:rsidRPr="00431A54">
        <w:t>une</w:t>
      </w:r>
      <w:r w:rsidR="00BD27FA" w:rsidRPr="00431A54">
        <w:t xml:space="preserve"> </w:t>
      </w:r>
      <w:r w:rsidRPr="00431A54">
        <w:t xml:space="preserve">portion de spectre </w:t>
      </w:r>
      <w:r w:rsidR="00AC1F4F" w:rsidRPr="00431A54">
        <w:t>contiguë</w:t>
      </w:r>
      <w:r w:rsidRPr="00431A54">
        <w:t xml:space="preserve"> de </w:t>
      </w:r>
      <w:r w:rsidR="00C678EB" w:rsidRPr="00431A54">
        <w:t xml:space="preserve">100 MHz </w:t>
      </w:r>
      <w:r w:rsidR="00BF7E31" w:rsidRPr="00431A54">
        <w:t>par</w:t>
      </w:r>
      <w:r w:rsidR="00BD27FA" w:rsidRPr="00431A54">
        <w:t xml:space="preserve"> </w:t>
      </w:r>
      <w:r w:rsidR="00BF7E31" w:rsidRPr="00431A54">
        <w:t xml:space="preserve">opérateur pour </w:t>
      </w:r>
      <w:r w:rsidR="006E5284" w:rsidRPr="00431A54">
        <w:t xml:space="preserve">que </w:t>
      </w:r>
      <w:r w:rsidR="00BF7E31" w:rsidRPr="00431A54">
        <w:t xml:space="preserve">les déploiements de réseaux tirent pleinement parti des technologies </w:t>
      </w:r>
      <w:r w:rsidR="00C678EB" w:rsidRPr="00431A54">
        <w:t>5G</w:t>
      </w:r>
      <w:r w:rsidR="00BF7E31" w:rsidRPr="00431A54">
        <w:t>. Une quantité de spectre analogue, avec des caractéristiques de propagation similaires, sera sans doute nécessaire</w:t>
      </w:r>
      <w:r w:rsidR="00BD27FA" w:rsidRPr="00431A54">
        <w:t xml:space="preserve"> </w:t>
      </w:r>
      <w:r w:rsidR="006E5284" w:rsidRPr="00431A54">
        <w:t xml:space="preserve">à terme </w:t>
      </w:r>
      <w:r w:rsidR="00BF7E31" w:rsidRPr="00431A54">
        <w:t>pour</w:t>
      </w:r>
      <w:r w:rsidR="006E5284" w:rsidRPr="00431A54">
        <w:t xml:space="preserve"> améliorer la capacité des systèmes</w:t>
      </w:r>
      <w:r w:rsidR="00BF7E31" w:rsidRPr="00431A54">
        <w:t xml:space="preserve"> </w:t>
      </w:r>
      <w:r w:rsidR="006E5284" w:rsidRPr="00431A54">
        <w:t>5G</w:t>
      </w:r>
      <w:r w:rsidR="00BD27FA" w:rsidRPr="00431A54">
        <w:t xml:space="preserve"> </w:t>
      </w:r>
      <w:r w:rsidR="006E5284" w:rsidRPr="00431A54">
        <w:rPr>
          <w:color w:val="000000"/>
        </w:rPr>
        <w:t>très performants.</w:t>
      </w:r>
      <w:r w:rsidR="006E5284" w:rsidRPr="00431A54">
        <w:t xml:space="preserve"> Dans certains pays, des bandes de fréquences dans la même gamme sont actuellement réservées à d</w:t>
      </w:r>
      <w:r w:rsidR="00BD27FA" w:rsidRPr="00431A54">
        <w:t>'</w:t>
      </w:r>
      <w:r w:rsidR="006E5284" w:rsidRPr="00431A54">
        <w:t>autres fins, par exemple pour les secteurs</w:t>
      </w:r>
      <w:r w:rsidR="00BD27FA" w:rsidRPr="00431A54">
        <w:t xml:space="preserve"> </w:t>
      </w:r>
      <w:r w:rsidR="006E5284" w:rsidRPr="00431A54">
        <w:t>verticaux, ce qui réduit encore la quantité de spectre disponible pour les réseaux</w:t>
      </w:r>
      <w:r w:rsidR="00BD27FA" w:rsidRPr="00431A54">
        <w:t xml:space="preserve"> </w:t>
      </w:r>
      <w:r w:rsidR="00C678EB" w:rsidRPr="00431A54">
        <w:t xml:space="preserve">5G. </w:t>
      </w:r>
      <w:r w:rsidR="006267CF" w:rsidRPr="00431A54">
        <w:t>Grâce à la</w:t>
      </w:r>
      <w:r w:rsidR="00BD27FA" w:rsidRPr="00431A54">
        <w:t xml:space="preserve"> </w:t>
      </w:r>
      <w:r w:rsidR="00C678EB" w:rsidRPr="00431A54">
        <w:t>5G NR</w:t>
      </w:r>
      <w:r w:rsidR="006267CF" w:rsidRPr="00431A54">
        <w:t>, il sera possible de généraliser une nouvelle connectivité entre les objets, qui sera intégré</w:t>
      </w:r>
      <w:r w:rsidR="009B5C9B" w:rsidRPr="00431A54">
        <w:t>e</w:t>
      </w:r>
      <w:r w:rsidR="006267CF" w:rsidRPr="00431A54">
        <w:t xml:space="preserve"> dans une seule et même technologie, ce qui nécessitera</w:t>
      </w:r>
      <w:r w:rsidR="00C678EB" w:rsidRPr="00431A54">
        <w:t xml:space="preserve"> </w:t>
      </w:r>
      <w:r w:rsidR="006267CF" w:rsidRPr="00431A54">
        <w:t>des fréquences de milieu de bande.</w:t>
      </w:r>
    </w:p>
    <w:p w14:paraId="1113E84D" w14:textId="70A8577F" w:rsidR="003A583E" w:rsidRPr="00431A54" w:rsidRDefault="006267CF" w:rsidP="009A664E">
      <w:r w:rsidRPr="00431A54">
        <w:lastRenderedPageBreak/>
        <w:t>Bien que la CITEL ait identifié</w:t>
      </w:r>
      <w:r w:rsidR="00BD27FA" w:rsidRPr="00431A54">
        <w:t xml:space="preserve"> </w:t>
      </w:r>
      <w:r w:rsidRPr="00431A54">
        <w:t>une gamme de fréquences dans la proposition ci-jointe, elle considère que seul un sous-ensemble de la gamme devrait être retenu aux fins des études</w:t>
      </w:r>
      <w:r w:rsidR="009B5C9B" w:rsidRPr="00431A54">
        <w:t>.</w:t>
      </w:r>
      <w:r w:rsidRPr="00431A54">
        <w:t xml:space="preserve"> </w:t>
      </w:r>
      <w:r w:rsidR="009B5C9B" w:rsidRPr="00431A54">
        <w:t>D</w:t>
      </w:r>
      <w:r w:rsidRPr="00431A54">
        <w:t>e plus, il se peut que certaines des bandes de fréquences possibles dans la gamme 3</w:t>
      </w:r>
      <w:r w:rsidR="001B2066" w:rsidRPr="00431A54">
        <w:t> </w:t>
      </w:r>
      <w:r w:rsidRPr="00431A54">
        <w:t>300</w:t>
      </w:r>
      <w:r w:rsidR="001B2066" w:rsidRPr="00431A54">
        <w:t> </w:t>
      </w:r>
      <w:r w:rsidRPr="00431A54">
        <w:t>MHz</w:t>
      </w:r>
      <w:r w:rsidR="001B2066" w:rsidRPr="00431A54">
        <w:noBreakHyphen/>
      </w:r>
      <w:r w:rsidRPr="00431A54">
        <w:t>15</w:t>
      </w:r>
      <w:r w:rsidR="001322B9" w:rsidRPr="00431A54">
        <w:t>,</w:t>
      </w:r>
      <w:r w:rsidRPr="00431A54">
        <w:t>35</w:t>
      </w:r>
      <w:r w:rsidR="001B2066" w:rsidRPr="00431A54">
        <w:t> </w:t>
      </w:r>
      <w:r w:rsidRPr="00431A54">
        <w:t xml:space="preserve">GHz ne soient pas acceptables </w:t>
      </w:r>
      <w:r w:rsidR="009B5C9B" w:rsidRPr="00431A54">
        <w:t xml:space="preserve">pour les </w:t>
      </w:r>
      <w:r w:rsidRPr="00431A54">
        <w:t>études et identification</w:t>
      </w:r>
      <w:r w:rsidR="009B5C9B" w:rsidRPr="00431A54">
        <w:t>s</w:t>
      </w:r>
      <w:r w:rsidR="00BD27FA" w:rsidRPr="00431A54">
        <w:t xml:space="preserve"> </w:t>
      </w:r>
      <w:r w:rsidRPr="00431A54">
        <w:t>éventuelles</w:t>
      </w:r>
      <w:r w:rsidR="00BD27FA" w:rsidRPr="00431A54">
        <w:t>.</w:t>
      </w:r>
    </w:p>
    <w:p w14:paraId="43C381A1" w14:textId="77777777" w:rsidR="0015203F" w:rsidRPr="00431A54" w:rsidRDefault="0015203F" w:rsidP="009A664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431A54">
        <w:br w:type="page"/>
      </w:r>
    </w:p>
    <w:p w14:paraId="3E50C50C" w14:textId="77777777" w:rsidR="0039288E" w:rsidRPr="00431A54" w:rsidRDefault="000D1545" w:rsidP="009A664E">
      <w:pPr>
        <w:pStyle w:val="Proposal"/>
      </w:pPr>
      <w:r w:rsidRPr="00431A54">
        <w:lastRenderedPageBreak/>
        <w:t>ADD</w:t>
      </w:r>
      <w:r w:rsidRPr="00431A54">
        <w:tab/>
        <w:t>IAP/11A24A14/1</w:t>
      </w:r>
    </w:p>
    <w:p w14:paraId="3BA422BE" w14:textId="723A6369" w:rsidR="0039288E" w:rsidRPr="00431A54" w:rsidRDefault="000D1545" w:rsidP="009A664E">
      <w:pPr>
        <w:pStyle w:val="ResNo"/>
      </w:pPr>
      <w:r w:rsidRPr="00431A54">
        <w:t>Projet de nouvelle Résolution [IAP</w:t>
      </w:r>
      <w:r w:rsidR="00D331BA" w:rsidRPr="00431A54">
        <w:t>/10(N)-2023] (</w:t>
      </w:r>
      <w:r w:rsidR="006C41A9" w:rsidRPr="00431A54">
        <w:t>CMR</w:t>
      </w:r>
      <w:r w:rsidR="00D331BA" w:rsidRPr="00431A54">
        <w:noBreakHyphen/>
        <w:t>19)</w:t>
      </w:r>
      <w:r w:rsidRPr="00431A54">
        <w:t>]</w:t>
      </w:r>
    </w:p>
    <w:p w14:paraId="5DF253B3" w14:textId="77777777" w:rsidR="00BD27FA" w:rsidRPr="00431A54" w:rsidRDefault="005C21CB" w:rsidP="009A664E">
      <w:pPr>
        <w:pStyle w:val="Restitle"/>
      </w:pPr>
      <w:r w:rsidRPr="00431A54">
        <w:t>Ordre du jour de la Conférence mondiale des radiocommunications de 2023</w:t>
      </w:r>
    </w:p>
    <w:p w14:paraId="3301CF74" w14:textId="0DE67A66" w:rsidR="0061039D" w:rsidRPr="00431A54" w:rsidRDefault="000406BD" w:rsidP="009A664E">
      <w:r w:rsidRPr="00431A54">
        <w:t>…</w:t>
      </w:r>
    </w:p>
    <w:p w14:paraId="4EC95EB4" w14:textId="40F11411" w:rsidR="0061039D" w:rsidRPr="00431A54" w:rsidRDefault="006C0605" w:rsidP="009A664E">
      <w:pPr>
        <w:rPr>
          <w:lang w:eastAsia="ko-KR"/>
        </w:rPr>
      </w:pPr>
      <w:r w:rsidRPr="00431A54">
        <w:rPr>
          <w:b/>
          <w:bCs/>
          <w:lang w:eastAsia="ko-KR"/>
        </w:rPr>
        <w:t>1.</w:t>
      </w:r>
      <w:r w:rsidR="0061039D" w:rsidRPr="00431A54">
        <w:rPr>
          <w:b/>
          <w:bCs/>
          <w:lang w:eastAsia="ko-KR"/>
        </w:rPr>
        <w:t>IMT</w:t>
      </w:r>
      <w:r w:rsidR="00D331BA" w:rsidRPr="00431A54">
        <w:rPr>
          <w:lang w:eastAsia="ko-KR"/>
        </w:rPr>
        <w:tab/>
      </w:r>
      <w:r w:rsidR="0061039D" w:rsidRPr="00431A54">
        <w:rPr>
          <w:lang w:eastAsia="ko-KR"/>
        </w:rPr>
        <w:t>envisager l</w:t>
      </w:r>
      <w:r w:rsidR="00BD27FA" w:rsidRPr="00431A54">
        <w:rPr>
          <w:lang w:eastAsia="ko-KR"/>
        </w:rPr>
        <w:t>'</w:t>
      </w:r>
      <w:r w:rsidR="0061039D" w:rsidRPr="00431A54">
        <w:rPr>
          <w:lang w:eastAsia="ko-KR"/>
        </w:rPr>
        <w:t xml:space="preserve">identification de bandes de fréquences </w:t>
      </w:r>
      <w:r w:rsidR="005C21CB" w:rsidRPr="00431A54">
        <w:rPr>
          <w:lang w:eastAsia="ko-KR"/>
        </w:rPr>
        <w:t xml:space="preserve">spécifiques dans la gamme </w:t>
      </w:r>
      <w:r w:rsidR="005C21CB" w:rsidRPr="00431A54">
        <w:rPr>
          <w:iCs/>
          <w:szCs w:val="24"/>
          <w:lang w:eastAsia="ko-KR"/>
        </w:rPr>
        <w:t>[3</w:t>
      </w:r>
      <w:r w:rsidR="00BD27FA" w:rsidRPr="00431A54">
        <w:rPr>
          <w:iCs/>
          <w:szCs w:val="24"/>
          <w:lang w:eastAsia="ko-KR"/>
        </w:rPr>
        <w:t> </w:t>
      </w:r>
      <w:r w:rsidR="005C21CB" w:rsidRPr="00431A54">
        <w:rPr>
          <w:iCs/>
          <w:szCs w:val="24"/>
          <w:lang w:eastAsia="ko-KR"/>
        </w:rPr>
        <w:t>300</w:t>
      </w:r>
      <w:r w:rsidR="00BD27FA" w:rsidRPr="00431A54">
        <w:rPr>
          <w:iCs/>
          <w:szCs w:val="24"/>
          <w:lang w:eastAsia="ko-KR"/>
        </w:rPr>
        <w:t> </w:t>
      </w:r>
      <w:r w:rsidR="005C21CB" w:rsidRPr="00431A54">
        <w:rPr>
          <w:iCs/>
          <w:szCs w:val="24"/>
          <w:lang w:eastAsia="ko-KR"/>
        </w:rPr>
        <w:t>MHz</w:t>
      </w:r>
      <w:r w:rsidR="001B2066" w:rsidRPr="00431A54">
        <w:rPr>
          <w:iCs/>
          <w:szCs w:val="24"/>
          <w:lang w:eastAsia="ko-KR"/>
        </w:rPr>
        <w:noBreakHyphen/>
      </w:r>
      <w:r w:rsidR="005C21CB" w:rsidRPr="00431A54">
        <w:rPr>
          <w:iCs/>
          <w:szCs w:val="24"/>
          <w:lang w:eastAsia="ko-KR"/>
        </w:rPr>
        <w:t>15</w:t>
      </w:r>
      <w:r w:rsidR="00975515" w:rsidRPr="00431A54">
        <w:rPr>
          <w:iCs/>
          <w:szCs w:val="24"/>
          <w:lang w:eastAsia="ko-KR"/>
        </w:rPr>
        <w:t>,</w:t>
      </w:r>
      <w:r w:rsidR="005C21CB" w:rsidRPr="00431A54">
        <w:rPr>
          <w:iCs/>
          <w:szCs w:val="24"/>
          <w:lang w:eastAsia="ko-KR"/>
        </w:rPr>
        <w:t>35</w:t>
      </w:r>
      <w:r w:rsidR="001B2066" w:rsidRPr="00431A54">
        <w:rPr>
          <w:iCs/>
          <w:szCs w:val="24"/>
          <w:lang w:eastAsia="ko-KR"/>
        </w:rPr>
        <w:t> </w:t>
      </w:r>
      <w:r w:rsidR="005C21CB" w:rsidRPr="00431A54">
        <w:rPr>
          <w:iCs/>
          <w:szCs w:val="24"/>
          <w:lang w:eastAsia="ko-KR"/>
        </w:rPr>
        <w:t xml:space="preserve">GHz] </w:t>
      </w:r>
      <w:r w:rsidR="0061039D" w:rsidRPr="00431A54">
        <w:rPr>
          <w:lang w:eastAsia="ko-KR"/>
        </w:rPr>
        <w:t>pour le développement futur</w:t>
      </w:r>
      <w:r w:rsidR="00975515" w:rsidRPr="00431A54">
        <w:rPr>
          <w:lang w:eastAsia="ko-KR"/>
        </w:rPr>
        <w:t xml:space="preserve"> </w:t>
      </w:r>
      <w:r w:rsidR="0061039D" w:rsidRPr="00431A54">
        <w:rPr>
          <w:lang w:eastAsia="ko-KR"/>
        </w:rPr>
        <w:t>des</w:t>
      </w:r>
      <w:r w:rsidR="00975515" w:rsidRPr="00431A54">
        <w:rPr>
          <w:lang w:eastAsia="ko-KR"/>
        </w:rPr>
        <w:t xml:space="preserve"> </w:t>
      </w:r>
      <w:r w:rsidR="0061039D" w:rsidRPr="00431A54">
        <w:rPr>
          <w:lang w:eastAsia="ko-KR"/>
        </w:rPr>
        <w:t>Télécommunications mobiles internationales (IMT), y compris des attributions additionnelles possibles au service mobile</w:t>
      </w:r>
      <w:r w:rsidR="005C21CB" w:rsidRPr="00431A54">
        <w:rPr>
          <w:lang w:eastAsia="ko-KR"/>
        </w:rPr>
        <w:t xml:space="preserve"> à titre primaire</w:t>
      </w:r>
      <w:r w:rsidR="0061039D" w:rsidRPr="00431A54">
        <w:rPr>
          <w:lang w:eastAsia="ko-KR"/>
        </w:rPr>
        <w:t>, conformément à la Résolution</w:t>
      </w:r>
      <w:r w:rsidR="00BD27FA" w:rsidRPr="00431A54">
        <w:rPr>
          <w:lang w:eastAsia="ko-KR"/>
        </w:rPr>
        <w:t xml:space="preserve"> </w:t>
      </w:r>
      <w:r w:rsidR="005C21CB" w:rsidRPr="00431A54">
        <w:rPr>
          <w:b/>
          <w:bCs/>
          <w:iCs/>
          <w:szCs w:val="24"/>
          <w:lang w:eastAsia="ko-KR"/>
        </w:rPr>
        <w:t>[</w:t>
      </w:r>
      <w:r w:rsidR="005C21CB" w:rsidRPr="00431A54">
        <w:rPr>
          <w:b/>
          <w:iCs/>
          <w:szCs w:val="24"/>
          <w:lang w:eastAsia="ko-KR"/>
        </w:rPr>
        <w:t>IAP/10(N)-IMT-WRC-23]</w:t>
      </w:r>
      <w:r w:rsidR="005C21CB" w:rsidRPr="00431A54">
        <w:rPr>
          <w:iCs/>
          <w:szCs w:val="24"/>
          <w:lang w:eastAsia="ko-KR"/>
        </w:rPr>
        <w:t xml:space="preserve"> </w:t>
      </w:r>
      <w:r w:rsidR="0061039D" w:rsidRPr="00431A54">
        <w:rPr>
          <w:lang w:eastAsia="ko-KR"/>
        </w:rPr>
        <w:t>(CMR</w:t>
      </w:r>
      <w:r w:rsidR="0061039D" w:rsidRPr="00431A54">
        <w:rPr>
          <w:lang w:eastAsia="ko-KR"/>
        </w:rPr>
        <w:noBreakHyphen/>
        <w:t>1</w:t>
      </w:r>
      <w:r w:rsidR="005C21CB" w:rsidRPr="00431A54">
        <w:rPr>
          <w:lang w:eastAsia="ko-KR"/>
        </w:rPr>
        <w:t>9</w:t>
      </w:r>
      <w:r w:rsidR="0061039D" w:rsidRPr="00431A54">
        <w:rPr>
          <w:lang w:eastAsia="ko-KR"/>
        </w:rPr>
        <w:t>)</w:t>
      </w:r>
      <w:r w:rsidR="00BD27FA" w:rsidRPr="00431A54">
        <w:rPr>
          <w:lang w:eastAsia="ko-KR"/>
        </w:rPr>
        <w:t>.</w:t>
      </w:r>
    </w:p>
    <w:p w14:paraId="4F699378" w14:textId="4B3E9FF5" w:rsidR="00D331BA" w:rsidRPr="00431A54" w:rsidRDefault="00D331BA" w:rsidP="009A664E">
      <w:pPr>
        <w:pStyle w:val="Reasons"/>
        <w:rPr>
          <w:lang w:eastAsia="ko-KR"/>
        </w:rPr>
      </w:pPr>
      <w:r w:rsidRPr="00431A54">
        <w:rPr>
          <w:b/>
        </w:rPr>
        <w:t>Motifs:</w:t>
      </w:r>
      <w:r w:rsidRPr="00431A54">
        <w:tab/>
      </w:r>
      <w:r w:rsidR="005C21CB" w:rsidRPr="00431A54">
        <w:t>Satisfaire les besoins additionnels de spectre pour les IMT dans la gamme ci-dessus</w:t>
      </w:r>
      <w:r w:rsidR="00BD27FA" w:rsidRPr="00431A54">
        <w:t>.</w:t>
      </w:r>
    </w:p>
    <w:p w14:paraId="19F538AD" w14:textId="77777777" w:rsidR="0039288E" w:rsidRPr="00431A54" w:rsidRDefault="000D1545" w:rsidP="009A664E">
      <w:pPr>
        <w:pStyle w:val="Proposal"/>
      </w:pPr>
      <w:r w:rsidRPr="00431A54">
        <w:t>ADD</w:t>
      </w:r>
      <w:r w:rsidRPr="00431A54">
        <w:tab/>
        <w:t>IAP/11A24A14/2</w:t>
      </w:r>
    </w:p>
    <w:p w14:paraId="6F8C09A1" w14:textId="47916F64" w:rsidR="0039288E" w:rsidRPr="00431A54" w:rsidRDefault="000D1545" w:rsidP="009A664E">
      <w:pPr>
        <w:pStyle w:val="ResNo"/>
      </w:pPr>
      <w:r w:rsidRPr="00431A54">
        <w:t>Projet de nouvelle Résolution [IAP</w:t>
      </w:r>
      <w:r w:rsidR="00067E03" w:rsidRPr="00431A54">
        <w:t>/10(N)/IMT-</w:t>
      </w:r>
      <w:r w:rsidR="009B5C9B" w:rsidRPr="00431A54">
        <w:t>WRC</w:t>
      </w:r>
      <w:r w:rsidR="00067E03" w:rsidRPr="00431A54">
        <w:t>-23] (</w:t>
      </w:r>
      <w:r w:rsidR="006C41A9" w:rsidRPr="00431A54">
        <w:t>CMR</w:t>
      </w:r>
      <w:r w:rsidR="00067E03" w:rsidRPr="00431A54">
        <w:noBreakHyphen/>
        <w:t>19)</w:t>
      </w:r>
      <w:r w:rsidRPr="00431A54">
        <w:t>]</w:t>
      </w:r>
    </w:p>
    <w:p w14:paraId="64A8768C" w14:textId="51CE86D1" w:rsidR="00BD27FA" w:rsidRPr="00431A54" w:rsidRDefault="005C21CB" w:rsidP="009A664E">
      <w:pPr>
        <w:pStyle w:val="Restitle"/>
      </w:pPr>
      <w:bookmarkStart w:id="6" w:name="_Toc450048693"/>
      <w:r w:rsidRPr="00431A54">
        <w:t xml:space="preserve">Bandes de fréquences additionnelles pour la composante </w:t>
      </w:r>
      <w:r w:rsidR="00BD27FA" w:rsidRPr="00431A54">
        <w:br/>
      </w:r>
      <w:r w:rsidRPr="00431A54">
        <w:t>de Terre</w:t>
      </w:r>
      <w:r w:rsidR="00BD27FA" w:rsidRPr="00431A54">
        <w:t xml:space="preserve"> </w:t>
      </w:r>
      <w:r w:rsidRPr="00431A54">
        <w:t>des IMT entre</w:t>
      </w:r>
      <w:r w:rsidR="00BD27FA" w:rsidRPr="00431A54">
        <w:t xml:space="preserve"> </w:t>
      </w:r>
      <w:r w:rsidR="000406BD" w:rsidRPr="00431A54">
        <w:t>3</w:t>
      </w:r>
      <w:r w:rsidR="001B2066" w:rsidRPr="00431A54">
        <w:t> </w:t>
      </w:r>
      <w:r w:rsidR="000406BD" w:rsidRPr="00431A54">
        <w:t>300</w:t>
      </w:r>
      <w:r w:rsidR="001B2066" w:rsidRPr="00431A54">
        <w:t> </w:t>
      </w:r>
      <w:r w:rsidR="000406BD" w:rsidRPr="00431A54">
        <w:t>MHz</w:t>
      </w:r>
      <w:r w:rsidR="00BD27FA" w:rsidRPr="00431A54">
        <w:t xml:space="preserve"> </w:t>
      </w:r>
      <w:r w:rsidRPr="00431A54">
        <w:t xml:space="preserve">et </w:t>
      </w:r>
      <w:r w:rsidR="000406BD" w:rsidRPr="00431A54">
        <w:t>15</w:t>
      </w:r>
      <w:r w:rsidR="00BD27FA" w:rsidRPr="00431A54">
        <w:t>,</w:t>
      </w:r>
      <w:r w:rsidR="000406BD" w:rsidRPr="00431A54">
        <w:t>35 GHz</w:t>
      </w:r>
      <w:bookmarkEnd w:id="6"/>
    </w:p>
    <w:p w14:paraId="23C4BCD6" w14:textId="489DB152" w:rsidR="00067E03" w:rsidRPr="00431A54" w:rsidRDefault="00067E03" w:rsidP="009A664E">
      <w:r w:rsidRPr="00431A54">
        <w:t xml:space="preserve">La Conférence mondiale des radiocommunications </w:t>
      </w:r>
      <w:r w:rsidR="00770511" w:rsidRPr="00431A54">
        <w:t>(</w:t>
      </w:r>
      <w:r w:rsidR="00377413" w:rsidRPr="00431A54">
        <w:t>Charm el-Cheikh</w:t>
      </w:r>
      <w:r w:rsidR="00770511" w:rsidRPr="00431A54">
        <w:t>, 2019),</w:t>
      </w:r>
    </w:p>
    <w:p w14:paraId="33CC414D" w14:textId="77777777" w:rsidR="00770511" w:rsidRPr="00431A54" w:rsidRDefault="00770511" w:rsidP="009A664E">
      <w:pPr>
        <w:pStyle w:val="Call"/>
      </w:pPr>
      <w:r w:rsidRPr="00431A54">
        <w:t>considérant</w:t>
      </w:r>
    </w:p>
    <w:p w14:paraId="3DF20874" w14:textId="4BB0EF84" w:rsidR="00770511" w:rsidRPr="00431A54" w:rsidRDefault="00770511" w:rsidP="009A664E">
      <w:r w:rsidRPr="00431A54">
        <w:rPr>
          <w:i/>
        </w:rPr>
        <w:t>a)</w:t>
      </w:r>
      <w:r w:rsidRPr="00431A54">
        <w:rPr>
          <w:i/>
        </w:rPr>
        <w:tab/>
      </w:r>
      <w:r w:rsidRPr="00431A54">
        <w:t>que les Télécommunications mobiles internationales (IMT) sont destinées à fournir des services de télécommunication à l</w:t>
      </w:r>
      <w:r w:rsidR="00BD27FA" w:rsidRPr="00431A54">
        <w:t>'</w:t>
      </w:r>
      <w:r w:rsidRPr="00431A54">
        <w:t>échelle mondiale, quel que soit le lieu et le type de réseau ou de terminal;</w:t>
      </w:r>
    </w:p>
    <w:p w14:paraId="093B300C" w14:textId="77777777" w:rsidR="00770511" w:rsidRPr="00431A54" w:rsidRDefault="00770511" w:rsidP="009A664E">
      <w:r w:rsidRPr="00431A54">
        <w:rPr>
          <w:i/>
        </w:rPr>
        <w:t>b)</w:t>
      </w:r>
      <w:r w:rsidRPr="00431A54">
        <w:rPr>
          <w:i/>
        </w:rPr>
        <w:tab/>
      </w:r>
      <w:r w:rsidRPr="00431A54">
        <w:t>que les systèmes IMT ont contribué au développement socio-économique mondial;</w:t>
      </w:r>
    </w:p>
    <w:p w14:paraId="3EAEF109" w14:textId="2FD12452" w:rsidR="00770511" w:rsidRPr="00431A54" w:rsidRDefault="00770511" w:rsidP="009A664E">
      <w:pPr>
        <w:rPr>
          <w:lang w:eastAsia="ko-KR"/>
        </w:rPr>
      </w:pPr>
      <w:r w:rsidRPr="00431A54">
        <w:rPr>
          <w:i/>
          <w:iCs/>
          <w:lang w:eastAsia="ko-KR"/>
        </w:rPr>
        <w:t>c</w:t>
      </w:r>
      <w:r w:rsidRPr="00431A54">
        <w:rPr>
          <w:i/>
          <w:iCs/>
        </w:rPr>
        <w:t>)</w:t>
      </w:r>
      <w:r w:rsidRPr="00431A54">
        <w:tab/>
        <w:t>que les systèmes IMT évoluent actuellement pour fournir divers scénarios d</w:t>
      </w:r>
      <w:r w:rsidR="00BD27FA" w:rsidRPr="00431A54">
        <w:t>'</w:t>
      </w:r>
      <w:r w:rsidRPr="00431A54">
        <w:t>utilisation et diverses applications, par exemple le large bande mobile évolué, les communications massives de type machine</w:t>
      </w:r>
      <w:r w:rsidRPr="00431A54">
        <w:rPr>
          <w:lang w:eastAsia="ko-KR"/>
        </w:rPr>
        <w:t xml:space="preserve"> et les communication ultrafiables présentant un faible temps de latence;</w:t>
      </w:r>
    </w:p>
    <w:p w14:paraId="5861B458" w14:textId="36B49AC4" w:rsidR="00770511" w:rsidRPr="00431A54" w:rsidRDefault="00770511" w:rsidP="009A664E">
      <w:pPr>
        <w:rPr>
          <w:rFonts w:eastAsia="Malgun Gothic"/>
          <w:lang w:eastAsia="ko-KR"/>
        </w:rPr>
      </w:pPr>
      <w:r w:rsidRPr="00431A54">
        <w:rPr>
          <w:i/>
          <w:iCs/>
          <w:lang w:eastAsia="nl-NL"/>
        </w:rPr>
        <w:t>d)</w:t>
      </w:r>
      <w:r w:rsidRPr="00431A54">
        <w:rPr>
          <w:i/>
          <w:iCs/>
          <w:lang w:eastAsia="nl-NL"/>
        </w:rPr>
        <w:tab/>
      </w:r>
      <w:r w:rsidR="0030583B" w:rsidRPr="00431A54">
        <w:rPr>
          <w:lang w:eastAsia="ja-JP"/>
        </w:rPr>
        <w:t>qu</w:t>
      </w:r>
      <w:r w:rsidR="00BD27FA" w:rsidRPr="00431A54">
        <w:rPr>
          <w:lang w:eastAsia="ja-JP"/>
        </w:rPr>
        <w:t>'</w:t>
      </w:r>
      <w:r w:rsidR="0030583B" w:rsidRPr="00431A54">
        <w:rPr>
          <w:lang w:eastAsia="ja-JP"/>
        </w:rPr>
        <w:t>il est nécessaire de tirer parti en permanence des progrès technologiques, pour accroître l</w:t>
      </w:r>
      <w:r w:rsidR="00BD27FA" w:rsidRPr="00431A54">
        <w:rPr>
          <w:lang w:eastAsia="ja-JP"/>
        </w:rPr>
        <w:t>'</w:t>
      </w:r>
      <w:r w:rsidR="0030583B" w:rsidRPr="00431A54">
        <w:rPr>
          <w:lang w:eastAsia="ja-JP"/>
        </w:rPr>
        <w:t>efficacité d</w:t>
      </w:r>
      <w:r w:rsidR="00BD27FA" w:rsidRPr="00431A54">
        <w:rPr>
          <w:lang w:eastAsia="ja-JP"/>
        </w:rPr>
        <w:t>'</w:t>
      </w:r>
      <w:r w:rsidR="0030583B" w:rsidRPr="00431A54">
        <w:rPr>
          <w:lang w:eastAsia="ja-JP"/>
        </w:rPr>
        <w:t>utilisation du spectre et faciliter l</w:t>
      </w:r>
      <w:r w:rsidR="00BD27FA" w:rsidRPr="00431A54">
        <w:rPr>
          <w:lang w:eastAsia="ja-JP"/>
        </w:rPr>
        <w:t>'</w:t>
      </w:r>
      <w:r w:rsidR="0030583B" w:rsidRPr="00431A54">
        <w:rPr>
          <w:lang w:eastAsia="ja-JP"/>
        </w:rPr>
        <w:t>accès au spectre;</w:t>
      </w:r>
    </w:p>
    <w:p w14:paraId="37507826" w14:textId="40E854D8" w:rsidR="00770511" w:rsidRPr="00431A54" w:rsidRDefault="00770511" w:rsidP="009A664E">
      <w:pPr>
        <w:rPr>
          <w:lang w:eastAsia="ko-KR"/>
        </w:rPr>
      </w:pPr>
      <w:r w:rsidRPr="00431A54">
        <w:rPr>
          <w:i/>
          <w:lang w:eastAsia="ko-KR"/>
        </w:rPr>
        <w:t>e)</w:t>
      </w:r>
      <w:r w:rsidRPr="00431A54">
        <w:rPr>
          <w:lang w:eastAsia="ko-KR"/>
        </w:rPr>
        <w:tab/>
      </w:r>
      <w:r w:rsidR="0030583B" w:rsidRPr="00431A54">
        <w:rPr>
          <w:color w:val="000000"/>
        </w:rPr>
        <w:t>qu</w:t>
      </w:r>
      <w:r w:rsidR="00BD27FA" w:rsidRPr="00431A54">
        <w:rPr>
          <w:color w:val="000000"/>
        </w:rPr>
        <w:t>'</w:t>
      </w:r>
      <w:r w:rsidR="0030583B" w:rsidRPr="00431A54">
        <w:rPr>
          <w:color w:val="000000"/>
        </w:rPr>
        <w:t>il est essentiel de mettre à disposition, en temps voulu, une quantité de spectre suffisante et de prévoir des dispositions réglementaires pour atteindre les objectifs de la Recommandation UIT-R M.2083;</w:t>
      </w:r>
    </w:p>
    <w:p w14:paraId="251E1E07" w14:textId="6D79F795" w:rsidR="00770511" w:rsidRPr="00431A54" w:rsidRDefault="00770511" w:rsidP="009A664E">
      <w:pPr>
        <w:rPr>
          <w:lang w:eastAsia="ja-JP"/>
        </w:rPr>
      </w:pPr>
      <w:r w:rsidRPr="00431A54">
        <w:rPr>
          <w:i/>
          <w:lang w:eastAsia="ko-KR"/>
        </w:rPr>
        <w:t>f</w:t>
      </w:r>
      <w:r w:rsidRPr="00431A54">
        <w:rPr>
          <w:i/>
          <w:lang w:eastAsia="ja-JP"/>
        </w:rPr>
        <w:t>)</w:t>
      </w:r>
      <w:r w:rsidR="00BD27FA" w:rsidRPr="00431A54">
        <w:tab/>
      </w:r>
      <w:r w:rsidR="0030583B" w:rsidRPr="00431A54">
        <w:rPr>
          <w:iCs/>
          <w:lang w:eastAsia="ja-JP"/>
        </w:rPr>
        <w:t>qu</w:t>
      </w:r>
      <w:r w:rsidR="00BD27FA" w:rsidRPr="00431A54">
        <w:rPr>
          <w:iCs/>
          <w:lang w:eastAsia="ja-JP"/>
        </w:rPr>
        <w:t>'</w:t>
      </w:r>
      <w:r w:rsidR="0030583B" w:rsidRPr="00431A54">
        <w:rPr>
          <w:iCs/>
          <w:lang w:eastAsia="ja-JP"/>
        </w:rPr>
        <w:t>il est vivement souhaitable d</w:t>
      </w:r>
      <w:r w:rsidR="00BD27FA" w:rsidRPr="00431A54">
        <w:rPr>
          <w:iCs/>
          <w:lang w:eastAsia="ja-JP"/>
        </w:rPr>
        <w:t>'</w:t>
      </w:r>
      <w:r w:rsidR="0030583B" w:rsidRPr="00431A54">
        <w:rPr>
          <w:iCs/>
          <w:lang w:eastAsia="ja-JP"/>
        </w:rPr>
        <w:t>utiliser des bandes de fréquences harmonisées à l</w:t>
      </w:r>
      <w:r w:rsidR="00BD27FA" w:rsidRPr="00431A54">
        <w:rPr>
          <w:iCs/>
          <w:lang w:eastAsia="ja-JP"/>
        </w:rPr>
        <w:t>'</w:t>
      </w:r>
      <w:r w:rsidR="0030583B" w:rsidRPr="00431A54">
        <w:rPr>
          <w:iCs/>
          <w:lang w:eastAsia="ja-JP"/>
        </w:rPr>
        <w:t>échelle mondiale et des dispositions de fréquences harmonisées pour les IMT, afin de parvenir à l</w:t>
      </w:r>
      <w:r w:rsidR="00BD27FA" w:rsidRPr="00431A54">
        <w:rPr>
          <w:iCs/>
          <w:lang w:eastAsia="ja-JP"/>
        </w:rPr>
        <w:t>'</w:t>
      </w:r>
      <w:r w:rsidR="0030583B" w:rsidRPr="00431A54">
        <w:rPr>
          <w:iCs/>
          <w:lang w:eastAsia="ja-JP"/>
        </w:rPr>
        <w:t>itinérance mondiale et de tirer parti des économies d</w:t>
      </w:r>
      <w:r w:rsidR="00BD27FA" w:rsidRPr="00431A54">
        <w:rPr>
          <w:iCs/>
          <w:lang w:eastAsia="ja-JP"/>
        </w:rPr>
        <w:t>'</w:t>
      </w:r>
      <w:r w:rsidR="0030583B" w:rsidRPr="00431A54">
        <w:rPr>
          <w:iCs/>
          <w:lang w:eastAsia="ja-JP"/>
        </w:rPr>
        <w:t>échelle;</w:t>
      </w:r>
    </w:p>
    <w:p w14:paraId="0F72AC51" w14:textId="1DBC59C1" w:rsidR="00770511" w:rsidRPr="00431A54" w:rsidRDefault="00770511" w:rsidP="009A664E">
      <w:pPr>
        <w:rPr>
          <w:rFonts w:eastAsia="Malgun Gothic"/>
          <w:lang w:eastAsia="ko-KR"/>
        </w:rPr>
      </w:pPr>
      <w:r w:rsidRPr="00431A54">
        <w:rPr>
          <w:i/>
          <w:lang w:eastAsia="ko-KR"/>
        </w:rPr>
        <w:t>g)</w:t>
      </w:r>
      <w:r w:rsidRPr="00431A54">
        <w:rPr>
          <w:lang w:eastAsia="ko-KR"/>
        </w:rPr>
        <w:tab/>
      </w:r>
      <w:r w:rsidR="0030583B" w:rsidRPr="00431A54">
        <w:rPr>
          <w:color w:val="000000"/>
        </w:rPr>
        <w:t>que l</w:t>
      </w:r>
      <w:r w:rsidR="00BD27FA" w:rsidRPr="00431A54">
        <w:rPr>
          <w:color w:val="000000"/>
        </w:rPr>
        <w:t>'</w:t>
      </w:r>
      <w:r w:rsidR="0030583B" w:rsidRPr="00431A54">
        <w:rPr>
          <w:color w:val="000000"/>
        </w:rPr>
        <w:t>identification des bandes de fréquences attribuées au service mobile pour les IMT modifiera peut-être la situation de partage concernant les applications des services auxquels la bande de fréquences est déjà attribuée et nécessitera peut-être des mesures réglementaires additionnelles</w:t>
      </w:r>
      <w:r w:rsidR="001B2066" w:rsidRPr="00431A54">
        <w:rPr>
          <w:color w:val="000000"/>
        </w:rPr>
        <w:t>,</w:t>
      </w:r>
    </w:p>
    <w:p w14:paraId="1F61247C" w14:textId="77777777" w:rsidR="00770511" w:rsidRPr="00431A54" w:rsidRDefault="00770511" w:rsidP="009A664E">
      <w:pPr>
        <w:pStyle w:val="Call"/>
      </w:pPr>
      <w:r w:rsidRPr="00431A54">
        <w:t>notant</w:t>
      </w:r>
    </w:p>
    <w:p w14:paraId="77A82AA4" w14:textId="1FDB909E" w:rsidR="00770511" w:rsidRPr="00431A54" w:rsidRDefault="00BD27FA" w:rsidP="009A664E">
      <w:r w:rsidRPr="00431A54">
        <w:rPr>
          <w:i/>
          <w:iCs/>
        </w:rPr>
        <w:t>a)</w:t>
      </w:r>
      <w:r w:rsidRPr="00431A54">
        <w:tab/>
      </w:r>
      <w:r w:rsidR="0030583B" w:rsidRPr="00431A54">
        <w:t xml:space="preserve">que les IMT </w:t>
      </w:r>
      <w:r w:rsidR="0030583B" w:rsidRPr="00431A54">
        <w:rPr>
          <w:color w:val="000000"/>
        </w:rPr>
        <w:t>englobent</w:t>
      </w:r>
      <w:r w:rsidR="0030583B" w:rsidRPr="00431A54">
        <w:t xml:space="preserve"> à la fois les IMT-2000, les IMT évoluées et les IMT-2020, comme indiqué dans la Résolution UIT-R 56-2;</w:t>
      </w:r>
    </w:p>
    <w:p w14:paraId="0978C1C7" w14:textId="79443E60" w:rsidR="00770511" w:rsidRPr="00431A54" w:rsidRDefault="0030583B" w:rsidP="009A664E">
      <w:pPr>
        <w:rPr>
          <w:rFonts w:cs="Arial"/>
          <w:color w:val="000000" w:themeColor="text1"/>
          <w:szCs w:val="24"/>
        </w:rPr>
      </w:pPr>
      <w:r w:rsidRPr="00431A54">
        <w:rPr>
          <w:i/>
          <w:iCs/>
        </w:rPr>
        <w:lastRenderedPageBreak/>
        <w:t>b</w:t>
      </w:r>
      <w:r w:rsidR="00770511" w:rsidRPr="00431A54">
        <w:rPr>
          <w:i/>
          <w:iCs/>
        </w:rPr>
        <w:t>)</w:t>
      </w:r>
      <w:r w:rsidR="00770511" w:rsidRPr="00431A54">
        <w:tab/>
        <w:t>que la Recommandation UIT-R M.2083 définit le cadre et les objectifs généraux du développement futur des IMT à l</w:t>
      </w:r>
      <w:r w:rsidR="00BD27FA" w:rsidRPr="00431A54">
        <w:t>'</w:t>
      </w:r>
      <w:r w:rsidR="00770511" w:rsidRPr="00431A54">
        <w:t>horizon 2020 et au-delà;</w:t>
      </w:r>
    </w:p>
    <w:p w14:paraId="278659DD" w14:textId="31EA03AB" w:rsidR="0039288E" w:rsidRPr="00431A54" w:rsidRDefault="0030583B" w:rsidP="009A664E">
      <w:pPr>
        <w:rPr>
          <w:color w:val="000000"/>
        </w:rPr>
      </w:pPr>
      <w:r w:rsidRPr="00431A54">
        <w:rPr>
          <w:i/>
        </w:rPr>
        <w:t>c</w:t>
      </w:r>
      <w:r w:rsidR="00770511" w:rsidRPr="00431A54">
        <w:rPr>
          <w:i/>
        </w:rPr>
        <w:t>)</w:t>
      </w:r>
      <w:r w:rsidR="00770511" w:rsidRPr="00431A54">
        <w:tab/>
      </w:r>
      <w:r w:rsidR="00770511" w:rsidRPr="00431A54">
        <w:rPr>
          <w:color w:val="000000"/>
        </w:rPr>
        <w:t xml:space="preserve">que le </w:t>
      </w:r>
      <w:r w:rsidR="00F518DD" w:rsidRPr="00431A54">
        <w:t>Rapport</w:t>
      </w:r>
      <w:r w:rsidR="00F518DD" w:rsidRPr="00431A54">
        <w:rPr>
          <w:color w:val="000000"/>
        </w:rPr>
        <w:t xml:space="preserve"> </w:t>
      </w:r>
      <w:r w:rsidR="00770511" w:rsidRPr="00431A54">
        <w:rPr>
          <w:color w:val="000000"/>
        </w:rPr>
        <w:t>UIT-R M.2320 traite de l</w:t>
      </w:r>
      <w:r w:rsidR="00BD27FA" w:rsidRPr="00431A54">
        <w:rPr>
          <w:color w:val="000000"/>
        </w:rPr>
        <w:t>'</w:t>
      </w:r>
      <w:r w:rsidR="00770511" w:rsidRPr="00431A54">
        <w:rPr>
          <w:color w:val="000000"/>
        </w:rPr>
        <w:t>évolution technologique future des systèmes IMT de Terre;</w:t>
      </w:r>
    </w:p>
    <w:p w14:paraId="297E3747" w14:textId="5C496AC0" w:rsidR="0030583B" w:rsidRPr="00431A54" w:rsidRDefault="0030583B" w:rsidP="009A664E">
      <w:pPr>
        <w:rPr>
          <w:color w:val="000000"/>
        </w:rPr>
      </w:pPr>
      <w:r w:rsidRPr="00431A54">
        <w:rPr>
          <w:i/>
          <w:iCs/>
          <w:color w:val="000000"/>
        </w:rPr>
        <w:t>d)</w:t>
      </w:r>
      <w:r w:rsidR="00BD27FA" w:rsidRPr="00431A54">
        <w:rPr>
          <w:color w:val="000000"/>
        </w:rPr>
        <w:tab/>
      </w:r>
      <w:r w:rsidRPr="00431A54">
        <w:rPr>
          <w:color w:val="000000"/>
        </w:rPr>
        <w:t xml:space="preserve">que le </w:t>
      </w:r>
      <w:r w:rsidR="00F518DD" w:rsidRPr="00431A54">
        <w:rPr>
          <w:color w:val="000000"/>
        </w:rPr>
        <w:t xml:space="preserve">Rapport </w:t>
      </w:r>
      <w:r w:rsidRPr="00431A54">
        <w:t>UIT</w:t>
      </w:r>
      <w:r w:rsidRPr="00431A54">
        <w:rPr>
          <w:color w:val="000000"/>
        </w:rPr>
        <w:t>-R M.2376 traite de la possibilité, sur le plan technique, de déployer des IMT dans les bandes supérieures à 6 GHz;</w:t>
      </w:r>
    </w:p>
    <w:p w14:paraId="4CD78CA5" w14:textId="17057A5F" w:rsidR="0030583B" w:rsidRPr="00431A54" w:rsidRDefault="0030583B" w:rsidP="009A664E">
      <w:r w:rsidRPr="00431A54">
        <w:rPr>
          <w:i/>
          <w:iCs/>
          <w:color w:val="000000"/>
        </w:rPr>
        <w:t>e)</w:t>
      </w:r>
      <w:r w:rsidR="00BD27FA" w:rsidRPr="00431A54">
        <w:rPr>
          <w:color w:val="000000"/>
        </w:rPr>
        <w:tab/>
      </w:r>
      <w:r w:rsidRPr="00431A54">
        <w:rPr>
          <w:color w:val="000000"/>
        </w:rPr>
        <w:t xml:space="preserve">que le </w:t>
      </w:r>
      <w:r w:rsidR="00F518DD" w:rsidRPr="00431A54">
        <w:t>Rapport</w:t>
      </w:r>
      <w:r w:rsidR="00F518DD" w:rsidRPr="00431A54">
        <w:rPr>
          <w:color w:val="000000"/>
        </w:rPr>
        <w:t xml:space="preserve"> </w:t>
      </w:r>
      <w:r w:rsidRPr="00431A54">
        <w:rPr>
          <w:color w:val="000000"/>
        </w:rPr>
        <w:t>UIT-R M.2370 contient une analyse des tendances qui influeront sur la croissance future du trafic des IMT au-delà de 2020 et des estimations de la demande de trafic à l</w:t>
      </w:r>
      <w:r w:rsidR="00BD27FA" w:rsidRPr="00431A54">
        <w:rPr>
          <w:color w:val="000000"/>
        </w:rPr>
        <w:t>'</w:t>
      </w:r>
      <w:r w:rsidRPr="00431A54">
        <w:rPr>
          <w:color w:val="000000"/>
        </w:rPr>
        <w:t>échelle mondiale pour la période 2020-2030</w:t>
      </w:r>
      <w:r w:rsidR="009B5C9B" w:rsidRPr="00431A54">
        <w:rPr>
          <w:color w:val="000000"/>
        </w:rPr>
        <w:t>,</w:t>
      </w:r>
    </w:p>
    <w:p w14:paraId="13122E99" w14:textId="13CB88D4" w:rsidR="00770511" w:rsidRPr="00431A54" w:rsidRDefault="00770511" w:rsidP="009A664E">
      <w:pPr>
        <w:pStyle w:val="Call"/>
        <w:rPr>
          <w:highlight w:val="cyan"/>
        </w:rPr>
      </w:pPr>
      <w:r w:rsidRPr="00431A54">
        <w:t>reconnaissant</w:t>
      </w:r>
    </w:p>
    <w:p w14:paraId="3B924FCA" w14:textId="5DCC115C" w:rsidR="00770511" w:rsidRPr="00431A54" w:rsidRDefault="00770511" w:rsidP="009A664E">
      <w:pPr>
        <w:rPr>
          <w:highlight w:val="cyan"/>
        </w:rPr>
      </w:pPr>
      <w:r w:rsidRPr="00431A54">
        <w:rPr>
          <w:i/>
        </w:rPr>
        <w:t>a)</w:t>
      </w:r>
      <w:r w:rsidRPr="00431A54">
        <w:tab/>
        <w:t>qu</w:t>
      </w:r>
      <w:r w:rsidR="00BD27FA" w:rsidRPr="00431A54">
        <w:t>'</w:t>
      </w:r>
      <w:r w:rsidRPr="00431A54">
        <w:t>il existe un délai entre l</w:t>
      </w:r>
      <w:r w:rsidR="00BD27FA" w:rsidRPr="00431A54">
        <w:t>'</w:t>
      </w:r>
      <w:r w:rsidRPr="00431A54">
        <w:t>attribution de bandes de fréquences par les conférences mondiale des radiocommunications et le déploiement de systèmes dans ces bandes de fréquences et qu</w:t>
      </w:r>
      <w:r w:rsidR="00BD27FA" w:rsidRPr="00431A54">
        <w:t>'</w:t>
      </w:r>
      <w:r w:rsidRPr="00431A54">
        <w:t>il est donc important de mettre rapidement à disposition des blocs de fréquences larges et contigus pour permettre le développement des IMT;</w:t>
      </w:r>
    </w:p>
    <w:p w14:paraId="770BD8AA" w14:textId="77777777" w:rsidR="00770511" w:rsidRPr="00431A54" w:rsidRDefault="00770511" w:rsidP="009A664E">
      <w:pPr>
        <w:rPr>
          <w:highlight w:val="cyan"/>
        </w:rPr>
      </w:pPr>
      <w:r w:rsidRPr="00431A54">
        <w:rPr>
          <w:i/>
        </w:rPr>
        <w:t>b)</w:t>
      </w:r>
      <w:r w:rsidRPr="00431A54">
        <w:tab/>
        <w:t>que les bandes de fréquences attribuées en exclusivité aux services passifs ne conviennent pas pour une attribution au service mobile;</w:t>
      </w:r>
    </w:p>
    <w:p w14:paraId="1C83DB42" w14:textId="7852FFC9" w:rsidR="00770511" w:rsidRPr="00431A54" w:rsidRDefault="00770511" w:rsidP="009A664E">
      <w:r w:rsidRPr="00431A54">
        <w:rPr>
          <w:i/>
        </w:rPr>
        <w:t>c)</w:t>
      </w:r>
      <w:r w:rsidRPr="00431A54">
        <w:tab/>
        <w:t>que toute identification de bandes de fréquences pour les IMT devrait tenir compte de l</w:t>
      </w:r>
      <w:r w:rsidR="00BD27FA" w:rsidRPr="00431A54">
        <w:t>'</w:t>
      </w:r>
      <w:r w:rsidRPr="00431A54">
        <w:t>utilisation des bandes de fréquences par d</w:t>
      </w:r>
      <w:r w:rsidR="00BD27FA" w:rsidRPr="00431A54">
        <w:t>'</w:t>
      </w:r>
      <w:r w:rsidRPr="00431A54">
        <w:t>autres services ainsi que de l</w:t>
      </w:r>
      <w:r w:rsidR="00BD27FA" w:rsidRPr="00431A54">
        <w:t>'</w:t>
      </w:r>
      <w:r w:rsidRPr="00431A54">
        <w:t>évolution des besoins de ces services;</w:t>
      </w:r>
    </w:p>
    <w:p w14:paraId="097F433A" w14:textId="292E828C" w:rsidR="00770511" w:rsidRPr="00431A54" w:rsidRDefault="00770511" w:rsidP="009A664E">
      <w:r w:rsidRPr="00431A54">
        <w:rPr>
          <w:i/>
          <w:iCs/>
        </w:rPr>
        <w:t>d)</w:t>
      </w:r>
      <w:r w:rsidRPr="00431A54">
        <w:tab/>
        <w:t>qu</w:t>
      </w:r>
      <w:r w:rsidR="00BD27FA" w:rsidRPr="00431A54">
        <w:t>'</w:t>
      </w:r>
      <w:r w:rsidRPr="00431A54">
        <w:t>aucune autre contrainte réglementaire ou technique ne devrait être imposée aux services auxquels la bande de fréquences est actuellement attribuée à titre primaire</w:t>
      </w:r>
      <w:r w:rsidR="00BD27FA" w:rsidRPr="00431A54">
        <w:t>;</w:t>
      </w:r>
    </w:p>
    <w:p w14:paraId="68322BEE" w14:textId="4A5B5DF9" w:rsidR="0039288E" w:rsidRPr="00431A54" w:rsidRDefault="00770511" w:rsidP="009A664E">
      <w:r w:rsidRPr="00431A54">
        <w:rPr>
          <w:i/>
        </w:rPr>
        <w:t>e)</w:t>
      </w:r>
      <w:r w:rsidRPr="00431A54">
        <w:tab/>
      </w:r>
      <w:r w:rsidR="0030583B" w:rsidRPr="00431A54">
        <w:t>qu</w:t>
      </w:r>
      <w:r w:rsidR="00BD27FA" w:rsidRPr="00431A54">
        <w:t>'</w:t>
      </w:r>
      <w:r w:rsidR="0030583B" w:rsidRPr="00431A54">
        <w:t>il faut assurer la protection des bandes attribuées aux services passifs qui sont adjacentes aux bandes envisagées pour les</w:t>
      </w:r>
      <w:r w:rsidR="00BD27FA" w:rsidRPr="00431A54">
        <w:t xml:space="preserve"> </w:t>
      </w:r>
      <w:r w:rsidRPr="00431A54">
        <w:t>IMT</w:t>
      </w:r>
      <w:r w:rsidR="0030583B" w:rsidRPr="00431A54">
        <w:t>,</w:t>
      </w:r>
    </w:p>
    <w:p w14:paraId="58730EEE" w14:textId="58611CD5" w:rsidR="00770511" w:rsidRPr="00431A54" w:rsidRDefault="00770511" w:rsidP="009A664E">
      <w:pPr>
        <w:pStyle w:val="Call"/>
      </w:pPr>
      <w:r w:rsidRPr="00431A54">
        <w:t>décide d</w:t>
      </w:r>
      <w:r w:rsidR="00BD27FA" w:rsidRPr="00431A54">
        <w:t>'</w:t>
      </w:r>
      <w:r w:rsidRPr="00431A54">
        <w:t>inviter l</w:t>
      </w:r>
      <w:r w:rsidR="00BD27FA" w:rsidRPr="00431A54">
        <w:t>'</w:t>
      </w:r>
      <w:r w:rsidRPr="00431A54">
        <w:t>UIT-R</w:t>
      </w:r>
    </w:p>
    <w:p w14:paraId="798402F9" w14:textId="7A737902" w:rsidR="00770511" w:rsidRPr="00431A54" w:rsidRDefault="00770511" w:rsidP="009A664E">
      <w:r w:rsidRPr="00431A54">
        <w:t>1</w:t>
      </w:r>
      <w:r w:rsidRPr="00431A54">
        <w:tab/>
        <w:t>à mener et à achever, à temps pour la CMR-</w:t>
      </w:r>
      <w:r w:rsidR="0030583B" w:rsidRPr="00431A54">
        <w:t>23</w:t>
      </w:r>
      <w:r w:rsidRPr="00431A54">
        <w:t xml:space="preserve">, les études appropriées pour déterminer les besoins de spectre de la composante de Terre des IMT dans la gamme de fréquences comprise entre </w:t>
      </w:r>
      <w:r w:rsidR="0030583B" w:rsidRPr="00431A54">
        <w:rPr>
          <w:szCs w:val="24"/>
        </w:rPr>
        <w:t xml:space="preserve">3 300 MHz </w:t>
      </w:r>
      <w:r w:rsidR="009B5C9B" w:rsidRPr="00431A54">
        <w:rPr>
          <w:szCs w:val="24"/>
        </w:rPr>
        <w:t>et</w:t>
      </w:r>
      <w:r w:rsidR="0030583B" w:rsidRPr="00431A54">
        <w:rPr>
          <w:szCs w:val="24"/>
        </w:rPr>
        <w:t xml:space="preserve"> 15</w:t>
      </w:r>
      <w:r w:rsidR="00BD27FA" w:rsidRPr="00431A54">
        <w:rPr>
          <w:szCs w:val="24"/>
        </w:rPr>
        <w:t>,</w:t>
      </w:r>
      <w:r w:rsidR="0030583B" w:rsidRPr="00431A54">
        <w:rPr>
          <w:szCs w:val="24"/>
        </w:rPr>
        <w:t xml:space="preserve">35 GHz, </w:t>
      </w:r>
      <w:r w:rsidRPr="00431A54">
        <w:t>en tenant compte:</w:t>
      </w:r>
    </w:p>
    <w:p w14:paraId="3A0C9A57" w14:textId="1B099330" w:rsidR="00F90253" w:rsidRPr="00431A54" w:rsidRDefault="00F90253" w:rsidP="009A664E">
      <w:pPr>
        <w:pStyle w:val="enumlev1"/>
        <w:rPr>
          <w:lang w:eastAsia="ko-KR"/>
        </w:rPr>
      </w:pPr>
      <w:r w:rsidRPr="00431A54">
        <w:rPr>
          <w:lang w:eastAsia="ko-KR"/>
        </w:rPr>
        <w:t>–</w:t>
      </w:r>
      <w:r w:rsidRPr="00431A54">
        <w:rPr>
          <w:lang w:eastAsia="ko-KR"/>
        </w:rPr>
        <w:tab/>
        <w:t>des caractéristiques techniques et opérationnelles des systèmes IMT de Terre qui fonctionneraient dans cette gamme de fréquences, y compris de l</w:t>
      </w:r>
      <w:r w:rsidR="00BD27FA" w:rsidRPr="00431A54">
        <w:rPr>
          <w:lang w:eastAsia="ko-KR"/>
        </w:rPr>
        <w:t>'</w:t>
      </w:r>
      <w:r w:rsidRPr="00431A54">
        <w:rPr>
          <w:lang w:eastAsia="ko-KR"/>
        </w:rPr>
        <w:t>évolution des IMT grâce aux progrès technologiques et aux techniques à grande efficacité spectrale;</w:t>
      </w:r>
    </w:p>
    <w:p w14:paraId="1089DDD7" w14:textId="77777777" w:rsidR="00F90253" w:rsidRPr="00431A54" w:rsidRDefault="00F90253" w:rsidP="009A664E">
      <w:pPr>
        <w:pStyle w:val="enumlev1"/>
      </w:pPr>
      <w:r w:rsidRPr="00431A54">
        <w:t>–</w:t>
      </w:r>
      <w:r w:rsidRPr="00431A54">
        <w:tab/>
        <w:t>des scénarios de déploiement envisagés pour les systèmes IMT-2020 et des exigences liées au volume de trafic de données important, par exemple dans les zones urbaines denses et/ou aux heures de pointe;</w:t>
      </w:r>
    </w:p>
    <w:p w14:paraId="1410399B" w14:textId="77777777" w:rsidR="00F90253" w:rsidRPr="00431A54" w:rsidRDefault="00F90253" w:rsidP="009A664E">
      <w:pPr>
        <w:pStyle w:val="enumlev1"/>
      </w:pPr>
      <w:r w:rsidRPr="00431A54">
        <w:t>–</w:t>
      </w:r>
      <w:r w:rsidRPr="00431A54">
        <w:tab/>
        <w:t>des besoins des pays en développement;</w:t>
      </w:r>
    </w:p>
    <w:p w14:paraId="4D7EA123" w14:textId="77777777" w:rsidR="00F90253" w:rsidRPr="00431A54" w:rsidRDefault="00F90253" w:rsidP="009A664E">
      <w:pPr>
        <w:pStyle w:val="enumlev1"/>
      </w:pPr>
      <w:r w:rsidRPr="00431A54">
        <w:rPr>
          <w:lang w:eastAsia="ko-KR"/>
        </w:rPr>
        <w:t>–</w:t>
      </w:r>
      <w:r w:rsidRPr="00431A54">
        <w:rPr>
          <w:lang w:eastAsia="ko-KR"/>
        </w:rPr>
        <w:tab/>
        <w:t>des délais dans lesquels les bandes de fréquences seraient nécessaires;</w:t>
      </w:r>
    </w:p>
    <w:p w14:paraId="59D29B90" w14:textId="7660AECC" w:rsidR="00F90253" w:rsidRPr="00431A54" w:rsidRDefault="00F90253" w:rsidP="009A664E">
      <w:r w:rsidRPr="00431A54">
        <w:t>2</w:t>
      </w:r>
      <w:r w:rsidRPr="00431A54">
        <w:tab/>
        <w:t>à mener et à achever, à temps pour la CMR-</w:t>
      </w:r>
      <w:r w:rsidR="0030583B" w:rsidRPr="00431A54">
        <w:t>23</w:t>
      </w:r>
      <w:r w:rsidRPr="00431A54">
        <w:t>, les études de partage et de compatibilité appropriées</w:t>
      </w:r>
      <w:r w:rsidR="0030583B" w:rsidRPr="00431A54">
        <w:rPr>
          <w:color w:val="000000"/>
        </w:rPr>
        <w:t xml:space="preserve"> dans les bandes </w:t>
      </w:r>
      <w:r w:rsidR="0030583B" w:rsidRPr="00431A54">
        <w:t>de fréquences</w:t>
      </w:r>
      <w:r w:rsidR="003A7E8A" w:rsidRPr="00431A54">
        <w:t xml:space="preserve"> 3 300-3 400 MHz, 3 600-3 700 MHz, 3 700-3 800 MHz, 4 800-4 990 MHz, 10 000-10 500 MHz et 14 800-15 350 MHz</w:t>
      </w:r>
      <w:r w:rsidRPr="00431A54">
        <w:t>,</w:t>
      </w:r>
      <w:r w:rsidR="0030583B" w:rsidRPr="00431A54">
        <w:t xml:space="preserve"> ou dans des parties de ces bandes</w:t>
      </w:r>
      <w:r w:rsidR="003A7E8A" w:rsidRPr="00431A54">
        <w:t>,</w:t>
      </w:r>
    </w:p>
    <w:p w14:paraId="454A0F86" w14:textId="77777777" w:rsidR="009B5C9B" w:rsidRPr="00431A54" w:rsidRDefault="009C2605" w:rsidP="00C25A1C">
      <w:pPr>
        <w:pStyle w:val="Call"/>
      </w:pPr>
      <w:r w:rsidRPr="00431A54">
        <w:lastRenderedPageBreak/>
        <w:t>décide en outre</w:t>
      </w:r>
    </w:p>
    <w:p w14:paraId="6A6CF4C2" w14:textId="77777777" w:rsidR="009B5C9B" w:rsidRPr="00431A54" w:rsidRDefault="009C2605" w:rsidP="00C25A1C">
      <w:pPr>
        <w:keepNext/>
        <w:keepLines/>
      </w:pPr>
      <w:r w:rsidRPr="00431A54">
        <w:t>d</w:t>
      </w:r>
      <w:r w:rsidR="00BD27FA" w:rsidRPr="00431A54">
        <w:t>'</w:t>
      </w:r>
      <w:r w:rsidRPr="00431A54">
        <w:t xml:space="preserve">inviter la </w:t>
      </w:r>
      <w:r w:rsidR="004730A0" w:rsidRPr="00431A54">
        <w:t>CMR</w:t>
      </w:r>
      <w:r w:rsidRPr="00431A54">
        <w:t>-</w:t>
      </w:r>
      <w:r w:rsidR="008E540A" w:rsidRPr="00431A54">
        <w:t>23</w:t>
      </w:r>
      <w:r w:rsidR="004730A0" w:rsidRPr="00431A54">
        <w:t xml:space="preserve"> à étudier, compte tenu des résultats des études ci-dessus, des attributions de fréquences additionnelles au service mobile à titre primaire, et à envisager l</w:t>
      </w:r>
      <w:r w:rsidR="00BD27FA" w:rsidRPr="00431A54">
        <w:t>'</w:t>
      </w:r>
      <w:r w:rsidR="004730A0" w:rsidRPr="00431A54">
        <w:t xml:space="preserve">identification de bandes de fréquences pour la composante de Terre des IMT; les bandes de fréquences qui seront envisagées seront limitées à une partie ou à la totalité des bandes de fréquences énumérées au point 2 du </w:t>
      </w:r>
      <w:r w:rsidR="004730A0" w:rsidRPr="00431A54">
        <w:rPr>
          <w:i/>
          <w:iCs/>
        </w:rPr>
        <w:t>décide d</w:t>
      </w:r>
      <w:r w:rsidR="00BD27FA" w:rsidRPr="00431A54">
        <w:rPr>
          <w:i/>
          <w:iCs/>
        </w:rPr>
        <w:t>'</w:t>
      </w:r>
      <w:r w:rsidR="004730A0" w:rsidRPr="00431A54">
        <w:rPr>
          <w:i/>
          <w:iCs/>
        </w:rPr>
        <w:t>inviter l</w:t>
      </w:r>
      <w:r w:rsidR="00BD27FA" w:rsidRPr="00431A54">
        <w:rPr>
          <w:i/>
          <w:iCs/>
        </w:rPr>
        <w:t>'</w:t>
      </w:r>
      <w:r w:rsidR="004730A0" w:rsidRPr="00431A54">
        <w:rPr>
          <w:i/>
          <w:iCs/>
        </w:rPr>
        <w:t>UIT-R</w:t>
      </w:r>
      <w:r w:rsidR="004730A0" w:rsidRPr="00431A54">
        <w:t>,</w:t>
      </w:r>
    </w:p>
    <w:p w14:paraId="085BDB78" w14:textId="70F69ED9" w:rsidR="009C2605" w:rsidRPr="00431A54" w:rsidRDefault="009C2605" w:rsidP="00C25A1C">
      <w:pPr>
        <w:pStyle w:val="Call"/>
      </w:pPr>
      <w:r w:rsidRPr="00431A54">
        <w:t>invite les administrations</w:t>
      </w:r>
    </w:p>
    <w:p w14:paraId="1B3EB444" w14:textId="3BDA66A5" w:rsidR="00AC1F4F" w:rsidRPr="00431A54" w:rsidRDefault="009C2605" w:rsidP="00C25A1C">
      <w:pPr>
        <w:keepNext/>
        <w:keepLines/>
        <w:rPr>
          <w:lang w:eastAsia="nl-NL"/>
        </w:rPr>
      </w:pPr>
      <w:r w:rsidRPr="00431A54">
        <w:rPr>
          <w:lang w:eastAsia="nl-NL"/>
        </w:rPr>
        <w:t>à participer activement à ces études en soumettant des contributions à l</w:t>
      </w:r>
      <w:r w:rsidR="00BD27FA" w:rsidRPr="00431A54">
        <w:rPr>
          <w:lang w:eastAsia="nl-NL"/>
        </w:rPr>
        <w:t>'</w:t>
      </w:r>
      <w:r w:rsidRPr="00431A54">
        <w:rPr>
          <w:lang w:eastAsia="nl-NL"/>
        </w:rPr>
        <w:t>UIT-R</w:t>
      </w:r>
      <w:r w:rsidR="009B5C9B" w:rsidRPr="00431A54">
        <w:rPr>
          <w:lang w:eastAsia="nl-NL"/>
        </w:rPr>
        <w:t>.</w:t>
      </w:r>
    </w:p>
    <w:p w14:paraId="44A089F4" w14:textId="77777777" w:rsidR="00082DAD" w:rsidRPr="00431A54" w:rsidRDefault="00082DAD" w:rsidP="009A664E">
      <w:pPr>
        <w:pStyle w:val="Reasons"/>
        <w:rPr>
          <w:lang w:eastAsia="nl-NL"/>
        </w:rPr>
      </w:pPr>
    </w:p>
    <w:p w14:paraId="4B82BAB7" w14:textId="176FF93B" w:rsidR="00882123" w:rsidRPr="00431A54" w:rsidRDefault="00882123" w:rsidP="009A664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nl-NL"/>
        </w:rPr>
      </w:pPr>
      <w:r w:rsidRPr="00431A54">
        <w:rPr>
          <w:lang w:eastAsia="nl-NL"/>
        </w:rPr>
        <w:br w:type="page"/>
      </w:r>
    </w:p>
    <w:p w14:paraId="14864C8F" w14:textId="7B3BAA06" w:rsidR="009C2605" w:rsidRPr="00431A54" w:rsidRDefault="009C2605" w:rsidP="009A664E">
      <w:pPr>
        <w:pStyle w:val="AnnexNo"/>
        <w:rPr>
          <w:lang w:eastAsia="ko-KR"/>
        </w:rPr>
      </w:pPr>
      <w:r w:rsidRPr="00431A54">
        <w:rPr>
          <w:rFonts w:eastAsia="MS Mincho"/>
          <w:lang w:eastAsia="ja-JP"/>
        </w:rPr>
        <w:lastRenderedPageBreak/>
        <w:t>A</w:t>
      </w:r>
      <w:bookmarkStart w:id="7" w:name="_GoBack"/>
      <w:bookmarkEnd w:id="7"/>
      <w:r w:rsidRPr="00431A54">
        <w:rPr>
          <w:rFonts w:eastAsia="MS Mincho"/>
          <w:lang w:eastAsia="ja-JP"/>
        </w:rPr>
        <w:t>NNEX</w:t>
      </w:r>
      <w:r w:rsidR="000D1545" w:rsidRPr="00431A54">
        <w:rPr>
          <w:rFonts w:eastAsia="MS Mincho"/>
          <w:lang w:eastAsia="ja-JP"/>
        </w:rPr>
        <w:t>E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9"/>
        <w:gridCol w:w="5216"/>
      </w:tblGrid>
      <w:tr w:rsidR="009C2605" w:rsidRPr="00431A54" w14:paraId="7ED451D1" w14:textId="77777777" w:rsidTr="00E96761">
        <w:tc>
          <w:tcPr>
            <w:tcW w:w="9515" w:type="dxa"/>
            <w:gridSpan w:val="2"/>
            <w:tcBorders>
              <w:top w:val="nil"/>
              <w:bottom w:val="nil"/>
            </w:tcBorders>
          </w:tcPr>
          <w:p w14:paraId="7F33BC86" w14:textId="7B481DF9" w:rsidR="009C2605" w:rsidRPr="00431A54" w:rsidRDefault="005C70B1" w:rsidP="001B2066">
            <w:pPr>
              <w:spacing w:after="120"/>
              <w:rPr>
                <w:b/>
                <w:szCs w:val="24"/>
                <w:lang w:eastAsia="ko-KR"/>
              </w:rPr>
            </w:pPr>
            <w:r w:rsidRPr="00431A54">
              <w:rPr>
                <w:rFonts w:eastAsia="MS Gothic"/>
                <w:b/>
                <w:bCs/>
                <w:i/>
                <w:iCs/>
                <w:szCs w:val="24"/>
              </w:rPr>
              <w:t>Objet</w:t>
            </w:r>
            <w:r w:rsidR="008B7F33" w:rsidRPr="00431A54">
              <w:rPr>
                <w:rFonts w:eastAsia="MS Gothic"/>
                <w:b/>
                <w:bCs/>
                <w:szCs w:val="24"/>
              </w:rPr>
              <w:t xml:space="preserve">: </w:t>
            </w:r>
            <w:r w:rsidR="004730A0" w:rsidRPr="00431A54">
              <w:rPr>
                <w:rFonts w:eastAsia="MS Gothic"/>
                <w:szCs w:val="24"/>
              </w:rPr>
              <w:t>Proposition de point à inscrire à l</w:t>
            </w:r>
            <w:r w:rsidR="00BD27FA" w:rsidRPr="00431A54">
              <w:rPr>
                <w:rFonts w:eastAsia="MS Gothic"/>
                <w:szCs w:val="24"/>
              </w:rPr>
              <w:t>'</w:t>
            </w:r>
            <w:r w:rsidR="004730A0" w:rsidRPr="00431A54">
              <w:rPr>
                <w:rFonts w:eastAsia="MS Gothic"/>
                <w:szCs w:val="24"/>
              </w:rPr>
              <w:t>ordre du jour de la</w:t>
            </w:r>
            <w:r w:rsidR="00BD27FA" w:rsidRPr="00431A54">
              <w:rPr>
                <w:rFonts w:eastAsia="MS Gothic"/>
                <w:szCs w:val="24"/>
              </w:rPr>
              <w:t xml:space="preserve"> </w:t>
            </w:r>
            <w:r w:rsidR="006C41A9" w:rsidRPr="00431A54">
              <w:rPr>
                <w:szCs w:val="24"/>
                <w:lang w:eastAsia="ko-KR"/>
              </w:rPr>
              <w:t>CMR</w:t>
            </w:r>
            <w:r w:rsidR="008B7F33" w:rsidRPr="00431A54">
              <w:rPr>
                <w:szCs w:val="24"/>
                <w:lang w:eastAsia="ko-KR"/>
              </w:rPr>
              <w:t>-23</w:t>
            </w:r>
            <w:r w:rsidR="00BD27FA" w:rsidRPr="00431A54">
              <w:rPr>
                <w:szCs w:val="24"/>
                <w:lang w:eastAsia="ko-KR"/>
              </w:rPr>
              <w:t xml:space="preserve"> </w:t>
            </w:r>
          </w:p>
        </w:tc>
      </w:tr>
      <w:tr w:rsidR="009C2605" w:rsidRPr="00431A54" w14:paraId="5376141C" w14:textId="77777777" w:rsidTr="00E96761">
        <w:tc>
          <w:tcPr>
            <w:tcW w:w="9515" w:type="dxa"/>
            <w:gridSpan w:val="2"/>
            <w:tcBorders>
              <w:top w:val="nil"/>
            </w:tcBorders>
          </w:tcPr>
          <w:p w14:paraId="3253C9EB" w14:textId="2D2A99FD" w:rsidR="009C2605" w:rsidRPr="00431A54" w:rsidRDefault="005C70B1" w:rsidP="001B2066">
            <w:pPr>
              <w:spacing w:after="120"/>
              <w:rPr>
                <w:b/>
                <w:bCs/>
                <w:szCs w:val="24"/>
                <w:lang w:eastAsia="ko-KR"/>
              </w:rPr>
            </w:pPr>
            <w:r w:rsidRPr="00431A54">
              <w:rPr>
                <w:rFonts w:eastAsia="MS Gothic"/>
                <w:b/>
                <w:bCs/>
                <w:i/>
                <w:iCs/>
                <w:szCs w:val="24"/>
              </w:rPr>
              <w:t>Origine</w:t>
            </w:r>
            <w:r w:rsidR="009C2605" w:rsidRPr="00431A54">
              <w:rPr>
                <w:rFonts w:eastAsia="MS Gothic"/>
                <w:b/>
                <w:bCs/>
                <w:szCs w:val="24"/>
              </w:rPr>
              <w:t>:</w:t>
            </w:r>
            <w:r w:rsidR="004730A0" w:rsidRPr="00431A54">
              <w:rPr>
                <w:rFonts w:eastAsia="MS Gothic"/>
                <w:b/>
                <w:bCs/>
                <w:szCs w:val="24"/>
              </w:rPr>
              <w:t xml:space="preserve"> </w:t>
            </w:r>
            <w:r w:rsidR="004730A0" w:rsidRPr="00431A54">
              <w:rPr>
                <w:rFonts w:eastAsia="MS Gothic"/>
                <w:szCs w:val="24"/>
              </w:rPr>
              <w:t xml:space="preserve">États </w:t>
            </w:r>
            <w:r w:rsidR="009B5C9B" w:rsidRPr="00431A54">
              <w:rPr>
                <w:rFonts w:eastAsia="MS Gothic"/>
                <w:szCs w:val="24"/>
              </w:rPr>
              <w:t>M</w:t>
            </w:r>
            <w:r w:rsidR="004730A0" w:rsidRPr="00431A54">
              <w:rPr>
                <w:rFonts w:eastAsia="MS Gothic"/>
                <w:szCs w:val="24"/>
              </w:rPr>
              <w:t xml:space="preserve">embres de la </w:t>
            </w:r>
            <w:r w:rsidR="008B7F33" w:rsidRPr="00431A54">
              <w:rPr>
                <w:szCs w:val="24"/>
              </w:rPr>
              <w:t>CITEL</w:t>
            </w:r>
          </w:p>
        </w:tc>
      </w:tr>
      <w:tr w:rsidR="008B7F33" w:rsidRPr="00431A54" w14:paraId="32FF150E" w14:textId="77777777" w:rsidTr="00E96761">
        <w:tc>
          <w:tcPr>
            <w:tcW w:w="9515" w:type="dxa"/>
            <w:gridSpan w:val="2"/>
          </w:tcPr>
          <w:p w14:paraId="0341947F" w14:textId="77777777" w:rsidR="008B7F33" w:rsidRPr="00431A54" w:rsidRDefault="008B7F33" w:rsidP="001B2066">
            <w:pPr>
              <w:spacing w:after="120"/>
              <w:jc w:val="both"/>
              <w:rPr>
                <w:rFonts w:eastAsia="MS Gothic"/>
                <w:b/>
                <w:bCs/>
                <w:i/>
                <w:iCs/>
                <w:szCs w:val="24"/>
                <w:lang w:eastAsia="ja-JP"/>
              </w:rPr>
            </w:pPr>
            <w:r w:rsidRPr="00431A54">
              <w:rPr>
                <w:rFonts w:eastAsia="MS Gothic"/>
                <w:b/>
                <w:bCs/>
                <w:i/>
                <w:iCs/>
                <w:szCs w:val="24"/>
              </w:rPr>
              <w:t>Proposition:</w:t>
            </w:r>
          </w:p>
          <w:p w14:paraId="1C884656" w14:textId="0CB494D8" w:rsidR="008B7F33" w:rsidRPr="00431A54" w:rsidRDefault="004730A0" w:rsidP="00431A54">
            <w:pPr>
              <w:spacing w:after="120"/>
              <w:rPr>
                <w:szCs w:val="24"/>
                <w:lang w:eastAsia="ko-KR"/>
              </w:rPr>
            </w:pPr>
            <w:r w:rsidRPr="00431A54">
              <w:rPr>
                <w:szCs w:val="24"/>
                <w:lang w:eastAsia="ko-KR"/>
              </w:rPr>
              <w:t>Envisager l</w:t>
            </w:r>
            <w:r w:rsidR="00BD27FA" w:rsidRPr="00431A54">
              <w:rPr>
                <w:szCs w:val="24"/>
                <w:lang w:eastAsia="ko-KR"/>
              </w:rPr>
              <w:t>'</w:t>
            </w:r>
            <w:r w:rsidRPr="00431A54">
              <w:rPr>
                <w:szCs w:val="24"/>
                <w:lang w:eastAsia="ko-KR"/>
              </w:rPr>
              <w:t>identification de bande</w:t>
            </w:r>
            <w:r w:rsidR="005F72A6" w:rsidRPr="00431A54">
              <w:rPr>
                <w:szCs w:val="24"/>
                <w:lang w:eastAsia="ko-KR"/>
              </w:rPr>
              <w:t>s</w:t>
            </w:r>
            <w:r w:rsidRPr="00431A54">
              <w:rPr>
                <w:szCs w:val="24"/>
                <w:lang w:eastAsia="ko-KR"/>
              </w:rPr>
              <w:t xml:space="preserve"> de fréquences spécifiques pour les IMT dans la gamme comprise entre</w:t>
            </w:r>
            <w:r w:rsidR="00BD27FA" w:rsidRPr="00431A54">
              <w:rPr>
                <w:szCs w:val="24"/>
                <w:lang w:eastAsia="ko-KR"/>
              </w:rPr>
              <w:t xml:space="preserve"> </w:t>
            </w:r>
            <w:r w:rsidR="008B7F33" w:rsidRPr="00431A54">
              <w:rPr>
                <w:szCs w:val="24"/>
                <w:lang w:eastAsia="ko-KR"/>
              </w:rPr>
              <w:t xml:space="preserve">3 300 MHz </w:t>
            </w:r>
            <w:r w:rsidRPr="00431A54">
              <w:rPr>
                <w:szCs w:val="24"/>
                <w:lang w:eastAsia="ko-KR"/>
              </w:rPr>
              <w:t xml:space="preserve">et </w:t>
            </w:r>
            <w:r w:rsidR="008B7F33" w:rsidRPr="00431A54">
              <w:rPr>
                <w:szCs w:val="24"/>
                <w:lang w:eastAsia="ko-KR"/>
              </w:rPr>
              <w:t>15</w:t>
            </w:r>
            <w:r w:rsidR="009B5C9B" w:rsidRPr="00431A54">
              <w:rPr>
                <w:szCs w:val="24"/>
                <w:lang w:eastAsia="ko-KR"/>
              </w:rPr>
              <w:t>,</w:t>
            </w:r>
            <w:r w:rsidR="008B7F33" w:rsidRPr="00431A54">
              <w:rPr>
                <w:szCs w:val="24"/>
                <w:lang w:eastAsia="ko-KR"/>
              </w:rPr>
              <w:t>35 GHz</w:t>
            </w:r>
            <w:r w:rsidR="009B5C9B" w:rsidRPr="00431A54">
              <w:rPr>
                <w:szCs w:val="24"/>
                <w:lang w:eastAsia="ko-KR"/>
              </w:rPr>
              <w:t>,</w:t>
            </w:r>
            <w:r w:rsidRPr="00431A54">
              <w:rPr>
                <w:szCs w:val="24"/>
                <w:lang w:eastAsia="ko-KR"/>
              </w:rPr>
              <w:t xml:space="preserve"> conformément à la Résolution </w:t>
            </w:r>
            <w:r w:rsidR="008B7F33" w:rsidRPr="00431A54">
              <w:rPr>
                <w:b/>
                <w:bCs/>
                <w:szCs w:val="24"/>
                <w:lang w:eastAsia="ko-KR"/>
              </w:rPr>
              <w:t>[</w:t>
            </w:r>
            <w:r w:rsidR="008B7F33" w:rsidRPr="00431A54">
              <w:rPr>
                <w:rStyle w:val="href"/>
                <w:rFonts w:eastAsia="SimSun"/>
                <w:b/>
                <w:bCs/>
                <w:szCs w:val="24"/>
              </w:rPr>
              <w:t>I</w:t>
            </w:r>
            <w:r w:rsidR="00E933C3" w:rsidRPr="00431A54">
              <w:rPr>
                <w:rStyle w:val="href"/>
                <w:rFonts w:eastAsia="SimSun"/>
                <w:b/>
                <w:bCs/>
                <w:szCs w:val="24"/>
              </w:rPr>
              <w:t>AP/10(N)/I</w:t>
            </w:r>
            <w:r w:rsidR="008B7F33" w:rsidRPr="00431A54">
              <w:rPr>
                <w:rStyle w:val="href"/>
                <w:rFonts w:eastAsia="SimSun"/>
                <w:b/>
                <w:bCs/>
                <w:szCs w:val="24"/>
              </w:rPr>
              <w:t>MT-</w:t>
            </w:r>
            <w:r w:rsidR="006C41A9" w:rsidRPr="00431A54">
              <w:rPr>
                <w:rStyle w:val="href"/>
                <w:rFonts w:eastAsia="SimSun"/>
                <w:b/>
                <w:bCs/>
                <w:szCs w:val="24"/>
              </w:rPr>
              <w:t>CMR</w:t>
            </w:r>
            <w:r w:rsidR="008B7F33" w:rsidRPr="00431A54">
              <w:rPr>
                <w:rStyle w:val="href"/>
                <w:rFonts w:eastAsia="SimSun"/>
                <w:b/>
                <w:bCs/>
                <w:szCs w:val="24"/>
              </w:rPr>
              <w:t>-23]</w:t>
            </w:r>
            <w:r w:rsidR="008B7F33" w:rsidRPr="00431A54">
              <w:rPr>
                <w:szCs w:val="24"/>
                <w:lang w:eastAsia="ko-KR"/>
              </w:rPr>
              <w:t xml:space="preserve"> (</w:t>
            </w:r>
            <w:r w:rsidR="006C41A9" w:rsidRPr="00431A54">
              <w:rPr>
                <w:szCs w:val="24"/>
                <w:lang w:eastAsia="ko-KR"/>
              </w:rPr>
              <w:t>CMR</w:t>
            </w:r>
            <w:r w:rsidR="008B7F33" w:rsidRPr="00431A54">
              <w:rPr>
                <w:szCs w:val="24"/>
                <w:lang w:eastAsia="ko-KR"/>
              </w:rPr>
              <w:t>-23).</w:t>
            </w:r>
          </w:p>
        </w:tc>
      </w:tr>
      <w:tr w:rsidR="008B7F33" w:rsidRPr="00431A54" w14:paraId="3567773B" w14:textId="77777777" w:rsidTr="00E96761">
        <w:tc>
          <w:tcPr>
            <w:tcW w:w="9515" w:type="dxa"/>
            <w:gridSpan w:val="2"/>
          </w:tcPr>
          <w:p w14:paraId="58240DAF" w14:textId="1184C29C" w:rsidR="004730A0" w:rsidRPr="00431A54" w:rsidRDefault="004730A0" w:rsidP="001B2066">
            <w:pPr>
              <w:spacing w:after="120"/>
              <w:rPr>
                <w:szCs w:val="24"/>
              </w:rPr>
            </w:pPr>
            <w:r w:rsidRPr="00431A54">
              <w:rPr>
                <w:szCs w:val="24"/>
              </w:rPr>
              <w:t>La CMR-19</w:t>
            </w:r>
            <w:r w:rsidR="00BD27FA" w:rsidRPr="00431A54">
              <w:rPr>
                <w:szCs w:val="24"/>
              </w:rPr>
              <w:t xml:space="preserve"> </w:t>
            </w:r>
            <w:r w:rsidRPr="00431A54">
              <w:rPr>
                <w:szCs w:val="24"/>
              </w:rPr>
              <w:t>s</w:t>
            </w:r>
            <w:r w:rsidR="00BD27FA" w:rsidRPr="00431A54">
              <w:rPr>
                <w:szCs w:val="24"/>
              </w:rPr>
              <w:t>'</w:t>
            </w:r>
            <w:r w:rsidRPr="00431A54">
              <w:rPr>
                <w:szCs w:val="24"/>
              </w:rPr>
              <w:t>efforcera d</w:t>
            </w:r>
            <w:r w:rsidR="00BD27FA" w:rsidRPr="00431A54">
              <w:rPr>
                <w:szCs w:val="24"/>
              </w:rPr>
              <w:t>'</w:t>
            </w:r>
            <w:r w:rsidRPr="00431A54">
              <w:rPr>
                <w:szCs w:val="24"/>
              </w:rPr>
              <w:t xml:space="preserve">identifier des bandes en ondes millimétriques pour </w:t>
            </w:r>
            <w:r w:rsidR="009B5C9B" w:rsidRPr="00431A54">
              <w:rPr>
                <w:szCs w:val="24"/>
              </w:rPr>
              <w:t xml:space="preserve">les IMT afin de </w:t>
            </w:r>
            <w:r w:rsidRPr="00431A54">
              <w:rPr>
                <w:szCs w:val="24"/>
              </w:rPr>
              <w:t>permettre la mise en place de réseaux 5G de qualité et de grande capacité.</w:t>
            </w:r>
            <w:r w:rsidR="00BD27FA" w:rsidRPr="00431A54">
              <w:rPr>
                <w:szCs w:val="24"/>
              </w:rPr>
              <w:t xml:space="preserve"> </w:t>
            </w:r>
            <w:r w:rsidRPr="00431A54">
              <w:rPr>
                <w:szCs w:val="24"/>
              </w:rPr>
              <w:t>Afin de faire en sorte que la 5G soit disponible dans toutes les régions, il conviendrait également d</w:t>
            </w:r>
            <w:r w:rsidR="00BD27FA" w:rsidRPr="00431A54">
              <w:rPr>
                <w:szCs w:val="24"/>
              </w:rPr>
              <w:t>'</w:t>
            </w:r>
            <w:r w:rsidRPr="00431A54">
              <w:rPr>
                <w:szCs w:val="24"/>
              </w:rPr>
              <w:t>examiner les fréquences inférieures situées dans la gamme comprise entre les limites fixées par la</w:t>
            </w:r>
            <w:r w:rsidR="00BD27FA" w:rsidRPr="00431A54">
              <w:rPr>
                <w:szCs w:val="24"/>
              </w:rPr>
              <w:t xml:space="preserve"> </w:t>
            </w:r>
            <w:r w:rsidRPr="00431A54">
              <w:rPr>
                <w:szCs w:val="24"/>
              </w:rPr>
              <w:t>CMR-15 (limite supérieure 3</w:t>
            </w:r>
            <w:r w:rsidR="009B5C9B" w:rsidRPr="00431A54">
              <w:rPr>
                <w:szCs w:val="24"/>
              </w:rPr>
              <w:t>,</w:t>
            </w:r>
            <w:r w:rsidRPr="00431A54">
              <w:rPr>
                <w:szCs w:val="24"/>
              </w:rPr>
              <w:t>7 GHz) et la CMR-19 (limite inférieure 24 GHz). Dans le présent document, la CITEL indique les bandes qui sont appuyées par le secteur ou par les pays /régions.</w:t>
            </w:r>
          </w:p>
          <w:p w14:paraId="7A2DDC25" w14:textId="3F1B6C84" w:rsidR="004730A0" w:rsidRPr="00431A54" w:rsidRDefault="004730A0" w:rsidP="001B2066">
            <w:pPr>
              <w:spacing w:after="120"/>
              <w:rPr>
                <w:szCs w:val="24"/>
              </w:rPr>
            </w:pPr>
            <w:r w:rsidRPr="00431A54">
              <w:rPr>
                <w:szCs w:val="24"/>
              </w:rPr>
              <w:t>Les premiers produits 5G qui ont fait leur apparition sur le marché ont mis en lumière les défis qui attendent les gestionnaires du spectre. D</w:t>
            </w:r>
            <w:r w:rsidR="00BD27FA" w:rsidRPr="00431A54">
              <w:rPr>
                <w:szCs w:val="24"/>
              </w:rPr>
              <w:t>'</w:t>
            </w:r>
            <w:r w:rsidRPr="00431A54">
              <w:rPr>
                <w:szCs w:val="24"/>
              </w:rPr>
              <w:t>après SK Telecom, l</w:t>
            </w:r>
            <w:r w:rsidR="00BD27FA" w:rsidRPr="00431A54">
              <w:rPr>
                <w:szCs w:val="24"/>
              </w:rPr>
              <w:t>'</w:t>
            </w:r>
            <w:r w:rsidRPr="00431A54">
              <w:rPr>
                <w:szCs w:val="24"/>
              </w:rPr>
              <w:t>utilisation de données 5G</w:t>
            </w:r>
            <w:r w:rsidR="00BD27FA" w:rsidRPr="00431A54">
              <w:rPr>
                <w:szCs w:val="24"/>
              </w:rPr>
              <w:t xml:space="preserve"> </w:t>
            </w:r>
            <w:r w:rsidRPr="00431A54">
              <w:rPr>
                <w:szCs w:val="24"/>
              </w:rPr>
              <w:t>a triplé</w:t>
            </w:r>
            <w:r w:rsidR="00BD27FA" w:rsidRPr="00431A54">
              <w:rPr>
                <w:szCs w:val="24"/>
              </w:rPr>
              <w:t xml:space="preserve"> </w:t>
            </w:r>
            <w:r w:rsidRPr="00431A54">
              <w:rPr>
                <w:szCs w:val="24"/>
              </w:rPr>
              <w:t>par rapport à la</w:t>
            </w:r>
            <w:r w:rsidR="00BD27FA" w:rsidRPr="00431A54">
              <w:rPr>
                <w:szCs w:val="24"/>
              </w:rPr>
              <w:t xml:space="preserve"> </w:t>
            </w:r>
            <w:r w:rsidRPr="00431A54">
              <w:rPr>
                <w:szCs w:val="24"/>
              </w:rPr>
              <w:t>4G. LG Uplus, au début du lancement de la 5G</w:t>
            </w:r>
            <w:r w:rsidR="00BD27FA" w:rsidRPr="00431A54">
              <w:rPr>
                <w:szCs w:val="24"/>
              </w:rPr>
              <w:t>,</w:t>
            </w:r>
            <w:r w:rsidRPr="00431A54">
              <w:rPr>
                <w:szCs w:val="24"/>
              </w:rPr>
              <w:t xml:space="preserve"> a constaté que chaque abonné utilisait 1</w:t>
            </w:r>
            <w:r w:rsidR="009B5C9B" w:rsidRPr="00431A54">
              <w:rPr>
                <w:szCs w:val="24"/>
              </w:rPr>
              <w:t>,</w:t>
            </w:r>
            <w:r w:rsidRPr="00431A54">
              <w:rPr>
                <w:szCs w:val="24"/>
              </w:rPr>
              <w:t>3 gigaoctet</w:t>
            </w:r>
            <w:r w:rsidR="00BD27FA" w:rsidRPr="00431A54">
              <w:rPr>
                <w:szCs w:val="24"/>
              </w:rPr>
              <w:t xml:space="preserve"> </w:t>
            </w:r>
            <w:r w:rsidRPr="00431A54">
              <w:rPr>
                <w:szCs w:val="24"/>
              </w:rPr>
              <w:t>de données par jour. S</w:t>
            </w:r>
            <w:r w:rsidR="00BD27FA" w:rsidRPr="00431A54">
              <w:rPr>
                <w:szCs w:val="24"/>
              </w:rPr>
              <w:t>'</w:t>
            </w:r>
            <w:r w:rsidRPr="00431A54">
              <w:rPr>
                <w:szCs w:val="24"/>
              </w:rPr>
              <w:t>il est vrai qu</w:t>
            </w:r>
            <w:r w:rsidR="00BD27FA" w:rsidRPr="00431A54">
              <w:rPr>
                <w:szCs w:val="24"/>
              </w:rPr>
              <w:t>'</w:t>
            </w:r>
            <w:r w:rsidRPr="00431A54">
              <w:rPr>
                <w:szCs w:val="24"/>
              </w:rPr>
              <w:t>un accès suffisant aux bandes d</w:t>
            </w:r>
            <w:r w:rsidR="00BD27FA" w:rsidRPr="00431A54">
              <w:rPr>
                <w:szCs w:val="24"/>
              </w:rPr>
              <w:t>'</w:t>
            </w:r>
            <w:r w:rsidRPr="00431A54">
              <w:rPr>
                <w:szCs w:val="24"/>
              </w:rPr>
              <w:t xml:space="preserve">ondes millimétriques permet de </w:t>
            </w:r>
            <w:r w:rsidR="009B5C9B" w:rsidRPr="00431A54">
              <w:rPr>
                <w:szCs w:val="24"/>
              </w:rPr>
              <w:t xml:space="preserve">surmonter </w:t>
            </w:r>
            <w:r w:rsidRPr="00431A54">
              <w:rPr>
                <w:szCs w:val="24"/>
              </w:rPr>
              <w:t>les problèmes de capacité, une amélioration de la propagation et de la couverture en intérieur sera nécessaire en étroite association avec la capacité en ondes millimétriques.</w:t>
            </w:r>
          </w:p>
          <w:p w14:paraId="637C5F78" w14:textId="31B540D4" w:rsidR="008B7F33" w:rsidRPr="00431A54" w:rsidRDefault="004730A0" w:rsidP="001B2066">
            <w:pPr>
              <w:spacing w:after="120"/>
              <w:rPr>
                <w:szCs w:val="24"/>
              </w:rPr>
            </w:pPr>
            <w:r w:rsidRPr="00431A54">
              <w:rPr>
                <w:szCs w:val="24"/>
              </w:rPr>
              <w:t>Dans la bande des 3 GHz</w:t>
            </w:r>
            <w:r w:rsidR="00BD27FA" w:rsidRPr="00431A54">
              <w:rPr>
                <w:szCs w:val="24"/>
              </w:rPr>
              <w:t>,</w:t>
            </w:r>
            <w:r w:rsidRPr="00431A54">
              <w:rPr>
                <w:szCs w:val="24"/>
              </w:rPr>
              <w:t xml:space="preserve"> on a besoin d</w:t>
            </w:r>
            <w:r w:rsidR="00BD27FA" w:rsidRPr="00431A54">
              <w:rPr>
                <w:szCs w:val="24"/>
              </w:rPr>
              <w:t>'</w:t>
            </w:r>
            <w:r w:rsidRPr="00431A54">
              <w:rPr>
                <w:szCs w:val="24"/>
              </w:rPr>
              <w:t>une</w:t>
            </w:r>
            <w:r w:rsidR="00BD27FA" w:rsidRPr="00431A54">
              <w:rPr>
                <w:szCs w:val="24"/>
              </w:rPr>
              <w:t xml:space="preserve"> </w:t>
            </w:r>
            <w:r w:rsidRPr="00431A54">
              <w:rPr>
                <w:szCs w:val="24"/>
              </w:rPr>
              <w:t xml:space="preserve">portion de spectre </w:t>
            </w:r>
            <w:r w:rsidR="00AC1F4F" w:rsidRPr="00431A54">
              <w:rPr>
                <w:szCs w:val="24"/>
              </w:rPr>
              <w:t>contiguë</w:t>
            </w:r>
            <w:r w:rsidRPr="00431A54">
              <w:rPr>
                <w:szCs w:val="24"/>
              </w:rPr>
              <w:t xml:space="preserve"> de 100 MHz par</w:t>
            </w:r>
            <w:r w:rsidR="00BD27FA" w:rsidRPr="00431A54">
              <w:rPr>
                <w:szCs w:val="24"/>
              </w:rPr>
              <w:t xml:space="preserve"> </w:t>
            </w:r>
            <w:r w:rsidRPr="00431A54">
              <w:rPr>
                <w:szCs w:val="24"/>
              </w:rPr>
              <w:t>opérateur pour que les déploiements de réseaux tirent pleinement parti des technologies 5G. Une quantité de spectre analogue, avec des caractéristiques de propagation similaires, sera sans doute nécessaire</w:t>
            </w:r>
            <w:r w:rsidR="00BD27FA" w:rsidRPr="00431A54">
              <w:rPr>
                <w:szCs w:val="24"/>
              </w:rPr>
              <w:t xml:space="preserve"> </w:t>
            </w:r>
            <w:r w:rsidRPr="00431A54">
              <w:rPr>
                <w:szCs w:val="24"/>
              </w:rPr>
              <w:t>à terme pour améliorer la capacité des systèmes 5G</w:t>
            </w:r>
            <w:r w:rsidR="00BD27FA" w:rsidRPr="00431A54">
              <w:rPr>
                <w:szCs w:val="24"/>
              </w:rPr>
              <w:t xml:space="preserve"> </w:t>
            </w:r>
            <w:r w:rsidRPr="00431A54">
              <w:rPr>
                <w:color w:val="000000"/>
                <w:szCs w:val="24"/>
              </w:rPr>
              <w:t>très performants.</w:t>
            </w:r>
            <w:r w:rsidRPr="00431A54">
              <w:rPr>
                <w:szCs w:val="24"/>
              </w:rPr>
              <w:t xml:space="preserve"> Dans certains pays, des bandes de fréquences dans la même gamme sont actuellement réservées à d</w:t>
            </w:r>
            <w:r w:rsidR="00BD27FA" w:rsidRPr="00431A54">
              <w:rPr>
                <w:szCs w:val="24"/>
              </w:rPr>
              <w:t>'</w:t>
            </w:r>
            <w:r w:rsidRPr="00431A54">
              <w:rPr>
                <w:szCs w:val="24"/>
              </w:rPr>
              <w:t>autres fins, par exemple pour les secteurs</w:t>
            </w:r>
            <w:r w:rsidR="00BD27FA" w:rsidRPr="00431A54">
              <w:rPr>
                <w:szCs w:val="24"/>
              </w:rPr>
              <w:t xml:space="preserve"> </w:t>
            </w:r>
            <w:r w:rsidRPr="00431A54">
              <w:rPr>
                <w:szCs w:val="24"/>
              </w:rPr>
              <w:t>verticaux, ce qui réduit encore la quantité de spectre disponible pour les réseaux</w:t>
            </w:r>
            <w:r w:rsidR="00BD27FA" w:rsidRPr="00431A54">
              <w:rPr>
                <w:szCs w:val="24"/>
              </w:rPr>
              <w:t xml:space="preserve"> </w:t>
            </w:r>
            <w:r w:rsidRPr="00431A54">
              <w:rPr>
                <w:szCs w:val="24"/>
              </w:rPr>
              <w:t>5G. Grâce à la</w:t>
            </w:r>
            <w:r w:rsidR="00BD27FA" w:rsidRPr="00431A54">
              <w:rPr>
                <w:szCs w:val="24"/>
              </w:rPr>
              <w:t xml:space="preserve"> </w:t>
            </w:r>
            <w:r w:rsidRPr="00431A54">
              <w:rPr>
                <w:szCs w:val="24"/>
              </w:rPr>
              <w:t>5G NR, il sera possible de généraliser une nouvelle connectivité entre les objets, qui sera intégré dans une seule et même technologie, ce qui nécessitera des fréquences de milieu de bande.</w:t>
            </w:r>
          </w:p>
        </w:tc>
      </w:tr>
      <w:tr w:rsidR="008B7F33" w:rsidRPr="00431A54" w14:paraId="014A711C" w14:textId="77777777" w:rsidTr="00E96761">
        <w:tc>
          <w:tcPr>
            <w:tcW w:w="9515" w:type="dxa"/>
            <w:gridSpan w:val="2"/>
          </w:tcPr>
          <w:p w14:paraId="5D55D6D7" w14:textId="7A84A6F9" w:rsidR="008B7F33" w:rsidRPr="00431A54" w:rsidRDefault="008B7F33" w:rsidP="001B2066">
            <w:pPr>
              <w:spacing w:after="120"/>
              <w:rPr>
                <w:rFonts w:eastAsia="MS Gothic"/>
                <w:b/>
                <w:bCs/>
                <w:i/>
                <w:iCs/>
                <w:szCs w:val="24"/>
                <w:lang w:eastAsia="ja-JP"/>
              </w:rPr>
            </w:pPr>
            <w:r w:rsidRPr="00431A54">
              <w:rPr>
                <w:rFonts w:eastAsia="MS Gothic"/>
                <w:b/>
                <w:bCs/>
                <w:i/>
                <w:iCs/>
                <w:szCs w:val="24"/>
              </w:rPr>
              <w:t>Services de radiocommunication concernés</w:t>
            </w:r>
            <w:r w:rsidRPr="00780E68">
              <w:rPr>
                <w:rFonts w:eastAsia="MS Gothic"/>
                <w:b/>
                <w:bCs/>
                <w:szCs w:val="24"/>
              </w:rPr>
              <w:t>:</w:t>
            </w:r>
          </w:p>
          <w:p w14:paraId="411FF017" w14:textId="4B7902BE" w:rsidR="008B7F33" w:rsidRPr="00431A54" w:rsidRDefault="004730A0" w:rsidP="001B2066">
            <w:pPr>
              <w:spacing w:after="120"/>
              <w:rPr>
                <w:kern w:val="2"/>
                <w:szCs w:val="24"/>
                <w:lang w:eastAsia="ko-KR"/>
              </w:rPr>
            </w:pPr>
            <w:r w:rsidRPr="00431A54">
              <w:rPr>
                <w:szCs w:val="24"/>
                <w:lang w:eastAsia="ko-KR"/>
              </w:rPr>
              <w:t>Service</w:t>
            </w:r>
            <w:r w:rsidR="00BD27FA" w:rsidRPr="00431A54">
              <w:rPr>
                <w:szCs w:val="24"/>
                <w:lang w:eastAsia="ko-KR"/>
              </w:rPr>
              <w:t xml:space="preserve"> </w:t>
            </w:r>
            <w:r w:rsidRPr="00431A54">
              <w:rPr>
                <w:szCs w:val="24"/>
                <w:lang w:eastAsia="ko-KR"/>
              </w:rPr>
              <w:t>fixe</w:t>
            </w:r>
            <w:r w:rsidR="00BD27FA" w:rsidRPr="00431A54">
              <w:rPr>
                <w:szCs w:val="24"/>
                <w:lang w:eastAsia="ko-KR"/>
              </w:rPr>
              <w:t>,</w:t>
            </w:r>
            <w:r w:rsidRPr="00431A54">
              <w:rPr>
                <w:szCs w:val="24"/>
                <w:lang w:eastAsia="ko-KR"/>
              </w:rPr>
              <w:t xml:space="preserve"> service</w:t>
            </w:r>
            <w:r w:rsidR="00BD27FA" w:rsidRPr="00431A54">
              <w:rPr>
                <w:szCs w:val="24"/>
                <w:lang w:eastAsia="ko-KR"/>
              </w:rPr>
              <w:t xml:space="preserve"> </w:t>
            </w:r>
            <w:r w:rsidRPr="00431A54">
              <w:rPr>
                <w:szCs w:val="24"/>
                <w:lang w:eastAsia="ko-KR"/>
              </w:rPr>
              <w:t>fixe</w:t>
            </w:r>
            <w:r w:rsidR="00BD27FA" w:rsidRPr="00431A54">
              <w:rPr>
                <w:szCs w:val="24"/>
                <w:lang w:eastAsia="ko-KR"/>
              </w:rPr>
              <w:t xml:space="preserve"> </w:t>
            </w:r>
            <w:r w:rsidRPr="00431A54">
              <w:rPr>
                <w:szCs w:val="24"/>
                <w:lang w:eastAsia="ko-KR"/>
              </w:rPr>
              <w:t>par satellite et autres services</w:t>
            </w:r>
            <w:r w:rsidR="00BD27FA" w:rsidRPr="00431A54">
              <w:rPr>
                <w:szCs w:val="24"/>
                <w:lang w:eastAsia="ko-KR"/>
              </w:rPr>
              <w:t xml:space="preserve"> </w:t>
            </w:r>
          </w:p>
        </w:tc>
      </w:tr>
      <w:tr w:rsidR="008B7F33" w:rsidRPr="00431A54" w14:paraId="5AC06611" w14:textId="77777777" w:rsidTr="00E96761">
        <w:tc>
          <w:tcPr>
            <w:tcW w:w="9515" w:type="dxa"/>
            <w:gridSpan w:val="2"/>
          </w:tcPr>
          <w:p w14:paraId="1FE1EEFA" w14:textId="3E44D451" w:rsidR="008B7F33" w:rsidRPr="00431A54" w:rsidRDefault="008B7F33" w:rsidP="001B2066">
            <w:pPr>
              <w:spacing w:after="120"/>
              <w:rPr>
                <w:rFonts w:eastAsia="MS Gothic"/>
                <w:b/>
                <w:bCs/>
                <w:i/>
                <w:iCs/>
                <w:szCs w:val="24"/>
              </w:rPr>
            </w:pPr>
            <w:r w:rsidRPr="00431A54">
              <w:rPr>
                <w:rFonts w:eastAsia="MS Gothic"/>
                <w:b/>
                <w:bCs/>
                <w:i/>
                <w:iCs/>
                <w:szCs w:val="24"/>
              </w:rPr>
              <w:t>Indication des difficultés éventuelles</w:t>
            </w:r>
            <w:r w:rsidRPr="00780E68">
              <w:rPr>
                <w:rFonts w:eastAsia="MS Gothic"/>
                <w:b/>
                <w:bCs/>
                <w:szCs w:val="24"/>
              </w:rPr>
              <w:t>:</w:t>
            </w:r>
          </w:p>
          <w:p w14:paraId="3999C251" w14:textId="1E489206" w:rsidR="008B7F33" w:rsidRPr="00431A54" w:rsidRDefault="004730A0" w:rsidP="001B2066">
            <w:pPr>
              <w:spacing w:after="120"/>
              <w:rPr>
                <w:bCs/>
                <w:i/>
                <w:iCs/>
                <w:kern w:val="2"/>
                <w:szCs w:val="24"/>
                <w:lang w:eastAsia="ko-KR"/>
              </w:rPr>
            </w:pPr>
            <w:r w:rsidRPr="00431A54">
              <w:rPr>
                <w:szCs w:val="24"/>
                <w:lang w:eastAsia="ko-KR"/>
              </w:rPr>
              <w:t>Les bandes proposées sont utilisées par d</w:t>
            </w:r>
            <w:r w:rsidR="00BD27FA" w:rsidRPr="00431A54">
              <w:rPr>
                <w:szCs w:val="24"/>
                <w:lang w:eastAsia="ko-KR"/>
              </w:rPr>
              <w:t>'</w:t>
            </w:r>
            <w:r w:rsidRPr="00431A54">
              <w:rPr>
                <w:szCs w:val="24"/>
                <w:lang w:eastAsia="ko-KR"/>
              </w:rPr>
              <w:t>autres services.</w:t>
            </w:r>
          </w:p>
        </w:tc>
      </w:tr>
      <w:tr w:rsidR="008B7F33" w:rsidRPr="00431A54" w14:paraId="0A1B9474" w14:textId="77777777" w:rsidTr="00E96761">
        <w:tc>
          <w:tcPr>
            <w:tcW w:w="9515" w:type="dxa"/>
            <w:gridSpan w:val="2"/>
          </w:tcPr>
          <w:p w14:paraId="22188B05" w14:textId="482C8586" w:rsidR="008B7F33" w:rsidRPr="00431A54" w:rsidRDefault="00AC1F4F" w:rsidP="001B2066">
            <w:pPr>
              <w:spacing w:after="120"/>
              <w:rPr>
                <w:rFonts w:eastAsia="MS Gothic"/>
                <w:szCs w:val="24"/>
                <w:lang w:eastAsia="ja-JP"/>
              </w:rPr>
            </w:pPr>
            <w:r w:rsidRPr="00431A54">
              <w:rPr>
                <w:rFonts w:eastAsia="MS Gothic"/>
                <w:b/>
                <w:bCs/>
                <w:i/>
                <w:iCs/>
                <w:szCs w:val="24"/>
              </w:rPr>
              <w:t>É</w:t>
            </w:r>
            <w:r w:rsidR="008B7F33" w:rsidRPr="00431A54">
              <w:rPr>
                <w:rFonts w:eastAsia="MS Gothic"/>
                <w:b/>
                <w:bCs/>
                <w:i/>
                <w:iCs/>
                <w:szCs w:val="24"/>
              </w:rPr>
              <w:t>tudes précédentes ou en cours sur la question</w:t>
            </w:r>
            <w:r w:rsidR="008B7F33" w:rsidRPr="00431A54">
              <w:rPr>
                <w:rFonts w:eastAsia="MS Gothic"/>
                <w:b/>
                <w:bCs/>
                <w:szCs w:val="24"/>
              </w:rPr>
              <w:t>:</w:t>
            </w:r>
            <w:r w:rsidR="00BD27FA" w:rsidRPr="00431A54">
              <w:rPr>
                <w:rFonts w:eastAsia="MS Gothic"/>
                <w:szCs w:val="24"/>
              </w:rPr>
              <w:t xml:space="preserve"> </w:t>
            </w:r>
          </w:p>
          <w:p w14:paraId="229A076D" w14:textId="6F0B48A8" w:rsidR="008B7F33" w:rsidRPr="00431A54" w:rsidRDefault="004730A0" w:rsidP="001B2066">
            <w:pPr>
              <w:spacing w:after="120"/>
              <w:rPr>
                <w:kern w:val="2"/>
                <w:szCs w:val="24"/>
                <w:lang w:eastAsia="ko-KR"/>
              </w:rPr>
            </w:pPr>
            <w:r w:rsidRPr="00431A54">
              <w:rPr>
                <w:szCs w:val="24"/>
                <w:lang w:eastAsia="ko-KR"/>
              </w:rPr>
              <w:t xml:space="preserve">Le </w:t>
            </w:r>
            <w:r w:rsidR="006C41A9" w:rsidRPr="00431A54">
              <w:rPr>
                <w:szCs w:val="24"/>
                <w:lang w:eastAsia="ko-KR"/>
              </w:rPr>
              <w:t>GT</w:t>
            </w:r>
            <w:r w:rsidR="008B7F33" w:rsidRPr="00431A54">
              <w:rPr>
                <w:szCs w:val="24"/>
                <w:lang w:eastAsia="ko-KR"/>
              </w:rPr>
              <w:t xml:space="preserve"> 5D</w:t>
            </w:r>
            <w:r w:rsidRPr="00431A54">
              <w:rPr>
                <w:szCs w:val="24"/>
                <w:lang w:eastAsia="ko-KR"/>
              </w:rPr>
              <w:t xml:space="preserve"> de l</w:t>
            </w:r>
            <w:r w:rsidR="00BD27FA" w:rsidRPr="00431A54">
              <w:rPr>
                <w:szCs w:val="24"/>
                <w:lang w:eastAsia="ko-KR"/>
              </w:rPr>
              <w:t>'</w:t>
            </w:r>
            <w:r w:rsidRPr="00431A54">
              <w:rPr>
                <w:szCs w:val="24"/>
                <w:lang w:eastAsia="ko-KR"/>
              </w:rPr>
              <w:t xml:space="preserve"> UIT-R a déjà commencé les études connexes, qui se poursuivent actuellement.</w:t>
            </w:r>
          </w:p>
        </w:tc>
      </w:tr>
      <w:tr w:rsidR="008B7F33" w:rsidRPr="00431A54" w14:paraId="5B8B4D20" w14:textId="77777777" w:rsidTr="00E96761">
        <w:tc>
          <w:tcPr>
            <w:tcW w:w="4299" w:type="dxa"/>
          </w:tcPr>
          <w:p w14:paraId="5F1ACDED" w14:textId="5F8D51CB" w:rsidR="008B7F33" w:rsidRPr="00431A54" w:rsidRDefault="00AC1F4F" w:rsidP="001B2066">
            <w:pPr>
              <w:spacing w:after="120"/>
              <w:rPr>
                <w:rFonts w:eastAsia="MS Gothic"/>
                <w:b/>
                <w:bCs/>
                <w:i/>
                <w:iCs/>
                <w:szCs w:val="24"/>
                <w:lang w:eastAsia="ja-JP"/>
              </w:rPr>
            </w:pPr>
            <w:r w:rsidRPr="00431A54">
              <w:rPr>
                <w:rFonts w:eastAsia="MS Gothic"/>
                <w:b/>
                <w:bCs/>
                <w:i/>
                <w:iCs/>
                <w:szCs w:val="24"/>
              </w:rPr>
              <w:t>É</w:t>
            </w:r>
            <w:r w:rsidR="008B7F33" w:rsidRPr="00431A54">
              <w:rPr>
                <w:rFonts w:eastAsia="MS Gothic"/>
                <w:b/>
                <w:bCs/>
                <w:i/>
                <w:iCs/>
                <w:szCs w:val="24"/>
              </w:rPr>
              <w:t>tudes devant être réalisées par</w:t>
            </w:r>
            <w:r w:rsidR="008B7F33" w:rsidRPr="00431A54">
              <w:rPr>
                <w:rFonts w:eastAsia="MS Gothic"/>
                <w:b/>
                <w:bCs/>
                <w:szCs w:val="24"/>
              </w:rPr>
              <w:t>:</w:t>
            </w:r>
          </w:p>
          <w:p w14:paraId="225AE83F" w14:textId="1EEF5336" w:rsidR="008B7F33" w:rsidRPr="00431A54" w:rsidRDefault="006C41A9" w:rsidP="001B2066">
            <w:pPr>
              <w:spacing w:after="120"/>
              <w:rPr>
                <w:bCs/>
                <w:iCs/>
                <w:kern w:val="2"/>
                <w:szCs w:val="24"/>
                <w:lang w:eastAsia="ko-KR"/>
              </w:rPr>
            </w:pPr>
            <w:r w:rsidRPr="00431A54">
              <w:rPr>
                <w:bCs/>
                <w:iCs/>
                <w:szCs w:val="24"/>
                <w:lang w:eastAsia="ko-KR"/>
              </w:rPr>
              <w:t>GT</w:t>
            </w:r>
            <w:r w:rsidR="008B7F33" w:rsidRPr="00431A54">
              <w:rPr>
                <w:bCs/>
                <w:iCs/>
                <w:szCs w:val="24"/>
                <w:lang w:eastAsia="ko-KR"/>
              </w:rPr>
              <w:t xml:space="preserve"> 5D</w:t>
            </w:r>
            <w:r w:rsidR="00BD27FA" w:rsidRPr="00431A54">
              <w:rPr>
                <w:szCs w:val="24"/>
                <w:lang w:eastAsia="ko-KR"/>
              </w:rPr>
              <w:t xml:space="preserve"> </w:t>
            </w:r>
            <w:r w:rsidR="004730A0" w:rsidRPr="00431A54">
              <w:rPr>
                <w:szCs w:val="24"/>
                <w:lang w:eastAsia="ko-KR"/>
              </w:rPr>
              <w:t>de l</w:t>
            </w:r>
            <w:r w:rsidR="00BD27FA" w:rsidRPr="00431A54">
              <w:rPr>
                <w:szCs w:val="24"/>
                <w:lang w:eastAsia="ko-KR"/>
              </w:rPr>
              <w:t>'</w:t>
            </w:r>
            <w:r w:rsidR="004730A0" w:rsidRPr="00431A54">
              <w:rPr>
                <w:szCs w:val="24"/>
                <w:lang w:eastAsia="ko-KR"/>
              </w:rPr>
              <w:t xml:space="preserve"> UIT-R</w:t>
            </w:r>
          </w:p>
        </w:tc>
        <w:tc>
          <w:tcPr>
            <w:tcW w:w="5216" w:type="dxa"/>
          </w:tcPr>
          <w:p w14:paraId="148C88FD" w14:textId="4E06A3AE" w:rsidR="008B7F33" w:rsidRPr="00431A54" w:rsidRDefault="008B7F33" w:rsidP="001B2066">
            <w:pPr>
              <w:spacing w:after="120"/>
              <w:rPr>
                <w:rFonts w:eastAsia="MS Gothic"/>
                <w:b/>
                <w:bCs/>
                <w:i/>
                <w:iCs/>
                <w:kern w:val="2"/>
                <w:szCs w:val="24"/>
                <w:lang w:eastAsia="ja-JP"/>
              </w:rPr>
            </w:pPr>
            <w:r w:rsidRPr="00431A54">
              <w:rPr>
                <w:rFonts w:eastAsia="MS Gothic"/>
                <w:b/>
                <w:bCs/>
                <w:i/>
                <w:iCs/>
                <w:szCs w:val="24"/>
              </w:rPr>
              <w:t>avec la participation de</w:t>
            </w:r>
            <w:r w:rsidRPr="00780E68">
              <w:rPr>
                <w:rFonts w:eastAsia="MS Gothic"/>
                <w:b/>
                <w:bCs/>
                <w:szCs w:val="24"/>
              </w:rPr>
              <w:t>:</w:t>
            </w:r>
          </w:p>
          <w:p w14:paraId="6E700C0D" w14:textId="12473C2A" w:rsidR="008B7F33" w:rsidRPr="00431A54" w:rsidRDefault="008B7F33" w:rsidP="001B2066">
            <w:pPr>
              <w:spacing w:after="120"/>
              <w:rPr>
                <w:rFonts w:eastAsia="MS Gothic"/>
                <w:kern w:val="2"/>
                <w:szCs w:val="24"/>
                <w:lang w:eastAsia="ja-JP"/>
              </w:rPr>
            </w:pPr>
            <w:r w:rsidRPr="00431A54">
              <w:rPr>
                <w:rFonts w:eastAsia="MS Gothic"/>
                <w:kern w:val="2"/>
                <w:szCs w:val="24"/>
                <w:lang w:eastAsia="ja-JP"/>
              </w:rPr>
              <w:t>Administrations et Membres du Secteur de l</w:t>
            </w:r>
            <w:r w:rsidR="00BD27FA" w:rsidRPr="00431A54">
              <w:rPr>
                <w:rFonts w:eastAsia="MS Gothic"/>
                <w:kern w:val="2"/>
                <w:szCs w:val="24"/>
                <w:lang w:eastAsia="ja-JP"/>
              </w:rPr>
              <w:t>'</w:t>
            </w:r>
            <w:r w:rsidRPr="00431A54">
              <w:rPr>
                <w:rFonts w:eastAsia="MS Gothic"/>
                <w:kern w:val="2"/>
                <w:szCs w:val="24"/>
                <w:lang w:eastAsia="ja-JP"/>
              </w:rPr>
              <w:t>UIT-R</w:t>
            </w:r>
          </w:p>
        </w:tc>
      </w:tr>
      <w:tr w:rsidR="008B7F33" w:rsidRPr="00431A54" w14:paraId="3E04D341" w14:textId="77777777" w:rsidTr="00882123">
        <w:tc>
          <w:tcPr>
            <w:tcW w:w="9515" w:type="dxa"/>
            <w:gridSpan w:val="2"/>
            <w:tcBorders>
              <w:bottom w:val="single" w:sz="4" w:space="0" w:color="auto"/>
            </w:tcBorders>
          </w:tcPr>
          <w:p w14:paraId="0A1AAEF4" w14:textId="6FC2228C" w:rsidR="008B7F33" w:rsidRPr="00431A54" w:rsidRDefault="008B7F33" w:rsidP="005F72A6">
            <w:pPr>
              <w:keepNext/>
              <w:keepLines/>
              <w:spacing w:after="120"/>
              <w:rPr>
                <w:rFonts w:eastAsia="MS Gothic"/>
                <w:b/>
                <w:bCs/>
                <w:i/>
                <w:iCs/>
                <w:szCs w:val="24"/>
                <w:lang w:eastAsia="ja-JP"/>
              </w:rPr>
            </w:pPr>
            <w:r w:rsidRPr="00431A54">
              <w:rPr>
                <w:rFonts w:eastAsia="MS Gothic"/>
                <w:b/>
                <w:bCs/>
                <w:i/>
                <w:iCs/>
                <w:szCs w:val="24"/>
              </w:rPr>
              <w:lastRenderedPageBreak/>
              <w:t>Commissions d</w:t>
            </w:r>
            <w:r w:rsidR="00BD27FA" w:rsidRPr="00431A54">
              <w:rPr>
                <w:rFonts w:eastAsia="MS Gothic"/>
                <w:b/>
                <w:bCs/>
                <w:i/>
                <w:iCs/>
                <w:szCs w:val="24"/>
              </w:rPr>
              <w:t>'</w:t>
            </w:r>
            <w:r w:rsidRPr="00431A54">
              <w:rPr>
                <w:rFonts w:eastAsia="MS Gothic"/>
                <w:b/>
                <w:bCs/>
                <w:i/>
                <w:iCs/>
                <w:szCs w:val="24"/>
              </w:rPr>
              <w:t>études de l</w:t>
            </w:r>
            <w:r w:rsidR="00BD27FA" w:rsidRPr="00431A54">
              <w:rPr>
                <w:rFonts w:eastAsia="MS Gothic"/>
                <w:b/>
                <w:bCs/>
                <w:i/>
                <w:iCs/>
                <w:szCs w:val="24"/>
              </w:rPr>
              <w:t>'</w:t>
            </w:r>
            <w:r w:rsidRPr="00431A54">
              <w:rPr>
                <w:rFonts w:eastAsia="MS Gothic"/>
                <w:b/>
                <w:bCs/>
                <w:i/>
                <w:iCs/>
                <w:szCs w:val="24"/>
              </w:rPr>
              <w:t>UIT-R concernées</w:t>
            </w:r>
            <w:r w:rsidRPr="00431A54">
              <w:rPr>
                <w:rFonts w:eastAsia="MS Gothic"/>
                <w:b/>
                <w:bCs/>
                <w:szCs w:val="24"/>
              </w:rPr>
              <w:t>:</w:t>
            </w:r>
          </w:p>
          <w:p w14:paraId="3CB67073" w14:textId="15D39CAE" w:rsidR="008B7F33" w:rsidRPr="00431A54" w:rsidRDefault="004730A0" w:rsidP="005F72A6">
            <w:pPr>
              <w:keepNext/>
              <w:keepLines/>
              <w:spacing w:after="120"/>
              <w:rPr>
                <w:rFonts w:eastAsia="Malgun Gothic"/>
                <w:kern w:val="2"/>
                <w:szCs w:val="24"/>
                <w:lang w:eastAsia="ko-KR"/>
              </w:rPr>
            </w:pPr>
            <w:r w:rsidRPr="00431A54">
              <w:rPr>
                <w:rFonts w:eastAsia="MS Gothic"/>
                <w:bCs/>
                <w:iCs/>
                <w:szCs w:val="24"/>
                <w:lang w:eastAsia="ja-JP"/>
              </w:rPr>
              <w:t>CE</w:t>
            </w:r>
            <w:r w:rsidR="008B7F33" w:rsidRPr="00431A54">
              <w:rPr>
                <w:rFonts w:eastAsia="MS Gothic"/>
                <w:bCs/>
                <w:iCs/>
                <w:szCs w:val="24"/>
                <w:lang w:eastAsia="ja-JP"/>
              </w:rPr>
              <w:t xml:space="preserve">5 </w:t>
            </w:r>
            <w:r w:rsidRPr="00431A54">
              <w:rPr>
                <w:rFonts w:eastAsia="MS Gothic"/>
                <w:bCs/>
                <w:iCs/>
                <w:szCs w:val="24"/>
                <w:lang w:eastAsia="ja-JP"/>
              </w:rPr>
              <w:t>et autres groupes</w:t>
            </w:r>
          </w:p>
        </w:tc>
      </w:tr>
      <w:tr w:rsidR="008B7F33" w:rsidRPr="00431A54" w14:paraId="68238C96" w14:textId="77777777" w:rsidTr="00882123">
        <w:trPr>
          <w:trHeight w:val="1087"/>
        </w:trPr>
        <w:tc>
          <w:tcPr>
            <w:tcW w:w="9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3888" w14:textId="7305D450" w:rsidR="008B7F33" w:rsidRPr="00431A54" w:rsidRDefault="008B7F33" w:rsidP="005F72A6">
            <w:pPr>
              <w:keepNext/>
              <w:keepLines/>
              <w:spacing w:after="120"/>
              <w:rPr>
                <w:rFonts w:eastAsia="MS Gothic"/>
                <w:szCs w:val="24"/>
                <w:lang w:eastAsia="ja-JP"/>
              </w:rPr>
            </w:pPr>
            <w:r w:rsidRPr="00431A54">
              <w:rPr>
                <w:rFonts w:eastAsia="MS Gothic"/>
                <w:b/>
                <w:bCs/>
                <w:i/>
                <w:iCs/>
                <w:szCs w:val="24"/>
              </w:rPr>
              <w:t>Répercussions au niveau des ressources de l</w:t>
            </w:r>
            <w:r w:rsidR="00BD27FA" w:rsidRPr="00431A54">
              <w:rPr>
                <w:rFonts w:eastAsia="MS Gothic"/>
                <w:b/>
                <w:bCs/>
                <w:i/>
                <w:iCs/>
                <w:szCs w:val="24"/>
              </w:rPr>
              <w:t>'</w:t>
            </w:r>
            <w:r w:rsidRPr="00431A54">
              <w:rPr>
                <w:rFonts w:eastAsia="MS Gothic"/>
                <w:b/>
                <w:bCs/>
                <w:i/>
                <w:iCs/>
                <w:szCs w:val="24"/>
              </w:rPr>
              <w:t>UIT, y compris incidences financières</w:t>
            </w:r>
            <w:r w:rsidR="00431A54">
              <w:rPr>
                <w:rFonts w:eastAsia="MS Gothic"/>
                <w:b/>
                <w:bCs/>
                <w:i/>
                <w:iCs/>
                <w:szCs w:val="24"/>
              </w:rPr>
              <w:t xml:space="preserve"> </w:t>
            </w:r>
            <w:r w:rsidRPr="00431A54">
              <w:rPr>
                <w:rFonts w:eastAsia="MS Gothic"/>
                <w:b/>
                <w:bCs/>
                <w:i/>
                <w:iCs/>
                <w:szCs w:val="24"/>
              </w:rPr>
              <w:t>(voir le numéro 126 de la Convention)</w:t>
            </w:r>
            <w:r w:rsidRPr="00431A54">
              <w:rPr>
                <w:rFonts w:eastAsia="MS Gothic"/>
                <w:b/>
                <w:bCs/>
                <w:szCs w:val="24"/>
                <w:lang w:eastAsia="ja-JP"/>
              </w:rPr>
              <w:t>:</w:t>
            </w:r>
          </w:p>
          <w:p w14:paraId="7A6AA407" w14:textId="2E2B40A3" w:rsidR="008B7F33" w:rsidRPr="00431A54" w:rsidRDefault="004730A0" w:rsidP="005F72A6">
            <w:pPr>
              <w:keepNext/>
              <w:keepLines/>
              <w:spacing w:after="120"/>
              <w:rPr>
                <w:rFonts w:eastAsia="MS Gothic"/>
                <w:kern w:val="2"/>
                <w:szCs w:val="24"/>
                <w:lang w:eastAsia="ja-JP"/>
              </w:rPr>
            </w:pPr>
            <w:r w:rsidRPr="00431A54">
              <w:rPr>
                <w:color w:val="000000"/>
                <w:szCs w:val="24"/>
              </w:rPr>
              <w:t>Ce projet de point de l</w:t>
            </w:r>
            <w:r w:rsidR="00BD27FA" w:rsidRPr="00431A54">
              <w:rPr>
                <w:color w:val="000000"/>
                <w:szCs w:val="24"/>
              </w:rPr>
              <w:t>'</w:t>
            </w:r>
            <w:r w:rsidRPr="00431A54">
              <w:rPr>
                <w:color w:val="000000"/>
                <w:szCs w:val="24"/>
              </w:rPr>
              <w:t>ordre du jour sera traité dans le cadre des procédures normales et du budget prévu de l</w:t>
            </w:r>
            <w:r w:rsidR="00BD27FA" w:rsidRPr="00431A54">
              <w:rPr>
                <w:color w:val="000000"/>
                <w:szCs w:val="24"/>
              </w:rPr>
              <w:t>'</w:t>
            </w:r>
            <w:r w:rsidRPr="00431A54">
              <w:rPr>
                <w:color w:val="000000"/>
                <w:szCs w:val="24"/>
              </w:rPr>
              <w:t>UIT-R.</w:t>
            </w:r>
            <w:r w:rsidR="00BD27FA" w:rsidRPr="00431A54">
              <w:rPr>
                <w:szCs w:val="24"/>
                <w:lang w:eastAsia="ko-KR"/>
              </w:rPr>
              <w:t xml:space="preserve"> </w:t>
            </w:r>
            <w:r w:rsidRPr="00431A54">
              <w:rPr>
                <w:szCs w:val="24"/>
                <w:lang w:eastAsia="ko-KR"/>
              </w:rPr>
              <w:t>Le GT 5D de l</w:t>
            </w:r>
            <w:r w:rsidR="00BD27FA" w:rsidRPr="00431A54">
              <w:rPr>
                <w:szCs w:val="24"/>
                <w:lang w:eastAsia="ko-KR"/>
              </w:rPr>
              <w:t>'</w:t>
            </w:r>
            <w:r w:rsidRPr="00431A54">
              <w:rPr>
                <w:szCs w:val="24"/>
                <w:lang w:eastAsia="ko-KR"/>
              </w:rPr>
              <w:t>UIT-R, en sa qualité de groupe responsable des études sur les</w:t>
            </w:r>
            <w:r w:rsidR="00BD27FA" w:rsidRPr="00431A54">
              <w:rPr>
                <w:szCs w:val="24"/>
                <w:lang w:eastAsia="ko-KR"/>
              </w:rPr>
              <w:t xml:space="preserve"> </w:t>
            </w:r>
            <w:r w:rsidR="008B7F33" w:rsidRPr="00431A54">
              <w:rPr>
                <w:szCs w:val="24"/>
                <w:lang w:eastAsia="ko-KR"/>
              </w:rPr>
              <w:t>IMT</w:t>
            </w:r>
            <w:r w:rsidRPr="00431A54">
              <w:rPr>
                <w:szCs w:val="24"/>
                <w:lang w:eastAsia="ko-KR"/>
              </w:rPr>
              <w:t>, tient généralement trois réunions par an, d</w:t>
            </w:r>
            <w:r w:rsidR="00BD27FA" w:rsidRPr="00431A54">
              <w:rPr>
                <w:szCs w:val="24"/>
                <w:lang w:eastAsia="ko-KR"/>
              </w:rPr>
              <w:t>'</w:t>
            </w:r>
            <w:r w:rsidRPr="00431A54">
              <w:rPr>
                <w:szCs w:val="24"/>
                <w:lang w:eastAsia="ko-KR"/>
              </w:rPr>
              <w:t>une durée d</w:t>
            </w:r>
            <w:r w:rsidR="00BD27FA" w:rsidRPr="00431A54">
              <w:rPr>
                <w:szCs w:val="24"/>
                <w:lang w:eastAsia="ko-KR"/>
              </w:rPr>
              <w:t>'</w:t>
            </w:r>
            <w:r w:rsidRPr="00431A54">
              <w:rPr>
                <w:szCs w:val="24"/>
                <w:lang w:eastAsia="ko-KR"/>
              </w:rPr>
              <w:t>au moins six jours</w:t>
            </w:r>
            <w:r w:rsidR="00BD27FA" w:rsidRPr="00431A54">
              <w:rPr>
                <w:szCs w:val="24"/>
                <w:lang w:eastAsia="ko-KR"/>
              </w:rPr>
              <w:t xml:space="preserve"> </w:t>
            </w:r>
            <w:r w:rsidR="009B5C9B" w:rsidRPr="00431A54">
              <w:rPr>
                <w:szCs w:val="24"/>
                <w:lang w:eastAsia="ko-KR"/>
              </w:rPr>
              <w:t>chacune.</w:t>
            </w:r>
          </w:p>
        </w:tc>
      </w:tr>
      <w:tr w:rsidR="008B7F33" w:rsidRPr="00431A54" w14:paraId="2B036ABC" w14:textId="77777777" w:rsidTr="00882123">
        <w:trPr>
          <w:trHeight w:val="612"/>
        </w:trPr>
        <w:tc>
          <w:tcPr>
            <w:tcW w:w="4299" w:type="dxa"/>
            <w:tcBorders>
              <w:top w:val="single" w:sz="4" w:space="0" w:color="auto"/>
            </w:tcBorders>
          </w:tcPr>
          <w:p w14:paraId="36D553FF" w14:textId="05B45AFC" w:rsidR="008B7F33" w:rsidRPr="00431A54" w:rsidRDefault="008B7F33" w:rsidP="001B2066">
            <w:pPr>
              <w:keepNext/>
              <w:keepLines/>
              <w:spacing w:after="120"/>
              <w:rPr>
                <w:rFonts w:eastAsia="MS Gothic"/>
                <w:b/>
                <w:bCs/>
                <w:i/>
                <w:iCs/>
                <w:szCs w:val="24"/>
                <w:lang w:eastAsia="ja-JP"/>
              </w:rPr>
            </w:pPr>
            <w:r w:rsidRPr="00431A54">
              <w:rPr>
                <w:rFonts w:eastAsia="MS Gothic"/>
                <w:b/>
                <w:bCs/>
                <w:i/>
                <w:iCs/>
                <w:szCs w:val="24"/>
              </w:rPr>
              <w:t>Proposition régionale commune</w:t>
            </w:r>
            <w:r w:rsidRPr="00431A54">
              <w:rPr>
                <w:rFonts w:eastAsia="MS Gothic"/>
                <w:b/>
                <w:bCs/>
                <w:szCs w:val="24"/>
              </w:rPr>
              <w:t>:</w:t>
            </w:r>
          </w:p>
          <w:p w14:paraId="310440FE" w14:textId="246A1449" w:rsidR="008B7F33" w:rsidRPr="00431A54" w:rsidRDefault="000406BD" w:rsidP="001B2066">
            <w:pPr>
              <w:keepNext/>
              <w:keepLines/>
              <w:spacing w:after="120"/>
              <w:rPr>
                <w:kern w:val="2"/>
                <w:szCs w:val="24"/>
                <w:lang w:eastAsia="ko-KR"/>
              </w:rPr>
            </w:pPr>
            <w:r w:rsidRPr="00431A54">
              <w:rPr>
                <w:szCs w:val="24"/>
                <w:lang w:eastAsia="ko-KR"/>
              </w:rPr>
              <w:t>Oui</w:t>
            </w:r>
            <w:r w:rsidR="008B7F33" w:rsidRPr="00431A54">
              <w:rPr>
                <w:szCs w:val="24"/>
                <w:lang w:eastAsia="ko-KR"/>
              </w:rPr>
              <w:t>/No</w:t>
            </w:r>
            <w:r w:rsidRPr="00431A54">
              <w:rPr>
                <w:szCs w:val="24"/>
                <w:lang w:eastAsia="ko-KR"/>
              </w:rPr>
              <w:t>n</w:t>
            </w:r>
          </w:p>
        </w:tc>
        <w:tc>
          <w:tcPr>
            <w:tcW w:w="5216" w:type="dxa"/>
            <w:tcBorders>
              <w:top w:val="single" w:sz="4" w:space="0" w:color="auto"/>
            </w:tcBorders>
          </w:tcPr>
          <w:p w14:paraId="70914DBA" w14:textId="77777777" w:rsidR="00431A54" w:rsidRDefault="008B7F33" w:rsidP="001B2066">
            <w:pPr>
              <w:keepNext/>
              <w:keepLines/>
              <w:spacing w:after="120"/>
              <w:rPr>
                <w:rFonts w:eastAsia="MS Gothic"/>
                <w:szCs w:val="24"/>
                <w:lang w:eastAsia="ja-JP"/>
              </w:rPr>
            </w:pPr>
            <w:r w:rsidRPr="00431A54">
              <w:rPr>
                <w:rFonts w:eastAsia="MS Gothic"/>
                <w:b/>
                <w:bCs/>
                <w:i/>
                <w:iCs/>
                <w:szCs w:val="24"/>
              </w:rPr>
              <w:t>Proposition soumise par plusieurs pays</w:t>
            </w:r>
            <w:r w:rsidRPr="00431A54">
              <w:rPr>
                <w:rFonts w:eastAsia="MS Gothic"/>
                <w:b/>
                <w:bCs/>
                <w:szCs w:val="24"/>
              </w:rPr>
              <w:t>:</w:t>
            </w:r>
          </w:p>
          <w:p w14:paraId="0B3E2492" w14:textId="115FD567" w:rsidR="008B7F33" w:rsidRPr="00431A54" w:rsidRDefault="000406BD" w:rsidP="001B2066">
            <w:pPr>
              <w:keepNext/>
              <w:keepLines/>
              <w:spacing w:after="120"/>
              <w:rPr>
                <w:kern w:val="2"/>
                <w:szCs w:val="24"/>
                <w:lang w:eastAsia="ko-KR"/>
              </w:rPr>
            </w:pPr>
            <w:r w:rsidRPr="00431A54">
              <w:rPr>
                <w:rFonts w:eastAsia="MS Gothic"/>
                <w:szCs w:val="24"/>
                <w:lang w:eastAsia="ja-JP"/>
              </w:rPr>
              <w:t>Oui</w:t>
            </w:r>
            <w:r w:rsidR="008B7F33" w:rsidRPr="00431A54">
              <w:rPr>
                <w:szCs w:val="24"/>
                <w:lang w:eastAsia="ko-KR"/>
              </w:rPr>
              <w:t>/No</w:t>
            </w:r>
            <w:r w:rsidRPr="00431A54">
              <w:rPr>
                <w:szCs w:val="24"/>
                <w:lang w:eastAsia="ko-KR"/>
              </w:rPr>
              <w:t>n</w:t>
            </w:r>
          </w:p>
          <w:p w14:paraId="6A0DB5C6" w14:textId="3E0BCDD4" w:rsidR="008B7F33" w:rsidRPr="00431A54" w:rsidRDefault="008B7F33" w:rsidP="001B2066">
            <w:pPr>
              <w:keepNext/>
              <w:keepLines/>
              <w:spacing w:after="120"/>
              <w:rPr>
                <w:rFonts w:eastAsia="Malgun Gothic"/>
                <w:kern w:val="2"/>
                <w:szCs w:val="24"/>
                <w:lang w:eastAsia="ko-KR"/>
              </w:rPr>
            </w:pPr>
            <w:r w:rsidRPr="00431A54">
              <w:rPr>
                <w:rFonts w:eastAsia="MS Gothic"/>
                <w:b/>
                <w:bCs/>
                <w:i/>
                <w:iCs/>
                <w:szCs w:val="24"/>
                <w:lang w:eastAsia="ja-JP"/>
              </w:rPr>
              <w:t>Nombre de pays</w:t>
            </w:r>
            <w:r w:rsidRPr="00431A54">
              <w:rPr>
                <w:rFonts w:eastAsia="MS Gothic"/>
                <w:b/>
                <w:bCs/>
                <w:szCs w:val="24"/>
              </w:rPr>
              <w:t>:</w:t>
            </w:r>
            <w:r w:rsidRPr="00431A54">
              <w:rPr>
                <w:rFonts w:eastAsia="Malgun Gothic"/>
                <w:b/>
                <w:bCs/>
                <w:i/>
                <w:iCs/>
                <w:szCs w:val="24"/>
                <w:lang w:eastAsia="ko-KR"/>
              </w:rPr>
              <w:t xml:space="preserve"> </w:t>
            </w:r>
          </w:p>
        </w:tc>
      </w:tr>
      <w:tr w:rsidR="008B7F33" w:rsidRPr="00431A54" w14:paraId="7BFCE6C6" w14:textId="77777777" w:rsidTr="00E96761">
        <w:trPr>
          <w:trHeight w:val="512"/>
        </w:trPr>
        <w:tc>
          <w:tcPr>
            <w:tcW w:w="9515" w:type="dxa"/>
            <w:gridSpan w:val="2"/>
          </w:tcPr>
          <w:p w14:paraId="3D22872A" w14:textId="57B7555C" w:rsidR="008B7F33" w:rsidRPr="00431A54" w:rsidRDefault="008B7F33" w:rsidP="001B2066">
            <w:pPr>
              <w:tabs>
                <w:tab w:val="clear" w:pos="1134"/>
                <w:tab w:val="clear" w:pos="1871"/>
                <w:tab w:val="clear" w:pos="2268"/>
              </w:tabs>
              <w:spacing w:after="120"/>
              <w:rPr>
                <w:rFonts w:eastAsia="MS Gothic"/>
                <w:b/>
                <w:bCs/>
                <w:i/>
                <w:iCs/>
                <w:szCs w:val="24"/>
              </w:rPr>
            </w:pPr>
            <w:r w:rsidRPr="00431A54">
              <w:rPr>
                <w:rFonts w:eastAsia="MS Gothic"/>
                <w:b/>
                <w:bCs/>
                <w:i/>
                <w:iCs/>
                <w:szCs w:val="24"/>
              </w:rPr>
              <w:t>Observations</w:t>
            </w:r>
          </w:p>
          <w:p w14:paraId="70A81A11" w14:textId="77777777" w:rsidR="008B7F33" w:rsidRPr="00431A54" w:rsidRDefault="008B7F33" w:rsidP="001B2066">
            <w:pPr>
              <w:tabs>
                <w:tab w:val="clear" w:pos="1134"/>
                <w:tab w:val="clear" w:pos="1871"/>
                <w:tab w:val="clear" w:pos="2268"/>
              </w:tabs>
              <w:spacing w:after="120"/>
              <w:rPr>
                <w:b/>
                <w:bCs/>
                <w:i/>
                <w:iCs/>
                <w:szCs w:val="24"/>
                <w:lang w:eastAsia="ko-KR"/>
              </w:rPr>
            </w:pPr>
          </w:p>
        </w:tc>
      </w:tr>
    </w:tbl>
    <w:p w14:paraId="74624CCF" w14:textId="3E4B2C29" w:rsidR="009C2605" w:rsidRPr="00431A54" w:rsidRDefault="009B5C9B" w:rsidP="009A664E">
      <w:pPr>
        <w:jc w:val="center"/>
      </w:pPr>
      <w:r w:rsidRPr="00431A54">
        <w:t>______________</w:t>
      </w:r>
    </w:p>
    <w:sectPr w:rsidR="009C2605" w:rsidRPr="00431A54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E9D1C" w14:textId="77777777" w:rsidR="0070076C" w:rsidRDefault="0070076C">
      <w:r>
        <w:separator/>
      </w:r>
    </w:p>
  </w:endnote>
  <w:endnote w:type="continuationSeparator" w:id="0">
    <w:p w14:paraId="2D9F4751" w14:textId="77777777" w:rsidR="0070076C" w:rsidRDefault="0070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BECE7" w14:textId="785C3C8E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6080A">
      <w:rPr>
        <w:noProof/>
        <w:lang w:val="en-US"/>
      </w:rPr>
      <w:t>P:\FRA\ITU-R\CONF-R\CMR19\000\011ADD24ADD14REV1F.docx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6080A">
      <w:rPr>
        <w:noProof/>
      </w:rPr>
      <w:t>07.11.19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6080A">
      <w:rPr>
        <w:noProof/>
      </w:rPr>
      <w:t>07.11.19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F0886" w14:textId="69C8FF29" w:rsidR="00936D25" w:rsidRDefault="003E4371" w:rsidP="003E4371">
    <w:pPr>
      <w:pStyle w:val="Footer"/>
      <w:rPr>
        <w:lang w:val="en-US"/>
      </w:rPr>
    </w:pPr>
    <w:r w:rsidRPr="003E4371">
      <w:rPr>
        <w:lang w:val="en-US"/>
      </w:rPr>
      <w:fldChar w:fldCharType="begin"/>
    </w:r>
    <w:r w:rsidRPr="003E4371">
      <w:rPr>
        <w:lang w:val="en-US"/>
      </w:rPr>
      <w:instrText xml:space="preserve"> FILENAME \p  \* MERGEFORMAT </w:instrText>
    </w:r>
    <w:r w:rsidRPr="003E4371">
      <w:rPr>
        <w:lang w:val="en-US"/>
      </w:rPr>
      <w:fldChar w:fldCharType="separate"/>
    </w:r>
    <w:r w:rsidR="00E6080A">
      <w:rPr>
        <w:lang w:val="en-US"/>
      </w:rPr>
      <w:t>P:\FRA\ITU-R\CONF-R\CMR19\000\011ADD24ADD14REV1F.docx</w:t>
    </w:r>
    <w:r w:rsidRPr="003E4371">
      <w:rPr>
        <w:lang w:val="en-US"/>
      </w:rPr>
      <w:fldChar w:fldCharType="end"/>
    </w:r>
    <w:r w:rsidRPr="003E4371">
      <w:rPr>
        <w:lang w:val="en-US"/>
      </w:rPr>
      <w:t xml:space="preserve"> (</w:t>
    </w:r>
    <w:r>
      <w:rPr>
        <w:lang w:val="en-US"/>
      </w:rPr>
      <w:t>463914</w:t>
    </w:r>
    <w:r w:rsidRPr="003E4371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59BFE" w14:textId="7CC156D0" w:rsidR="00936D25" w:rsidRDefault="003E4371" w:rsidP="001A11F6">
    <w:pPr>
      <w:pStyle w:val="Footer"/>
      <w:rPr>
        <w:lang w:val="en-US"/>
      </w:rPr>
    </w:pPr>
    <w:r w:rsidRPr="003E4371">
      <w:rPr>
        <w:lang w:val="en-US"/>
      </w:rPr>
      <w:fldChar w:fldCharType="begin"/>
    </w:r>
    <w:r w:rsidRPr="003E4371">
      <w:rPr>
        <w:lang w:val="en-US"/>
      </w:rPr>
      <w:instrText xml:space="preserve"> FILENAME \p  \* MERGEFORMAT </w:instrText>
    </w:r>
    <w:r w:rsidRPr="003E4371">
      <w:rPr>
        <w:lang w:val="en-US"/>
      </w:rPr>
      <w:fldChar w:fldCharType="separate"/>
    </w:r>
    <w:r w:rsidR="00E6080A">
      <w:rPr>
        <w:lang w:val="en-US"/>
      </w:rPr>
      <w:t>P:\FRA\ITU-R\CONF-R\CMR19\000\011ADD24ADD14REV1F.docx</w:t>
    </w:r>
    <w:r w:rsidRPr="003E4371">
      <w:rPr>
        <w:lang w:val="en-US"/>
      </w:rPr>
      <w:fldChar w:fldCharType="end"/>
    </w:r>
    <w:r w:rsidRPr="003E4371">
      <w:rPr>
        <w:lang w:val="en-US"/>
      </w:rPr>
      <w:t xml:space="preserve"> (</w:t>
    </w:r>
    <w:r>
      <w:rPr>
        <w:lang w:val="en-US"/>
      </w:rPr>
      <w:t>463914</w:t>
    </w:r>
    <w:r w:rsidRPr="003E4371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8755C" w14:textId="77777777" w:rsidR="0070076C" w:rsidRDefault="0070076C">
      <w:r>
        <w:rPr>
          <w:b/>
        </w:rPr>
        <w:t>_______________</w:t>
      </w:r>
    </w:p>
  </w:footnote>
  <w:footnote w:type="continuationSeparator" w:id="0">
    <w:p w14:paraId="4C1E0BF2" w14:textId="77777777" w:rsidR="0070076C" w:rsidRDefault="00700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75668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222A866F" w14:textId="4F276518"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11(Add.24)(Add.14)</w:t>
    </w:r>
    <w:r w:rsidR="00E933C3">
      <w:t>(Rév.1)</w:t>
    </w:r>
    <w:r w:rsidR="006A4B45">
      <w:t>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65D5568"/>
    <w:multiLevelType w:val="hybridMultilevel"/>
    <w:tmpl w:val="1B921450"/>
    <w:lvl w:ilvl="0" w:tplc="9B70BCF2">
      <w:start w:val="1"/>
      <w:numFmt w:val="lowerLetter"/>
      <w:lvlText w:val="%1)"/>
      <w:lvlJc w:val="left"/>
      <w:pPr>
        <w:ind w:left="1488" w:hanging="1128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01E27376-5A0E-4AB3-A0F6-19370C07FC4F}"/>
    <w:docVar w:name="dgnword-eventsink" w:val="2501872695296"/>
  </w:docVars>
  <w:rsids>
    <w:rsidRoot w:val="00BB1D82"/>
    <w:rsid w:val="00007EC7"/>
    <w:rsid w:val="00010B43"/>
    <w:rsid w:val="00016648"/>
    <w:rsid w:val="0002274C"/>
    <w:rsid w:val="0003522F"/>
    <w:rsid w:val="000406BD"/>
    <w:rsid w:val="00063A1F"/>
    <w:rsid w:val="00067E03"/>
    <w:rsid w:val="00080E2C"/>
    <w:rsid w:val="00081366"/>
    <w:rsid w:val="00082DAD"/>
    <w:rsid w:val="000863B3"/>
    <w:rsid w:val="000A4755"/>
    <w:rsid w:val="000A55AE"/>
    <w:rsid w:val="000A722C"/>
    <w:rsid w:val="000B2E0C"/>
    <w:rsid w:val="000B3D0C"/>
    <w:rsid w:val="000D1545"/>
    <w:rsid w:val="000E4E03"/>
    <w:rsid w:val="001167B9"/>
    <w:rsid w:val="001267A0"/>
    <w:rsid w:val="001322B9"/>
    <w:rsid w:val="00150ABB"/>
    <w:rsid w:val="0015203F"/>
    <w:rsid w:val="00160C64"/>
    <w:rsid w:val="0018169B"/>
    <w:rsid w:val="0019352B"/>
    <w:rsid w:val="001960D0"/>
    <w:rsid w:val="001A11F6"/>
    <w:rsid w:val="001B01BB"/>
    <w:rsid w:val="001B2066"/>
    <w:rsid w:val="001C773A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2D7E0A"/>
    <w:rsid w:val="0030583B"/>
    <w:rsid w:val="00315AFE"/>
    <w:rsid w:val="00335C64"/>
    <w:rsid w:val="003606A6"/>
    <w:rsid w:val="0036650C"/>
    <w:rsid w:val="00377413"/>
    <w:rsid w:val="00387E92"/>
    <w:rsid w:val="0039288E"/>
    <w:rsid w:val="00393ACD"/>
    <w:rsid w:val="003A583E"/>
    <w:rsid w:val="003A7E8A"/>
    <w:rsid w:val="003E112B"/>
    <w:rsid w:val="003E1D1C"/>
    <w:rsid w:val="003E4371"/>
    <w:rsid w:val="003E7B05"/>
    <w:rsid w:val="003F3719"/>
    <w:rsid w:val="003F6F2D"/>
    <w:rsid w:val="004126FE"/>
    <w:rsid w:val="00431A54"/>
    <w:rsid w:val="00466211"/>
    <w:rsid w:val="004730A0"/>
    <w:rsid w:val="00483196"/>
    <w:rsid w:val="004834A9"/>
    <w:rsid w:val="004D01FC"/>
    <w:rsid w:val="004E28C3"/>
    <w:rsid w:val="004F1F8E"/>
    <w:rsid w:val="00512A32"/>
    <w:rsid w:val="00514233"/>
    <w:rsid w:val="005327D9"/>
    <w:rsid w:val="005343DA"/>
    <w:rsid w:val="00560874"/>
    <w:rsid w:val="005640BD"/>
    <w:rsid w:val="00586CF2"/>
    <w:rsid w:val="005A7C75"/>
    <w:rsid w:val="005B544F"/>
    <w:rsid w:val="005C21CB"/>
    <w:rsid w:val="005C3768"/>
    <w:rsid w:val="005C6C3F"/>
    <w:rsid w:val="005C70B1"/>
    <w:rsid w:val="005F72A6"/>
    <w:rsid w:val="0060047A"/>
    <w:rsid w:val="0061039D"/>
    <w:rsid w:val="00610E3F"/>
    <w:rsid w:val="00613635"/>
    <w:rsid w:val="0062093D"/>
    <w:rsid w:val="006267CF"/>
    <w:rsid w:val="00637ECF"/>
    <w:rsid w:val="00647B59"/>
    <w:rsid w:val="00673E10"/>
    <w:rsid w:val="00690C7B"/>
    <w:rsid w:val="006A4B45"/>
    <w:rsid w:val="006C0605"/>
    <w:rsid w:val="006C41A9"/>
    <w:rsid w:val="006D4724"/>
    <w:rsid w:val="006E5284"/>
    <w:rsid w:val="006F5FA2"/>
    <w:rsid w:val="00700659"/>
    <w:rsid w:val="0070076C"/>
    <w:rsid w:val="00701BAE"/>
    <w:rsid w:val="00721F04"/>
    <w:rsid w:val="00730E95"/>
    <w:rsid w:val="007426B9"/>
    <w:rsid w:val="00746914"/>
    <w:rsid w:val="00764342"/>
    <w:rsid w:val="00770511"/>
    <w:rsid w:val="00774362"/>
    <w:rsid w:val="00780E68"/>
    <w:rsid w:val="00786598"/>
    <w:rsid w:val="00790C74"/>
    <w:rsid w:val="007A04E8"/>
    <w:rsid w:val="007B2C34"/>
    <w:rsid w:val="007F06FC"/>
    <w:rsid w:val="00830086"/>
    <w:rsid w:val="00851625"/>
    <w:rsid w:val="00863C0A"/>
    <w:rsid w:val="00882123"/>
    <w:rsid w:val="008A3120"/>
    <w:rsid w:val="008A4B97"/>
    <w:rsid w:val="008B7F33"/>
    <w:rsid w:val="008C5B8E"/>
    <w:rsid w:val="008C5DD5"/>
    <w:rsid w:val="008C5FCB"/>
    <w:rsid w:val="008D41BE"/>
    <w:rsid w:val="008D58D3"/>
    <w:rsid w:val="008E3BC9"/>
    <w:rsid w:val="008E540A"/>
    <w:rsid w:val="00923064"/>
    <w:rsid w:val="00930FFD"/>
    <w:rsid w:val="00936D25"/>
    <w:rsid w:val="00941EA5"/>
    <w:rsid w:val="00964700"/>
    <w:rsid w:val="00966C16"/>
    <w:rsid w:val="009672A6"/>
    <w:rsid w:val="00974FBC"/>
    <w:rsid w:val="00975515"/>
    <w:rsid w:val="0098732F"/>
    <w:rsid w:val="009A045F"/>
    <w:rsid w:val="009A664E"/>
    <w:rsid w:val="009A6A2B"/>
    <w:rsid w:val="009B5C9B"/>
    <w:rsid w:val="009C2605"/>
    <w:rsid w:val="009C7E7C"/>
    <w:rsid w:val="009D3F25"/>
    <w:rsid w:val="00A00473"/>
    <w:rsid w:val="00A03C9B"/>
    <w:rsid w:val="00A37105"/>
    <w:rsid w:val="00A606C3"/>
    <w:rsid w:val="00A83B09"/>
    <w:rsid w:val="00A84541"/>
    <w:rsid w:val="00AC1F4F"/>
    <w:rsid w:val="00AC4C8B"/>
    <w:rsid w:val="00AE36A0"/>
    <w:rsid w:val="00B00294"/>
    <w:rsid w:val="00B3592B"/>
    <w:rsid w:val="00B3749C"/>
    <w:rsid w:val="00B64FD0"/>
    <w:rsid w:val="00BA29B1"/>
    <w:rsid w:val="00BA5BD0"/>
    <w:rsid w:val="00BB1D82"/>
    <w:rsid w:val="00BC4D51"/>
    <w:rsid w:val="00BD27FA"/>
    <w:rsid w:val="00BD38F9"/>
    <w:rsid w:val="00BD51C5"/>
    <w:rsid w:val="00BF26E7"/>
    <w:rsid w:val="00BF7E31"/>
    <w:rsid w:val="00C25A1C"/>
    <w:rsid w:val="00C53FCA"/>
    <w:rsid w:val="00C678EB"/>
    <w:rsid w:val="00C76BAF"/>
    <w:rsid w:val="00C814B9"/>
    <w:rsid w:val="00C819AF"/>
    <w:rsid w:val="00C95DD9"/>
    <w:rsid w:val="00CD516F"/>
    <w:rsid w:val="00D119A7"/>
    <w:rsid w:val="00D25FBA"/>
    <w:rsid w:val="00D32B28"/>
    <w:rsid w:val="00D331BA"/>
    <w:rsid w:val="00D42954"/>
    <w:rsid w:val="00D479AA"/>
    <w:rsid w:val="00D66EAC"/>
    <w:rsid w:val="00D730DF"/>
    <w:rsid w:val="00D772F0"/>
    <w:rsid w:val="00D77BDC"/>
    <w:rsid w:val="00DC402B"/>
    <w:rsid w:val="00DE0932"/>
    <w:rsid w:val="00DF5D0D"/>
    <w:rsid w:val="00E03A27"/>
    <w:rsid w:val="00E049F1"/>
    <w:rsid w:val="00E24457"/>
    <w:rsid w:val="00E37A25"/>
    <w:rsid w:val="00E537FF"/>
    <w:rsid w:val="00E6080A"/>
    <w:rsid w:val="00E6539B"/>
    <w:rsid w:val="00E70A31"/>
    <w:rsid w:val="00E723A7"/>
    <w:rsid w:val="00E933C3"/>
    <w:rsid w:val="00EA3F38"/>
    <w:rsid w:val="00EA5AB6"/>
    <w:rsid w:val="00EC7615"/>
    <w:rsid w:val="00ED16AA"/>
    <w:rsid w:val="00ED3EB7"/>
    <w:rsid w:val="00ED6B8D"/>
    <w:rsid w:val="00EE3D7B"/>
    <w:rsid w:val="00EF662E"/>
    <w:rsid w:val="00F10064"/>
    <w:rsid w:val="00F148F1"/>
    <w:rsid w:val="00F518DD"/>
    <w:rsid w:val="00F60DC8"/>
    <w:rsid w:val="00F711A7"/>
    <w:rsid w:val="00F90253"/>
    <w:rsid w:val="00F96E68"/>
    <w:rsid w:val="00FA3BBF"/>
    <w:rsid w:val="00FC41F8"/>
    <w:rsid w:val="00FD01E7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0C7397D8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Reference/... + (Asian) Si...,Footnote symbol,Style 12,(NECG) Footnote Reference,Style 124,o,fr,Style 13,FR,Style 17,Appel note de bas de p + 11 pt,Italic,Appel note de bas de p1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Footnote Text Char1"/>
    <w:basedOn w:val="Normal"/>
    <w:link w:val="FootnoteTextChar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link w:val="NormalaftertitleChar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link w:val="ReasonsChar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paragraph" w:customStyle="1" w:styleId="TableText0">
    <w:name w:val="Table_Text"/>
    <w:basedOn w:val="Normal"/>
    <w:link w:val="TableTextChar"/>
    <w:rsid w:val="0061039D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cs="Angsana New"/>
      <w:sz w:val="22"/>
      <w:szCs w:val="22"/>
      <w:lang w:val="es-ES_tradnl"/>
    </w:rPr>
  </w:style>
  <w:style w:type="character" w:customStyle="1" w:styleId="TableTextChar">
    <w:name w:val="Table_Text Char"/>
    <w:basedOn w:val="DefaultParagraphFont"/>
    <w:link w:val="TableText0"/>
    <w:locked/>
    <w:rsid w:val="0061039D"/>
    <w:rPr>
      <w:rFonts w:ascii="Times New Roman" w:hAnsi="Times New Roman" w:cs="Angsana New"/>
      <w:sz w:val="22"/>
      <w:szCs w:val="22"/>
      <w:lang w:val="es-ES_tradnl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770511"/>
    <w:rPr>
      <w:rFonts w:ascii="Times New Roman" w:hAnsi="Times New Roman"/>
      <w:sz w:val="24"/>
      <w:lang w:val="fr-FR" w:eastAsia="en-US"/>
    </w:rPr>
  </w:style>
  <w:style w:type="character" w:customStyle="1" w:styleId="CallChar">
    <w:name w:val="Call Char"/>
    <w:basedOn w:val="DefaultParagraphFont"/>
    <w:link w:val="Call"/>
    <w:locked/>
    <w:rsid w:val="00770511"/>
    <w:rPr>
      <w:rFonts w:ascii="Times New Roman" w:hAnsi="Times New Roman"/>
      <w:i/>
      <w:sz w:val="24"/>
      <w:lang w:val="fr-FR" w:eastAsia="en-US"/>
    </w:rPr>
  </w:style>
  <w:style w:type="character" w:customStyle="1" w:styleId="ReasonsChar">
    <w:name w:val="Reasons Char"/>
    <w:basedOn w:val="DefaultParagraphFont"/>
    <w:link w:val="Reasons"/>
    <w:rsid w:val="00770511"/>
    <w:rPr>
      <w:rFonts w:ascii="Times New Roman" w:hAnsi="Times New Roman"/>
      <w:sz w:val="24"/>
      <w:lang w:val="fr-FR" w:eastAsia="en-US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Footnote Text Char1 Char"/>
    <w:basedOn w:val="DefaultParagraphFont"/>
    <w:link w:val="FootnoteText"/>
    <w:rsid w:val="00F90253"/>
    <w:rPr>
      <w:rFonts w:ascii="Times New Roman" w:hAnsi="Times New Roman"/>
      <w:sz w:val="24"/>
      <w:lang w:val="fr-FR" w:eastAsia="en-US"/>
    </w:rPr>
  </w:style>
  <w:style w:type="character" w:customStyle="1" w:styleId="enumlev1Char">
    <w:name w:val="enumlev1 Char"/>
    <w:basedOn w:val="DefaultParagraphFont"/>
    <w:link w:val="enumlev1"/>
    <w:locked/>
    <w:rsid w:val="00F90253"/>
    <w:rPr>
      <w:rFonts w:ascii="Times New Roman" w:hAnsi="Times New Roman"/>
      <w:sz w:val="24"/>
      <w:lang w:val="fr-FR" w:eastAsia="en-US"/>
    </w:rPr>
  </w:style>
  <w:style w:type="character" w:customStyle="1" w:styleId="href">
    <w:name w:val="href"/>
    <w:rsid w:val="009C2605"/>
    <w:rPr>
      <w:color w:val="auto"/>
    </w:rPr>
  </w:style>
  <w:style w:type="paragraph" w:styleId="ListParagraph">
    <w:name w:val="List Paragraph"/>
    <w:basedOn w:val="Normal"/>
    <w:uiPriority w:val="34"/>
    <w:qFormat/>
    <w:rsid w:val="003058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R16-WRC19-C-0011!A24-A14!MSW-F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5214B70-167E-495E-9B7E-68B4FC95CC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5B3071-2951-4EF0-B279-A9E258FDF506}">
  <ds:schemaRefs>
    <ds:schemaRef ds:uri="996b2e75-67fd-4955-a3b0-5ab9934cb50b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32a1a8c5-2265-4ebc-b7a0-2071e2c5c9bb"/>
    <ds:schemaRef ds:uri="http://purl.org/dc/dcmitype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0C0FFF4-ABB1-4F7B-8787-78B9D40E3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1868</Words>
  <Characters>10128</Characters>
  <Application>Microsoft Office Word</Application>
  <DocSecurity>0</DocSecurity>
  <Lines>191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R16-WRC19-C-0011!A24-A14!MSW-F</vt:lpstr>
    </vt:vector>
  </TitlesOfParts>
  <Manager>Secrétariat général - Pool</Manager>
  <Company>Union internationale des télécommunications (UIT)</Company>
  <LinksUpToDate>false</LinksUpToDate>
  <CharactersWithSpaces>11922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R16-WRC19-C-0011!A24-A14!MSW-F</dc:title>
  <dc:subject>Conférence mondiale des radiocommunications - 2019</dc:subject>
  <dc:creator>Documents Proposals Manager (DPM)</dc:creator>
  <cp:keywords>DPM_v2019.9.20.1_prod</cp:keywords>
  <dc:description/>
  <cp:lastModifiedBy>French1</cp:lastModifiedBy>
  <cp:revision>9</cp:revision>
  <cp:lastPrinted>2019-11-07T20:21:00Z</cp:lastPrinted>
  <dcterms:created xsi:type="dcterms:W3CDTF">2019-11-07T19:56:00Z</dcterms:created>
  <dcterms:modified xsi:type="dcterms:W3CDTF">2019-11-07T20:21:00Z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