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490" w:type="dxa"/>
        <w:tblLayout w:type="fixed"/>
        <w:tblLook w:val="0000" w:firstRow="0" w:lastRow="0" w:firstColumn="0" w:lastColumn="0" w:noHBand="0" w:noVBand="0"/>
      </w:tblPr>
      <w:tblGrid>
        <w:gridCol w:w="6551"/>
        <w:gridCol w:w="3939"/>
      </w:tblGrid>
      <w:tr w:rsidR="00A066F1" w14:paraId="496807D3" w14:textId="77777777" w:rsidTr="00A6001E">
        <w:trPr>
          <w:cantSplit/>
        </w:trPr>
        <w:tc>
          <w:tcPr>
            <w:tcW w:w="6551" w:type="dxa"/>
          </w:tcPr>
          <w:p w14:paraId="52E5E49D"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939" w:type="dxa"/>
          </w:tcPr>
          <w:p w14:paraId="5880346C" w14:textId="77777777" w:rsidR="00A066F1" w:rsidRDefault="005F04D8" w:rsidP="003B2284">
            <w:pPr>
              <w:spacing w:before="0" w:line="240" w:lineRule="atLeast"/>
              <w:jc w:val="right"/>
            </w:pPr>
            <w:bookmarkStart w:id="0" w:name="ditulogo"/>
            <w:bookmarkEnd w:id="0"/>
            <w:r>
              <w:rPr>
                <w:noProof/>
                <w:lang w:eastAsia="en-GB"/>
              </w:rPr>
              <w:drawing>
                <wp:inline distT="0" distB="0" distL="0" distR="0" wp14:anchorId="1C7BA17A" wp14:editId="4DEE91F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A808D5C" w14:textId="77777777" w:rsidTr="00A6001E">
        <w:trPr>
          <w:cantSplit/>
        </w:trPr>
        <w:tc>
          <w:tcPr>
            <w:tcW w:w="6551" w:type="dxa"/>
            <w:tcBorders>
              <w:bottom w:val="single" w:sz="12" w:space="0" w:color="auto"/>
            </w:tcBorders>
          </w:tcPr>
          <w:p w14:paraId="3700F568" w14:textId="77777777" w:rsidR="00A066F1" w:rsidRPr="003B2284" w:rsidRDefault="00A066F1" w:rsidP="00A066F1">
            <w:pPr>
              <w:spacing w:before="0" w:after="48" w:line="240" w:lineRule="atLeast"/>
              <w:rPr>
                <w:rFonts w:ascii="Verdana" w:hAnsi="Verdana"/>
                <w:b/>
                <w:smallCaps/>
                <w:sz w:val="20"/>
              </w:rPr>
            </w:pPr>
            <w:bookmarkStart w:id="1" w:name="dhead"/>
          </w:p>
        </w:tc>
        <w:tc>
          <w:tcPr>
            <w:tcW w:w="3939" w:type="dxa"/>
            <w:tcBorders>
              <w:bottom w:val="single" w:sz="12" w:space="0" w:color="auto"/>
            </w:tcBorders>
          </w:tcPr>
          <w:p w14:paraId="3AD362C2" w14:textId="77777777" w:rsidR="00A066F1" w:rsidRPr="00617BE4" w:rsidRDefault="00A066F1" w:rsidP="00A066F1">
            <w:pPr>
              <w:spacing w:before="0" w:line="240" w:lineRule="atLeast"/>
              <w:rPr>
                <w:rFonts w:ascii="Verdana" w:hAnsi="Verdana"/>
                <w:szCs w:val="24"/>
              </w:rPr>
            </w:pPr>
          </w:p>
        </w:tc>
      </w:tr>
      <w:tr w:rsidR="00A066F1" w:rsidRPr="00C324A8" w14:paraId="3A67963E" w14:textId="77777777" w:rsidTr="00A6001E">
        <w:trPr>
          <w:cantSplit/>
        </w:trPr>
        <w:tc>
          <w:tcPr>
            <w:tcW w:w="6551" w:type="dxa"/>
            <w:tcBorders>
              <w:top w:val="single" w:sz="12" w:space="0" w:color="auto"/>
            </w:tcBorders>
          </w:tcPr>
          <w:p w14:paraId="10BBD6F2" w14:textId="77777777" w:rsidR="00A066F1" w:rsidRPr="00C324A8" w:rsidRDefault="00A066F1" w:rsidP="00A066F1">
            <w:pPr>
              <w:spacing w:before="0" w:after="48" w:line="240" w:lineRule="atLeast"/>
              <w:rPr>
                <w:rFonts w:ascii="Verdana" w:hAnsi="Verdana"/>
                <w:b/>
                <w:smallCaps/>
                <w:sz w:val="20"/>
              </w:rPr>
            </w:pPr>
          </w:p>
        </w:tc>
        <w:tc>
          <w:tcPr>
            <w:tcW w:w="3939" w:type="dxa"/>
            <w:tcBorders>
              <w:top w:val="single" w:sz="12" w:space="0" w:color="auto"/>
            </w:tcBorders>
          </w:tcPr>
          <w:p w14:paraId="1131B132" w14:textId="77777777" w:rsidR="00A066F1" w:rsidRPr="00C324A8" w:rsidRDefault="00A066F1" w:rsidP="00A066F1">
            <w:pPr>
              <w:spacing w:before="0" w:line="240" w:lineRule="atLeast"/>
              <w:rPr>
                <w:rFonts w:ascii="Verdana" w:hAnsi="Verdana"/>
                <w:sz w:val="20"/>
              </w:rPr>
            </w:pPr>
          </w:p>
        </w:tc>
      </w:tr>
      <w:tr w:rsidR="00A066F1" w:rsidRPr="00C324A8" w14:paraId="753584AC" w14:textId="77777777" w:rsidTr="00A6001E">
        <w:trPr>
          <w:cantSplit/>
          <w:trHeight w:val="23"/>
        </w:trPr>
        <w:tc>
          <w:tcPr>
            <w:tcW w:w="6551" w:type="dxa"/>
            <w:shd w:val="clear" w:color="auto" w:fill="auto"/>
          </w:tcPr>
          <w:p w14:paraId="32FBA283"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939" w:type="dxa"/>
          </w:tcPr>
          <w:p w14:paraId="41015B62" w14:textId="0E10C801" w:rsidR="00A6001E" w:rsidRDefault="00A6001E" w:rsidP="00AA666F">
            <w:pPr>
              <w:tabs>
                <w:tab w:val="left" w:pos="851"/>
              </w:tabs>
              <w:spacing w:before="0" w:line="240" w:lineRule="atLeast"/>
              <w:rPr>
                <w:rFonts w:ascii="Verdana" w:hAnsi="Verdana"/>
                <w:b/>
                <w:sz w:val="20"/>
              </w:rPr>
            </w:pPr>
            <w:r>
              <w:rPr>
                <w:rFonts w:ascii="Verdana" w:hAnsi="Verdana"/>
                <w:b/>
                <w:sz w:val="20"/>
              </w:rPr>
              <w:t>Revision 1 to</w:t>
            </w:r>
            <w:r w:rsidR="0055623F">
              <w:rPr>
                <w:rFonts w:ascii="Verdana" w:hAnsi="Verdana"/>
                <w:b/>
                <w:sz w:val="20"/>
              </w:rPr>
              <w:br/>
              <w:t>Addendum 14 to</w:t>
            </w:r>
          </w:p>
          <w:p w14:paraId="7A965B32" w14:textId="1281046B" w:rsidR="00A066F1" w:rsidRPr="00841216" w:rsidRDefault="00E55816" w:rsidP="0055623F">
            <w:pPr>
              <w:tabs>
                <w:tab w:val="left" w:pos="851"/>
              </w:tabs>
              <w:spacing w:before="0" w:line="240" w:lineRule="atLeast"/>
              <w:rPr>
                <w:rFonts w:ascii="Verdana" w:hAnsi="Verdana"/>
                <w:sz w:val="20"/>
              </w:rPr>
            </w:pPr>
            <w:r>
              <w:rPr>
                <w:rFonts w:ascii="Verdana" w:hAnsi="Verdana"/>
                <w:b/>
                <w:sz w:val="20"/>
              </w:rPr>
              <w:t>Document 11(Add.24)</w:t>
            </w:r>
            <w:r w:rsidR="00A066F1" w:rsidRPr="00841216">
              <w:rPr>
                <w:rFonts w:ascii="Verdana" w:hAnsi="Verdana"/>
                <w:b/>
                <w:sz w:val="20"/>
              </w:rPr>
              <w:t>-</w:t>
            </w:r>
            <w:r w:rsidR="005E10C9" w:rsidRPr="00841216">
              <w:rPr>
                <w:rFonts w:ascii="Verdana" w:hAnsi="Verdana"/>
                <w:b/>
                <w:sz w:val="20"/>
              </w:rPr>
              <w:t>E</w:t>
            </w:r>
          </w:p>
        </w:tc>
      </w:tr>
      <w:tr w:rsidR="00A066F1" w:rsidRPr="00C324A8" w14:paraId="52D960AD" w14:textId="77777777" w:rsidTr="00A6001E">
        <w:trPr>
          <w:cantSplit/>
          <w:trHeight w:val="23"/>
        </w:trPr>
        <w:tc>
          <w:tcPr>
            <w:tcW w:w="6551" w:type="dxa"/>
            <w:shd w:val="clear" w:color="auto" w:fill="auto"/>
          </w:tcPr>
          <w:p w14:paraId="212FAFE6"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939" w:type="dxa"/>
          </w:tcPr>
          <w:p w14:paraId="3D7BD64F" w14:textId="2AAF5A1B" w:rsidR="00A066F1" w:rsidRPr="00841216" w:rsidRDefault="00420873" w:rsidP="00A6001E">
            <w:pPr>
              <w:tabs>
                <w:tab w:val="left" w:pos="993"/>
              </w:tabs>
              <w:spacing w:before="0"/>
              <w:rPr>
                <w:rFonts w:ascii="Verdana" w:hAnsi="Verdana"/>
                <w:sz w:val="20"/>
              </w:rPr>
            </w:pPr>
            <w:r w:rsidRPr="00841216">
              <w:rPr>
                <w:rFonts w:ascii="Verdana" w:hAnsi="Verdana"/>
                <w:b/>
                <w:sz w:val="20"/>
              </w:rPr>
              <w:t xml:space="preserve">7 </w:t>
            </w:r>
            <w:r w:rsidR="00A6001E">
              <w:rPr>
                <w:rFonts w:ascii="Verdana" w:hAnsi="Verdana"/>
                <w:b/>
                <w:sz w:val="20"/>
              </w:rPr>
              <w:t>November</w:t>
            </w:r>
            <w:r w:rsidRPr="00841216">
              <w:rPr>
                <w:rFonts w:ascii="Verdana" w:hAnsi="Verdana"/>
                <w:b/>
                <w:sz w:val="20"/>
              </w:rPr>
              <w:t xml:space="preserve"> 2019</w:t>
            </w:r>
          </w:p>
        </w:tc>
      </w:tr>
      <w:tr w:rsidR="00A066F1" w:rsidRPr="00C324A8" w14:paraId="04603ECA" w14:textId="77777777" w:rsidTr="00A6001E">
        <w:trPr>
          <w:cantSplit/>
          <w:trHeight w:val="23"/>
        </w:trPr>
        <w:tc>
          <w:tcPr>
            <w:tcW w:w="6551" w:type="dxa"/>
            <w:shd w:val="clear" w:color="auto" w:fill="auto"/>
          </w:tcPr>
          <w:p w14:paraId="785EADBA"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939" w:type="dxa"/>
          </w:tcPr>
          <w:p w14:paraId="633BB373"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EE0417">
              <w:rPr>
                <w:rFonts w:ascii="Verdana" w:hAnsi="Verdana"/>
                <w:b/>
                <w:sz w:val="20"/>
              </w:rPr>
              <w:t>/Spanish</w:t>
            </w:r>
          </w:p>
        </w:tc>
      </w:tr>
      <w:tr w:rsidR="00A066F1" w:rsidRPr="00C324A8" w14:paraId="17BA4913" w14:textId="77777777" w:rsidTr="00A6001E">
        <w:trPr>
          <w:cantSplit/>
          <w:trHeight w:val="23"/>
        </w:trPr>
        <w:tc>
          <w:tcPr>
            <w:tcW w:w="10490" w:type="dxa"/>
            <w:gridSpan w:val="2"/>
            <w:shd w:val="clear" w:color="auto" w:fill="auto"/>
          </w:tcPr>
          <w:p w14:paraId="7B557018" w14:textId="77777777" w:rsidR="00A066F1" w:rsidRPr="00C324A8" w:rsidRDefault="00A066F1" w:rsidP="00A066F1">
            <w:pPr>
              <w:tabs>
                <w:tab w:val="left" w:pos="993"/>
              </w:tabs>
              <w:spacing w:before="0"/>
              <w:rPr>
                <w:rFonts w:ascii="Verdana" w:hAnsi="Verdana"/>
                <w:b/>
                <w:sz w:val="20"/>
              </w:rPr>
            </w:pPr>
          </w:p>
        </w:tc>
      </w:tr>
      <w:tr w:rsidR="00E55816" w:rsidRPr="00C324A8" w14:paraId="5F91BDD2" w14:textId="77777777" w:rsidTr="00A6001E">
        <w:trPr>
          <w:cantSplit/>
          <w:trHeight w:val="23"/>
        </w:trPr>
        <w:tc>
          <w:tcPr>
            <w:tcW w:w="10490" w:type="dxa"/>
            <w:gridSpan w:val="2"/>
            <w:shd w:val="clear" w:color="auto" w:fill="auto"/>
          </w:tcPr>
          <w:p w14:paraId="60921739" w14:textId="77777777" w:rsidR="00E55816" w:rsidRDefault="00884D60" w:rsidP="00E55816">
            <w:pPr>
              <w:pStyle w:val="Source"/>
            </w:pPr>
            <w:r>
              <w:t>Member States of the Inter-American Telecommunication Commission (CITEL)</w:t>
            </w:r>
          </w:p>
        </w:tc>
      </w:tr>
      <w:tr w:rsidR="00E55816" w:rsidRPr="00C324A8" w14:paraId="36CECA50" w14:textId="77777777" w:rsidTr="00A6001E">
        <w:trPr>
          <w:cantSplit/>
          <w:trHeight w:val="23"/>
        </w:trPr>
        <w:tc>
          <w:tcPr>
            <w:tcW w:w="10490" w:type="dxa"/>
            <w:gridSpan w:val="2"/>
            <w:shd w:val="clear" w:color="auto" w:fill="auto"/>
          </w:tcPr>
          <w:p w14:paraId="752C1281" w14:textId="77777777" w:rsidR="00E55816" w:rsidRDefault="007D5320" w:rsidP="00E55816">
            <w:pPr>
              <w:pStyle w:val="Title1"/>
            </w:pPr>
            <w:r>
              <w:t>Proposals for the work of the conference</w:t>
            </w:r>
          </w:p>
        </w:tc>
      </w:tr>
      <w:tr w:rsidR="00E55816" w:rsidRPr="00C324A8" w14:paraId="09756A41" w14:textId="77777777" w:rsidTr="00A6001E">
        <w:trPr>
          <w:cantSplit/>
          <w:trHeight w:val="23"/>
        </w:trPr>
        <w:tc>
          <w:tcPr>
            <w:tcW w:w="10490" w:type="dxa"/>
            <w:gridSpan w:val="2"/>
            <w:shd w:val="clear" w:color="auto" w:fill="auto"/>
          </w:tcPr>
          <w:p w14:paraId="363424D2" w14:textId="77777777" w:rsidR="00E55816" w:rsidRDefault="00E55816" w:rsidP="00E55816">
            <w:pPr>
              <w:pStyle w:val="Title2"/>
            </w:pPr>
          </w:p>
        </w:tc>
      </w:tr>
      <w:tr w:rsidR="00A538A6" w:rsidRPr="00C324A8" w14:paraId="7827D9C4" w14:textId="77777777" w:rsidTr="00A6001E">
        <w:trPr>
          <w:cantSplit/>
          <w:trHeight w:val="23"/>
        </w:trPr>
        <w:tc>
          <w:tcPr>
            <w:tcW w:w="10490" w:type="dxa"/>
            <w:gridSpan w:val="2"/>
            <w:shd w:val="clear" w:color="auto" w:fill="auto"/>
          </w:tcPr>
          <w:p w14:paraId="7879EA8B" w14:textId="77777777" w:rsidR="00A538A6" w:rsidRDefault="004B13CB" w:rsidP="004B13CB">
            <w:pPr>
              <w:pStyle w:val="Agendaitem"/>
            </w:pPr>
            <w:r>
              <w:t>Agenda item 10</w:t>
            </w:r>
          </w:p>
        </w:tc>
      </w:tr>
    </w:tbl>
    <w:bookmarkEnd w:id="6"/>
    <w:bookmarkEnd w:id="7"/>
    <w:p w14:paraId="2BDA3D66" w14:textId="77777777" w:rsidR="005118F7" w:rsidRDefault="00333FD9" w:rsidP="00167FA6">
      <w:pPr>
        <w:overflowPunct/>
        <w:autoSpaceDE/>
        <w:autoSpaceDN/>
        <w:adjustRightInd/>
        <w:textAlignment w:val="auto"/>
        <w:rPr>
          <w:lang w:val="en-US"/>
        </w:rPr>
      </w:pPr>
      <w:r w:rsidRPr="00656311">
        <w:rPr>
          <w:lang w:val="en-US"/>
        </w:rPr>
        <w:t>10</w:t>
      </w:r>
      <w:r w:rsidRPr="00656311">
        <w:rPr>
          <w:lang w:val="en-US"/>
        </w:rPr>
        <w:tab/>
        <w:t>to recommend to the Council items for inclusion in the agenda for the next WRC, and to give its views on the preliminary agenda for the subsequent conference and on possible agenda items for future conferences, in accordance w</w:t>
      </w:r>
      <w:r>
        <w:rPr>
          <w:lang w:val="en-US"/>
        </w:rPr>
        <w:t>ith Article 7 of the Convention.</w:t>
      </w:r>
    </w:p>
    <w:p w14:paraId="6E723C02" w14:textId="77777777" w:rsidR="00241FA2" w:rsidRDefault="00241FA2" w:rsidP="00EF71B6"/>
    <w:p w14:paraId="2F74FD48" w14:textId="77777777" w:rsidR="00EE0417" w:rsidRPr="00A6001E" w:rsidRDefault="00EE0417" w:rsidP="002523DE">
      <w:pPr>
        <w:pStyle w:val="Headingb"/>
        <w:rPr>
          <w:lang w:val="en-GB"/>
        </w:rPr>
      </w:pPr>
      <w:r w:rsidRPr="00A6001E">
        <w:rPr>
          <w:lang w:val="en-GB"/>
        </w:rPr>
        <w:t>Background</w:t>
      </w:r>
    </w:p>
    <w:p w14:paraId="36258401" w14:textId="2A1560C9" w:rsidR="00EE0417" w:rsidRPr="008254B6" w:rsidRDefault="00EE0417" w:rsidP="00EE0417">
      <w:r w:rsidRPr="008254B6">
        <w:rPr>
          <w:lang w:val="en-US"/>
        </w:rPr>
        <w:t xml:space="preserve">WRC-19 will seek to identify </w:t>
      </w:r>
      <w:proofErr w:type="spellStart"/>
      <w:r w:rsidRPr="008254B6">
        <w:rPr>
          <w:lang w:val="en-US"/>
        </w:rPr>
        <w:t>mmWave</w:t>
      </w:r>
      <w:proofErr w:type="spellEnd"/>
      <w:r w:rsidRPr="008254B6">
        <w:rPr>
          <w:lang w:val="en-US"/>
        </w:rPr>
        <w:t xml:space="preserve"> spectrum for IMT to support high-performance, high-capacity 5G. </w:t>
      </w:r>
      <w:r w:rsidRPr="008254B6">
        <w:t>In order to ensure 5G is available in all areas, lower frequencies in the range between the limitations of WRC-15 (upper limit 3.7 GHz) and WRC-19 (lower limit 24 GHz), should also be examined. This paper lays out bands which are supported by industry or by countries</w:t>
      </w:r>
      <w:r w:rsidR="002523DE">
        <w:t>/</w:t>
      </w:r>
      <w:r w:rsidRPr="008254B6">
        <w:t>regions.</w:t>
      </w:r>
    </w:p>
    <w:p w14:paraId="5845F3D4" w14:textId="1FF95836" w:rsidR="00EE0417" w:rsidRDefault="00EE0417" w:rsidP="00EE0417">
      <w:r w:rsidRPr="008254B6">
        <w:t xml:space="preserve">Early 5G commercial adoption has demonstrated upcoming challenges for spectrum managers. </w:t>
      </w:r>
      <w:r w:rsidRPr="008254B6">
        <w:rPr>
          <w:lang w:val="en-US"/>
        </w:rPr>
        <w:t xml:space="preserve">5G data usage has tripled, according to SK Telecom, in comparison with 4G. LG </w:t>
      </w:r>
      <w:proofErr w:type="spellStart"/>
      <w:r w:rsidRPr="008254B6">
        <w:rPr>
          <w:lang w:val="en-US"/>
        </w:rPr>
        <w:t>Uplus</w:t>
      </w:r>
      <w:proofErr w:type="spellEnd"/>
      <w:r w:rsidRPr="008254B6">
        <w:rPr>
          <w:lang w:val="en-US"/>
        </w:rPr>
        <w:t xml:space="preserve"> is seeing 1.3</w:t>
      </w:r>
      <w:r w:rsidR="002523DE">
        <w:rPr>
          <w:lang w:val="en-US"/>
        </w:rPr>
        <w:t> </w:t>
      </w:r>
      <w:r w:rsidRPr="008254B6">
        <w:rPr>
          <w:lang w:val="en-US"/>
        </w:rPr>
        <w:t>gigabytes of data a day per subscriber in the early days of its 5G launch</w:t>
      </w:r>
      <w:r w:rsidRPr="008254B6">
        <w:t xml:space="preserve">. While capacity issues are supported by sufficient access to </w:t>
      </w:r>
      <w:proofErr w:type="spellStart"/>
      <w:r w:rsidRPr="008254B6">
        <w:t>mmWave</w:t>
      </w:r>
      <w:proofErr w:type="spellEnd"/>
      <w:r w:rsidRPr="008254B6">
        <w:t xml:space="preserve"> bands, better propagation and indoor coverage will be required in tight unison with </w:t>
      </w:r>
      <w:proofErr w:type="spellStart"/>
      <w:r w:rsidRPr="008254B6">
        <w:t>mmWave</w:t>
      </w:r>
      <w:proofErr w:type="spellEnd"/>
      <w:r w:rsidRPr="008254B6">
        <w:t xml:space="preserve"> capacity. </w:t>
      </w:r>
    </w:p>
    <w:p w14:paraId="0EA7E136" w14:textId="77777777" w:rsidR="00EE0417" w:rsidRPr="008254B6" w:rsidRDefault="00EE0417" w:rsidP="00EE0417">
      <w:r w:rsidRPr="008254B6">
        <w:t>In the 3 GHz band, 100 MHz of contiguous spectrum is required per operator for network deployments to fully benefit from the 5G technology. A similar amount of spectrum with similar propagation characteristics is likely to be required for high-performance capacity 5G enhancement in the future. In some countries spectrum in the same range is being set aside for other purposes such as verticals, which further reduces the amount available for 5G networks. 5G NR will create massive new connectivity between things, unified under one technology and all this will require mid-band spectrum.</w:t>
      </w:r>
    </w:p>
    <w:p w14:paraId="59779C3F" w14:textId="77777777" w:rsidR="00EE0417" w:rsidRPr="008254B6" w:rsidRDefault="00EE0417" w:rsidP="00EE0417">
      <w:r w:rsidRPr="008254B6">
        <w:t>Although CITEL has identified a frequency range in the attached proposal, CITEL is of the view that only a subset of the range should be selected for studies. Additionally, some of the potential frequency bands within the 3 300 MHz-15.35 GHz range may be unacceptable for possible study and identification.</w:t>
      </w:r>
    </w:p>
    <w:p w14:paraId="360D644F" w14:textId="77777777" w:rsidR="00752735" w:rsidRDefault="00333FD9">
      <w:pPr>
        <w:pStyle w:val="Proposal"/>
      </w:pPr>
      <w:r>
        <w:lastRenderedPageBreak/>
        <w:t>ADD</w:t>
      </w:r>
      <w:r>
        <w:tab/>
        <w:t>IAP/11A24A14/1</w:t>
      </w:r>
    </w:p>
    <w:p w14:paraId="3ACDEA9D" w14:textId="77777777" w:rsidR="00752735" w:rsidRDefault="00333FD9" w:rsidP="00557CB9">
      <w:pPr>
        <w:pStyle w:val="ResNo"/>
      </w:pPr>
      <w:r>
        <w:t>Draft New Resolution [IAP</w:t>
      </w:r>
      <w:r w:rsidR="00557CB9" w:rsidRPr="00ED2387">
        <w:t>/</w:t>
      </w:r>
      <w:r w:rsidR="00EE0417">
        <w:rPr>
          <w:lang w:val="en-US"/>
        </w:rPr>
        <w:t>10(N)-20</w:t>
      </w:r>
      <w:r w:rsidR="00EE0417" w:rsidRPr="008254B6">
        <w:rPr>
          <w:lang w:val="en-US"/>
        </w:rPr>
        <w:t>23</w:t>
      </w:r>
      <w:r>
        <w:t>]</w:t>
      </w:r>
      <w:r w:rsidR="00EE0417">
        <w:t xml:space="preserve"> </w:t>
      </w:r>
      <w:r w:rsidR="00EE0417" w:rsidRPr="008254B6">
        <w:rPr>
          <w:lang w:val="en-US"/>
        </w:rPr>
        <w:t>(WRC</w:t>
      </w:r>
      <w:r w:rsidR="00EE0417" w:rsidRPr="008254B6">
        <w:rPr>
          <w:lang w:val="en-US"/>
        </w:rPr>
        <w:noBreakHyphen/>
        <w:t>19)</w:t>
      </w:r>
    </w:p>
    <w:p w14:paraId="08AE608E" w14:textId="77777777" w:rsidR="00EE0417" w:rsidRDefault="00EE0417" w:rsidP="00EE0417">
      <w:pPr>
        <w:pStyle w:val="Restitle"/>
        <w:rPr>
          <w:lang w:val="en-US"/>
        </w:rPr>
      </w:pPr>
      <w:r w:rsidRPr="008254B6">
        <w:rPr>
          <w:lang w:val="en-US"/>
        </w:rPr>
        <w:t>Agenda for the 2023 World Radiocommunication Conference</w:t>
      </w:r>
    </w:p>
    <w:p w14:paraId="1B70EDC9" w14:textId="77777777" w:rsidR="002523DE" w:rsidRPr="008254B6" w:rsidRDefault="002523DE" w:rsidP="002523DE">
      <w:pPr>
        <w:pStyle w:val="Normalaftertitle"/>
        <w:rPr>
          <w:szCs w:val="24"/>
          <w:lang w:eastAsia="nl-NL"/>
        </w:rPr>
      </w:pPr>
      <w:r w:rsidRPr="008254B6">
        <w:rPr>
          <w:szCs w:val="24"/>
          <w:lang w:eastAsia="nl-NL"/>
        </w:rPr>
        <w:t>The World Radiocommunication Conference (Sharm el-Sheikh, 2019),</w:t>
      </w:r>
    </w:p>
    <w:p w14:paraId="24BAE10F" w14:textId="0F66CC9D" w:rsidR="00EE0417" w:rsidRDefault="00EE0417" w:rsidP="00EE0417">
      <w:pPr>
        <w:rPr>
          <w:lang w:val="en-US"/>
        </w:rPr>
      </w:pPr>
      <w:r>
        <w:rPr>
          <w:lang w:val="en-US"/>
        </w:rPr>
        <w:t>…</w:t>
      </w:r>
    </w:p>
    <w:p w14:paraId="3058BC24" w14:textId="11B9C19B" w:rsidR="00EE0417" w:rsidRPr="008254B6" w:rsidRDefault="00EE0417" w:rsidP="002523DE">
      <w:pPr>
        <w:rPr>
          <w:lang w:eastAsia="ko-KR"/>
        </w:rPr>
      </w:pPr>
      <w:r w:rsidRPr="008254B6">
        <w:rPr>
          <w:b/>
          <w:bCs/>
          <w:lang w:eastAsia="ko-KR"/>
        </w:rPr>
        <w:t>1.IMT</w:t>
      </w:r>
      <w:r w:rsidRPr="008254B6">
        <w:rPr>
          <w:lang w:eastAsia="ko-KR"/>
        </w:rPr>
        <w:tab/>
        <w:t>to consider identification of specific frequency bands in the range [3 300 MHz-15.35</w:t>
      </w:r>
      <w:r w:rsidR="002523DE">
        <w:rPr>
          <w:lang w:eastAsia="ko-KR"/>
        </w:rPr>
        <w:t> </w:t>
      </w:r>
      <w:r w:rsidRPr="008254B6">
        <w:rPr>
          <w:lang w:eastAsia="ko-KR"/>
        </w:rPr>
        <w:t xml:space="preserve">GHz] for the future development of International Mobile Telecommunications (IMT), including possible additional allocations to the mobile service on a primary basis, in accordance with Resolution </w:t>
      </w:r>
      <w:r w:rsidRPr="008254B6">
        <w:rPr>
          <w:b/>
          <w:bCs/>
          <w:lang w:eastAsia="ko-KR"/>
        </w:rPr>
        <w:t>[</w:t>
      </w:r>
      <w:r w:rsidRPr="008254B6">
        <w:rPr>
          <w:b/>
          <w:lang w:val="en-US" w:eastAsia="ko-KR"/>
        </w:rPr>
        <w:t>IAP/10(N)-IMT-WRC-23</w:t>
      </w:r>
      <w:r w:rsidRPr="008254B6">
        <w:rPr>
          <w:b/>
          <w:lang w:eastAsia="ko-KR"/>
        </w:rPr>
        <w:t>]</w:t>
      </w:r>
      <w:r w:rsidRPr="008254B6">
        <w:rPr>
          <w:lang w:eastAsia="ko-KR"/>
        </w:rPr>
        <w:t xml:space="preserve"> </w:t>
      </w:r>
      <w:r w:rsidRPr="00EE0417">
        <w:rPr>
          <w:b/>
          <w:lang w:eastAsia="ko-KR"/>
        </w:rPr>
        <w:t>(WRC-19)</w:t>
      </w:r>
      <w:r w:rsidRPr="008254B6">
        <w:rPr>
          <w:lang w:eastAsia="ko-KR"/>
        </w:rPr>
        <w:t>.</w:t>
      </w:r>
    </w:p>
    <w:p w14:paraId="573673B0" w14:textId="77777777" w:rsidR="00752735" w:rsidRDefault="00333FD9">
      <w:pPr>
        <w:pStyle w:val="Reasons"/>
      </w:pPr>
      <w:r>
        <w:rPr>
          <w:b/>
        </w:rPr>
        <w:t>Reasons:</w:t>
      </w:r>
      <w:r>
        <w:tab/>
      </w:r>
      <w:r w:rsidR="00EE0417" w:rsidRPr="008254B6">
        <w:rPr>
          <w:lang w:val="en-US"/>
        </w:rPr>
        <w:t>To satisfy additional need for spectrum for IMT for the range above.</w:t>
      </w:r>
    </w:p>
    <w:p w14:paraId="5F011322" w14:textId="77777777" w:rsidR="00752735" w:rsidRDefault="00333FD9">
      <w:pPr>
        <w:pStyle w:val="Proposal"/>
      </w:pPr>
      <w:r>
        <w:t>ADD</w:t>
      </w:r>
      <w:r>
        <w:tab/>
        <w:t>IAP/11A24A14/2</w:t>
      </w:r>
    </w:p>
    <w:p w14:paraId="4747E448" w14:textId="77777777" w:rsidR="00752735" w:rsidRDefault="00333FD9">
      <w:pPr>
        <w:pStyle w:val="ResNo"/>
      </w:pPr>
      <w:r>
        <w:t>Draft New Resolution [IAP</w:t>
      </w:r>
      <w:r w:rsidR="00557CB9" w:rsidRPr="00ED2387">
        <w:t>/</w:t>
      </w:r>
      <w:r w:rsidR="00EE0417" w:rsidRPr="008254B6">
        <w:rPr>
          <w:lang w:val="en-US"/>
        </w:rPr>
        <w:t>10(N)</w:t>
      </w:r>
      <w:r w:rsidR="00EE0417">
        <w:rPr>
          <w:lang w:val="en-US"/>
        </w:rPr>
        <w:t>/IMT</w:t>
      </w:r>
      <w:r w:rsidR="00EE0417" w:rsidRPr="008254B6">
        <w:rPr>
          <w:lang w:val="en-US"/>
        </w:rPr>
        <w:t>-WRC-23</w:t>
      </w:r>
      <w:r>
        <w:t>]</w:t>
      </w:r>
      <w:r w:rsidR="00EE0417">
        <w:t xml:space="preserve"> </w:t>
      </w:r>
      <w:r w:rsidR="00EE0417" w:rsidRPr="008254B6">
        <w:rPr>
          <w:lang w:val="en-US"/>
        </w:rPr>
        <w:t>(WRC</w:t>
      </w:r>
      <w:r w:rsidR="00EE0417" w:rsidRPr="008254B6">
        <w:rPr>
          <w:lang w:val="en-US"/>
        </w:rPr>
        <w:noBreakHyphen/>
        <w:t>19)</w:t>
      </w:r>
    </w:p>
    <w:p w14:paraId="2C0D6B55" w14:textId="7D2BAF34" w:rsidR="00752735" w:rsidRDefault="00EE0417">
      <w:pPr>
        <w:pStyle w:val="Restitle"/>
      </w:pPr>
      <w:bookmarkStart w:id="8" w:name="_Toc450048693"/>
      <w:r w:rsidRPr="008254B6">
        <w:t xml:space="preserve">Additional frequency bands for the terrestrial component of IMT </w:t>
      </w:r>
      <w:r w:rsidRPr="008254B6">
        <w:br/>
        <w:t>between 3 300 MHz and 15.35 GHz</w:t>
      </w:r>
      <w:bookmarkEnd w:id="8"/>
    </w:p>
    <w:p w14:paraId="19DB792B" w14:textId="77777777" w:rsidR="00EE0417" w:rsidRPr="008254B6" w:rsidRDefault="00EE0417" w:rsidP="00EE0417">
      <w:pPr>
        <w:pStyle w:val="Normalaftertitle"/>
        <w:rPr>
          <w:szCs w:val="24"/>
          <w:lang w:eastAsia="nl-NL"/>
        </w:rPr>
      </w:pPr>
      <w:r w:rsidRPr="008254B6">
        <w:rPr>
          <w:szCs w:val="24"/>
          <w:lang w:eastAsia="nl-NL"/>
        </w:rPr>
        <w:t>The World Radiocommunication Conference (</w:t>
      </w:r>
      <w:bookmarkStart w:id="9" w:name="_Hlk16805214"/>
      <w:r w:rsidRPr="008254B6">
        <w:rPr>
          <w:szCs w:val="24"/>
          <w:lang w:eastAsia="nl-NL"/>
        </w:rPr>
        <w:t>Sharm el-Sheikh</w:t>
      </w:r>
      <w:bookmarkEnd w:id="9"/>
      <w:r w:rsidRPr="008254B6">
        <w:rPr>
          <w:szCs w:val="24"/>
          <w:lang w:eastAsia="nl-NL"/>
        </w:rPr>
        <w:t>, 2019),</w:t>
      </w:r>
    </w:p>
    <w:p w14:paraId="13C41F92" w14:textId="77777777" w:rsidR="00EE0417" w:rsidRPr="008254B6" w:rsidRDefault="00EE0417" w:rsidP="00EE0417">
      <w:pPr>
        <w:pStyle w:val="Call"/>
      </w:pPr>
      <w:r w:rsidRPr="008254B6">
        <w:t>considering</w:t>
      </w:r>
    </w:p>
    <w:p w14:paraId="65FBD950" w14:textId="77777777" w:rsidR="00EE0417" w:rsidRPr="008254B6" w:rsidRDefault="00EE0417" w:rsidP="0068281F">
      <w:r w:rsidRPr="008254B6">
        <w:rPr>
          <w:i/>
        </w:rPr>
        <w:t>a)</w:t>
      </w:r>
      <w:r w:rsidRPr="008254B6">
        <w:tab/>
        <w:t>that International Mobile Telecommunications (IMT) is intended to provide telecommunication services on a worldwide scale, regardless of location and type of network or terminal;</w:t>
      </w:r>
    </w:p>
    <w:p w14:paraId="09CCB186" w14:textId="77777777" w:rsidR="00EE0417" w:rsidRPr="008254B6" w:rsidRDefault="00EE0417" w:rsidP="00EE0417">
      <w:pPr>
        <w:jc w:val="both"/>
        <w:rPr>
          <w:iCs/>
          <w:szCs w:val="24"/>
        </w:rPr>
      </w:pPr>
      <w:r w:rsidRPr="008254B6">
        <w:rPr>
          <w:i/>
          <w:szCs w:val="24"/>
        </w:rPr>
        <w:t>b)</w:t>
      </w:r>
      <w:r w:rsidRPr="008254B6">
        <w:rPr>
          <w:iCs/>
          <w:szCs w:val="24"/>
        </w:rPr>
        <w:tab/>
        <w:t>that IMT systems have contributed to global economic and social development;</w:t>
      </w:r>
    </w:p>
    <w:p w14:paraId="0CC324E5" w14:textId="77777777" w:rsidR="00EE0417" w:rsidRPr="008254B6" w:rsidRDefault="00EE0417" w:rsidP="0068281F">
      <w:r w:rsidRPr="008254B6">
        <w:rPr>
          <w:i/>
        </w:rPr>
        <w:t>c)</w:t>
      </w:r>
      <w:r w:rsidRPr="008254B6">
        <w:tab/>
        <w:t>that IMT systems are now being evolved to provide diverse usage scenarios and applications such as enhanced mobile broadband, massive machine-type communications and ultra-reliable and low-latency communications;</w:t>
      </w:r>
    </w:p>
    <w:p w14:paraId="356B160C" w14:textId="77777777" w:rsidR="00EE0417" w:rsidRPr="008254B6" w:rsidRDefault="00EE0417" w:rsidP="002523DE">
      <w:r w:rsidRPr="008254B6">
        <w:rPr>
          <w:i/>
        </w:rPr>
        <w:t>d)</w:t>
      </w:r>
      <w:r w:rsidRPr="008254B6">
        <w:tab/>
        <w:t>that there is a need to continually take advantage of technological developments in order to increase the efficient use of spectrum and facilitate spectrum access;</w:t>
      </w:r>
    </w:p>
    <w:p w14:paraId="68398E51" w14:textId="77777777" w:rsidR="00EE0417" w:rsidRPr="008254B6" w:rsidRDefault="00EE0417" w:rsidP="002523DE">
      <w:pPr>
        <w:rPr>
          <w:iCs/>
          <w:szCs w:val="24"/>
        </w:rPr>
      </w:pPr>
      <w:r w:rsidRPr="008254B6">
        <w:rPr>
          <w:i/>
          <w:szCs w:val="24"/>
        </w:rPr>
        <w:t>e)</w:t>
      </w:r>
      <w:r w:rsidRPr="008254B6">
        <w:rPr>
          <w:iCs/>
          <w:szCs w:val="24"/>
        </w:rPr>
        <w:tab/>
        <w:t>that adequate and timely availability of spectrum and supporting regulatory provisions is essential to realize the objectives in Recommendation ITU</w:t>
      </w:r>
      <w:r w:rsidRPr="008254B6">
        <w:rPr>
          <w:iCs/>
          <w:szCs w:val="24"/>
        </w:rPr>
        <w:noBreakHyphen/>
        <w:t>R M.2083;</w:t>
      </w:r>
    </w:p>
    <w:p w14:paraId="0315AFF7" w14:textId="1E451607" w:rsidR="00EE0417" w:rsidRDefault="00EE0417" w:rsidP="002523DE">
      <w:r w:rsidRPr="008254B6">
        <w:rPr>
          <w:i/>
        </w:rPr>
        <w:t>f)</w:t>
      </w:r>
      <w:r w:rsidRPr="008254B6">
        <w:tab/>
        <w:t>that harmonized worldwide bands and harmonized frequency arrangements for IMT are highly desirable in order to achieve global roaming and the benefits of economies of scale;</w:t>
      </w:r>
    </w:p>
    <w:p w14:paraId="720C57D7" w14:textId="77777777" w:rsidR="00EE0417" w:rsidRPr="008254B6" w:rsidRDefault="00EE0417" w:rsidP="0068281F">
      <w:r w:rsidRPr="008254B6">
        <w:rPr>
          <w:i/>
        </w:rPr>
        <w:t>g)</w:t>
      </w:r>
      <w:r w:rsidRPr="008254B6">
        <w:tab/>
        <w:t>that identification of frequency bands allocated to mobile service for IMT may change the sharing situation regarding applications of services to which the frequency band is already allocated, and may require additional regulatory actions,</w:t>
      </w:r>
    </w:p>
    <w:p w14:paraId="5E92CD64" w14:textId="77777777" w:rsidR="00EE0417" w:rsidRPr="008254B6" w:rsidRDefault="00EE0417" w:rsidP="00EE0417">
      <w:pPr>
        <w:pStyle w:val="Call"/>
      </w:pPr>
      <w:r w:rsidRPr="008254B6">
        <w:t>noting</w:t>
      </w:r>
    </w:p>
    <w:p w14:paraId="40DE50AA" w14:textId="77777777" w:rsidR="00EE0417" w:rsidRPr="008254B6" w:rsidRDefault="00EE0417" w:rsidP="002523DE">
      <w:r w:rsidRPr="008254B6">
        <w:rPr>
          <w:i/>
        </w:rPr>
        <w:t>a)</w:t>
      </w:r>
      <w:r w:rsidRPr="008254B6">
        <w:tab/>
        <w:t>that IMT encompasses both IMT-2000, IMT-Advanced, and IMT-2020 collectively, as described in Resolution ITU</w:t>
      </w:r>
      <w:r w:rsidRPr="008254B6">
        <w:noBreakHyphen/>
        <w:t>R 56</w:t>
      </w:r>
      <w:r w:rsidRPr="008254B6">
        <w:noBreakHyphen/>
        <w:t>2;</w:t>
      </w:r>
    </w:p>
    <w:p w14:paraId="2BC973B5" w14:textId="77777777" w:rsidR="00EE0417" w:rsidRPr="008254B6" w:rsidRDefault="00EE0417" w:rsidP="002523DE">
      <w:r w:rsidRPr="008254B6">
        <w:rPr>
          <w:i/>
        </w:rPr>
        <w:lastRenderedPageBreak/>
        <w:t>b)</w:t>
      </w:r>
      <w:r w:rsidRPr="008254B6">
        <w:tab/>
        <w:t>Recommendation ITU</w:t>
      </w:r>
      <w:r w:rsidRPr="008254B6">
        <w:noBreakHyphen/>
        <w:t>R M.2083, on the framework and objectives of the future development of IMT for 2020 and beyond;</w:t>
      </w:r>
    </w:p>
    <w:p w14:paraId="6A68BA72" w14:textId="77777777" w:rsidR="00EE0417" w:rsidRPr="008254B6" w:rsidRDefault="00EE0417" w:rsidP="002523DE">
      <w:r w:rsidRPr="008254B6">
        <w:rPr>
          <w:i/>
        </w:rPr>
        <w:t>c)</w:t>
      </w:r>
      <w:r w:rsidRPr="008254B6">
        <w:tab/>
        <w:t>that Report ITU</w:t>
      </w:r>
      <w:r w:rsidRPr="008254B6">
        <w:noBreakHyphen/>
        <w:t>R M.2320 addresses future technology trends of terrestrial IMT systems;</w:t>
      </w:r>
    </w:p>
    <w:p w14:paraId="4EC5A37F" w14:textId="77777777" w:rsidR="00EE0417" w:rsidRPr="008254B6" w:rsidRDefault="00EE0417" w:rsidP="002523DE">
      <w:r w:rsidRPr="008254B6">
        <w:rPr>
          <w:i/>
        </w:rPr>
        <w:t>d)</w:t>
      </w:r>
      <w:r w:rsidRPr="008254B6">
        <w:tab/>
        <w:t>Report ITU</w:t>
      </w:r>
      <w:r w:rsidRPr="008254B6">
        <w:noBreakHyphen/>
        <w:t>R M.2376, on technical feasibility of IMT in the frequency bands above 6 GHz;</w:t>
      </w:r>
    </w:p>
    <w:p w14:paraId="0F1E1130" w14:textId="77777777" w:rsidR="00EE0417" w:rsidRPr="008254B6" w:rsidRDefault="00EE0417" w:rsidP="002523DE">
      <w:r w:rsidRPr="008254B6">
        <w:rPr>
          <w:i/>
        </w:rPr>
        <w:t>e)</w:t>
      </w:r>
      <w:r w:rsidRPr="008254B6">
        <w:tab/>
        <w:t>that Report ITU</w:t>
      </w:r>
      <w:r w:rsidRPr="008254B6">
        <w:noBreakHyphen/>
        <w:t>R M.2370 analyses trends impacting future IMT traffic growth beyond the year 2020 and estimates global traffic demands for the period 2020 to 2030,</w:t>
      </w:r>
    </w:p>
    <w:p w14:paraId="0F860DF2" w14:textId="77777777" w:rsidR="00EE0417" w:rsidRPr="008254B6" w:rsidRDefault="00EE0417" w:rsidP="004B3011">
      <w:pPr>
        <w:pStyle w:val="Call"/>
      </w:pPr>
      <w:r w:rsidRPr="008254B6">
        <w:t>recognizing</w:t>
      </w:r>
    </w:p>
    <w:p w14:paraId="24D1B689" w14:textId="77777777" w:rsidR="00EE0417" w:rsidRPr="008254B6" w:rsidRDefault="00EE0417" w:rsidP="002523DE">
      <w:r w:rsidRPr="008254B6">
        <w:rPr>
          <w:i/>
        </w:rPr>
        <w:t>a)</w:t>
      </w:r>
      <w:r w:rsidRPr="008254B6">
        <w:tab/>
        <w:t>that there is a lead time between the allocation of frequency bands by world radiocommunication conferences and the deployment of systems in those bands, and that timely availability of wide and contiguous blocks of spectrum is therefore important to support the development of IMT;</w:t>
      </w:r>
    </w:p>
    <w:p w14:paraId="1C547366" w14:textId="77777777" w:rsidR="00EE0417" w:rsidRPr="008254B6" w:rsidRDefault="00EE0417" w:rsidP="002523DE">
      <w:r w:rsidRPr="008254B6">
        <w:rPr>
          <w:i/>
        </w:rPr>
        <w:t>b)</w:t>
      </w:r>
      <w:r w:rsidRPr="008254B6">
        <w:tab/>
        <w:t>that frequency bands allocated to passive services on an exclusive basis are not suitable for an allocation to the mobile service;</w:t>
      </w:r>
    </w:p>
    <w:p w14:paraId="6EDBCA6C" w14:textId="77777777" w:rsidR="00EE0417" w:rsidRPr="008254B6" w:rsidRDefault="00EE0417" w:rsidP="002523DE">
      <w:r w:rsidRPr="008254B6">
        <w:rPr>
          <w:i/>
        </w:rPr>
        <w:t>c)</w:t>
      </w:r>
      <w:r w:rsidRPr="008254B6">
        <w:tab/>
        <w:t>that any identification of frequency bands for IMT should take into account the use of the bands by other services and the evolving needs of these services;</w:t>
      </w:r>
    </w:p>
    <w:p w14:paraId="00F17E2F" w14:textId="77777777" w:rsidR="00EE0417" w:rsidRPr="008254B6" w:rsidRDefault="00EE0417" w:rsidP="002523DE">
      <w:r w:rsidRPr="008254B6">
        <w:rPr>
          <w:i/>
        </w:rPr>
        <w:t>d)</w:t>
      </w:r>
      <w:r w:rsidRPr="008254B6">
        <w:tab/>
        <w:t>that there should be no additional regulatory or technical constraints imposed to services to which the band is currently allocated on a primary basis;</w:t>
      </w:r>
    </w:p>
    <w:p w14:paraId="4B8288BF" w14:textId="77777777" w:rsidR="00EE0417" w:rsidRPr="008254B6" w:rsidRDefault="00EE0417" w:rsidP="002523DE">
      <w:r w:rsidRPr="008254B6">
        <w:rPr>
          <w:i/>
        </w:rPr>
        <w:t>e)</w:t>
      </w:r>
      <w:r w:rsidRPr="008254B6">
        <w:tab/>
        <w:t>that bands allocated to the passive services adjacent to bands considered for IMT must be protected,</w:t>
      </w:r>
    </w:p>
    <w:p w14:paraId="69C4DFA7" w14:textId="77777777" w:rsidR="00EE0417" w:rsidRPr="008254B6" w:rsidRDefault="00EE0417" w:rsidP="00EE0417">
      <w:pPr>
        <w:pStyle w:val="Call"/>
        <w:rPr>
          <w:szCs w:val="24"/>
        </w:rPr>
      </w:pPr>
      <w:r w:rsidRPr="008254B6">
        <w:rPr>
          <w:szCs w:val="24"/>
        </w:rPr>
        <w:t>resolves to invite ITU</w:t>
      </w:r>
      <w:r w:rsidRPr="008254B6">
        <w:rPr>
          <w:szCs w:val="24"/>
        </w:rPr>
        <w:noBreakHyphen/>
        <w:t>R</w:t>
      </w:r>
    </w:p>
    <w:p w14:paraId="40C4EDEC" w14:textId="245630EB" w:rsidR="00EE0417" w:rsidRPr="008254B6" w:rsidRDefault="00EE0417" w:rsidP="0068281F">
      <w:r w:rsidRPr="008254B6">
        <w:t>1</w:t>
      </w:r>
      <w:r w:rsidRPr="008254B6">
        <w:tab/>
        <w:t>to conduct and complete in time for WRC</w:t>
      </w:r>
      <w:r w:rsidRPr="008254B6">
        <w:noBreakHyphen/>
        <w:t>23 the appropriate studies to determine the spectrum needs for the terrestrial component of IMT in the frequency range between 3 300 MHz and 15.35 GHz,</w:t>
      </w:r>
      <w:r w:rsidRPr="008254B6" w:rsidDel="00B84ECA">
        <w:t xml:space="preserve"> </w:t>
      </w:r>
      <w:r w:rsidRPr="008254B6">
        <w:t>taking into account:</w:t>
      </w:r>
    </w:p>
    <w:p w14:paraId="5DE851EC" w14:textId="77777777" w:rsidR="00EE0417" w:rsidRPr="008254B6" w:rsidRDefault="0068281F" w:rsidP="002523DE">
      <w:pPr>
        <w:pStyle w:val="enumlev1"/>
      </w:pPr>
      <w:r>
        <w:t>–</w:t>
      </w:r>
      <w:r>
        <w:tab/>
      </w:r>
      <w:r w:rsidR="00EE0417" w:rsidRPr="008254B6">
        <w:t>technical and operational characteristics of terrestrial IMT systems that would operate in this frequency range, including the evolution of IMT through advances in technology and spectrally efficient techniques;</w:t>
      </w:r>
    </w:p>
    <w:p w14:paraId="349BA6BF" w14:textId="77777777" w:rsidR="00EE0417" w:rsidRPr="008254B6" w:rsidRDefault="00EE0417" w:rsidP="002523DE">
      <w:pPr>
        <w:pStyle w:val="enumlev1"/>
      </w:pPr>
      <w:r w:rsidRPr="008254B6">
        <w:t>–</w:t>
      </w:r>
      <w:r w:rsidRPr="008254B6">
        <w:tab/>
        <w:t>the deployment scenarios envisaged for IMT-2020 systems and the related requirements of high data traffic such as in dense urban areas and/or in peak times;</w:t>
      </w:r>
    </w:p>
    <w:p w14:paraId="5258C953" w14:textId="77777777" w:rsidR="00EE0417" w:rsidRPr="008254B6" w:rsidRDefault="00EE0417" w:rsidP="002523DE">
      <w:pPr>
        <w:pStyle w:val="enumlev1"/>
        <w:rPr>
          <w:szCs w:val="24"/>
        </w:rPr>
      </w:pPr>
      <w:r w:rsidRPr="008254B6">
        <w:rPr>
          <w:szCs w:val="24"/>
        </w:rPr>
        <w:t>–</w:t>
      </w:r>
      <w:r w:rsidRPr="008254B6">
        <w:rPr>
          <w:szCs w:val="24"/>
        </w:rPr>
        <w:tab/>
        <w:t>the needs of developing countries;</w:t>
      </w:r>
    </w:p>
    <w:p w14:paraId="33304A1F" w14:textId="77777777" w:rsidR="00EE0417" w:rsidRPr="008254B6" w:rsidRDefault="00EE0417" w:rsidP="002523DE">
      <w:pPr>
        <w:pStyle w:val="enumlev1"/>
        <w:rPr>
          <w:szCs w:val="24"/>
        </w:rPr>
      </w:pPr>
      <w:r w:rsidRPr="008254B6">
        <w:rPr>
          <w:szCs w:val="24"/>
        </w:rPr>
        <w:t>–</w:t>
      </w:r>
      <w:r w:rsidRPr="008254B6">
        <w:rPr>
          <w:szCs w:val="24"/>
        </w:rPr>
        <w:tab/>
        <w:t>the time-frame in which spectrum would be needed;</w:t>
      </w:r>
    </w:p>
    <w:p w14:paraId="5E98605A" w14:textId="3E05AA78" w:rsidR="00EE0417" w:rsidRPr="008254B6" w:rsidRDefault="00EE0417" w:rsidP="0068281F">
      <w:r w:rsidRPr="008254B6">
        <w:t>2</w:t>
      </w:r>
      <w:r w:rsidRPr="008254B6">
        <w:tab/>
      </w:r>
      <w:r w:rsidR="00A6001E" w:rsidRPr="00A6001E">
        <w:t>to conduct and complete in time for WRC</w:t>
      </w:r>
      <w:r w:rsidR="00A6001E" w:rsidRPr="00A6001E">
        <w:noBreakHyphen/>
        <w:t>23 the appropriate sharing and compatibility studie</w:t>
      </w:r>
      <w:r w:rsidR="0055623F">
        <w:t>s in 3 300-3 400 MHz, 3 600-3 700 MHz, 3 700-3 800 MHz, 4 800-4 990 MHz, 10</w:t>
      </w:r>
      <w:r w:rsidR="00E51F34">
        <w:t> </w:t>
      </w:r>
      <w:r w:rsidR="0055623F">
        <w:t>000</w:t>
      </w:r>
      <w:r w:rsidR="00E51F34">
        <w:noBreakHyphen/>
      </w:r>
      <w:r w:rsidR="0055623F">
        <w:t>10</w:t>
      </w:r>
      <w:r w:rsidR="00E51F34">
        <w:t> </w:t>
      </w:r>
      <w:r w:rsidR="0055623F">
        <w:t>500 MHz and 14 800-</w:t>
      </w:r>
      <w:r w:rsidR="00A6001E" w:rsidRPr="00A6001E">
        <w:t>15 350 MH</w:t>
      </w:r>
      <w:r w:rsidR="0055623F" w:rsidRPr="00A6001E">
        <w:t>z</w:t>
      </w:r>
      <w:r w:rsidR="00A6001E" w:rsidRPr="00A6001E">
        <w:t xml:space="preserve"> frequency bands, or portions thereof, </w:t>
      </w:r>
    </w:p>
    <w:p w14:paraId="5A764F14" w14:textId="77777777" w:rsidR="00EE0417" w:rsidRPr="008254B6" w:rsidRDefault="00EE0417" w:rsidP="00EE0417">
      <w:pPr>
        <w:pStyle w:val="Call"/>
        <w:rPr>
          <w:szCs w:val="24"/>
        </w:rPr>
      </w:pPr>
      <w:r w:rsidRPr="008254B6">
        <w:rPr>
          <w:szCs w:val="24"/>
        </w:rPr>
        <w:t>further resolves</w:t>
      </w:r>
    </w:p>
    <w:p w14:paraId="07C4A13D" w14:textId="77777777" w:rsidR="00EE0417" w:rsidRPr="008254B6" w:rsidRDefault="00EE0417" w:rsidP="0068281F">
      <w:r w:rsidRPr="008254B6">
        <w:t>to invite WRC</w:t>
      </w:r>
      <w:r w:rsidRPr="008254B6">
        <w:noBreakHyphen/>
        <w:t xml:space="preserve">23 to consider, based on the results of the above studies, additional spectrum allocations to the mobile service on a primary basis and to consider identification of frequency bands for the terrestrial component of IMT; the bands to be considered being limited to part or all of the bands listed in </w:t>
      </w:r>
      <w:r w:rsidRPr="008254B6">
        <w:rPr>
          <w:i/>
          <w:iCs/>
        </w:rPr>
        <w:t>resolves to invite ITU</w:t>
      </w:r>
      <w:r w:rsidRPr="008254B6">
        <w:rPr>
          <w:i/>
          <w:iCs/>
        </w:rPr>
        <w:noBreakHyphen/>
        <w:t>R </w:t>
      </w:r>
      <w:r w:rsidRPr="004B3011">
        <w:t>2</w:t>
      </w:r>
      <w:r w:rsidRPr="008254B6">
        <w:t>,</w:t>
      </w:r>
    </w:p>
    <w:p w14:paraId="1D6A5503" w14:textId="77777777" w:rsidR="00EE0417" w:rsidRPr="008254B6" w:rsidRDefault="00EE0417" w:rsidP="00EE0417">
      <w:pPr>
        <w:pStyle w:val="Call"/>
        <w:rPr>
          <w:szCs w:val="24"/>
          <w:lang w:eastAsia="nl-NL"/>
        </w:rPr>
      </w:pPr>
      <w:r w:rsidRPr="008254B6">
        <w:rPr>
          <w:szCs w:val="24"/>
          <w:lang w:eastAsia="nl-NL"/>
        </w:rPr>
        <w:t>invites administrations</w:t>
      </w:r>
    </w:p>
    <w:p w14:paraId="134C223E" w14:textId="4CBEEB0A" w:rsidR="0068281F" w:rsidRDefault="00EE0417" w:rsidP="0068281F">
      <w:r w:rsidRPr="008254B6">
        <w:t>to participate actively in these studies by submitting contributions to ITU</w:t>
      </w:r>
      <w:r w:rsidRPr="008254B6">
        <w:noBreakHyphen/>
        <w:t>R.</w:t>
      </w:r>
    </w:p>
    <w:p w14:paraId="534BB0D4" w14:textId="77777777" w:rsidR="00691FED" w:rsidRDefault="00691FED" w:rsidP="00691FED">
      <w:pPr>
        <w:pStyle w:val="Reasons"/>
      </w:pPr>
      <w:bookmarkStart w:id="10" w:name="_GoBack"/>
      <w:bookmarkEnd w:id="10"/>
    </w:p>
    <w:p w14:paraId="3B3531B1" w14:textId="77777777" w:rsidR="007F29F3" w:rsidRPr="00B42248" w:rsidRDefault="007F29F3" w:rsidP="008B3F44">
      <w:pPr>
        <w:pStyle w:val="AnnexNo"/>
        <w:spacing w:before="0"/>
        <w:rPr>
          <w:lang w:eastAsia="ko-KR"/>
        </w:rPr>
      </w:pPr>
      <w:r w:rsidRPr="00B42248">
        <w:rPr>
          <w:rFonts w:eastAsia="MS Mincho"/>
          <w:lang w:eastAsia="ja-JP"/>
        </w:rPr>
        <w:t>ANNEX</w:t>
      </w:r>
    </w:p>
    <w:tbl>
      <w:tblPr>
        <w:tblW w:w="0" w:type="auto"/>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5216"/>
      </w:tblGrid>
      <w:tr w:rsidR="007F29F3" w:rsidRPr="00B42248" w14:paraId="2259C6B3" w14:textId="77777777" w:rsidTr="00A31857">
        <w:tc>
          <w:tcPr>
            <w:tcW w:w="9515" w:type="dxa"/>
            <w:gridSpan w:val="2"/>
            <w:tcBorders>
              <w:top w:val="nil"/>
              <w:bottom w:val="nil"/>
            </w:tcBorders>
          </w:tcPr>
          <w:p w14:paraId="02C03264" w14:textId="77777777" w:rsidR="007F29F3" w:rsidRPr="008B3F44" w:rsidRDefault="007F29F3" w:rsidP="00A31857">
            <w:pPr>
              <w:rPr>
                <w:b/>
                <w:szCs w:val="24"/>
                <w:lang w:eastAsia="ko-KR"/>
              </w:rPr>
            </w:pPr>
            <w:r w:rsidRPr="008B3F44">
              <w:rPr>
                <w:rFonts w:eastAsia="MS Gothic"/>
                <w:b/>
                <w:bCs/>
                <w:szCs w:val="24"/>
              </w:rPr>
              <w:t xml:space="preserve">Subject: </w:t>
            </w:r>
            <w:r w:rsidRPr="008B3F44">
              <w:rPr>
                <w:b/>
                <w:bCs/>
                <w:szCs w:val="24"/>
                <w:lang w:eastAsia="ko-KR"/>
              </w:rPr>
              <w:t xml:space="preserve">Proposal for WRC-23 Agenda Item </w:t>
            </w:r>
          </w:p>
        </w:tc>
      </w:tr>
      <w:tr w:rsidR="007F29F3" w:rsidRPr="00B42248" w14:paraId="52BC4280" w14:textId="77777777" w:rsidTr="00A31857">
        <w:tc>
          <w:tcPr>
            <w:tcW w:w="9515" w:type="dxa"/>
            <w:gridSpan w:val="2"/>
            <w:tcBorders>
              <w:top w:val="nil"/>
            </w:tcBorders>
          </w:tcPr>
          <w:p w14:paraId="6928867C" w14:textId="77777777" w:rsidR="007F29F3" w:rsidRPr="008B3F44" w:rsidRDefault="007F29F3" w:rsidP="00A31857">
            <w:pPr>
              <w:rPr>
                <w:b/>
                <w:bCs/>
                <w:szCs w:val="24"/>
                <w:lang w:eastAsia="ko-KR"/>
              </w:rPr>
            </w:pPr>
            <w:r w:rsidRPr="008B3F44">
              <w:rPr>
                <w:rFonts w:eastAsia="MS Gothic"/>
                <w:b/>
                <w:bCs/>
                <w:szCs w:val="24"/>
              </w:rPr>
              <w:t xml:space="preserve">Origin: The </w:t>
            </w:r>
            <w:r w:rsidRPr="008B3F44">
              <w:rPr>
                <w:b/>
                <w:szCs w:val="24"/>
              </w:rPr>
              <w:t>CITEL Member States</w:t>
            </w:r>
          </w:p>
        </w:tc>
      </w:tr>
      <w:tr w:rsidR="007F29F3" w:rsidRPr="00B362A3" w14:paraId="552969D2" w14:textId="77777777" w:rsidTr="00A31857">
        <w:tc>
          <w:tcPr>
            <w:tcW w:w="9515" w:type="dxa"/>
            <w:gridSpan w:val="2"/>
          </w:tcPr>
          <w:p w14:paraId="1B500138" w14:textId="77777777" w:rsidR="007F29F3" w:rsidRPr="008B3F44" w:rsidRDefault="007F29F3" w:rsidP="00A31857">
            <w:pPr>
              <w:jc w:val="both"/>
              <w:rPr>
                <w:rFonts w:eastAsia="MS Gothic"/>
                <w:b/>
                <w:bCs/>
                <w:szCs w:val="24"/>
                <w:lang w:eastAsia="ja-JP"/>
              </w:rPr>
            </w:pPr>
            <w:r w:rsidRPr="008B3F44">
              <w:rPr>
                <w:rFonts w:eastAsia="MS Gothic"/>
                <w:b/>
                <w:bCs/>
                <w:szCs w:val="24"/>
              </w:rPr>
              <w:t>Proposal:</w:t>
            </w:r>
          </w:p>
          <w:p w14:paraId="674B7737" w14:textId="592E4928" w:rsidR="007F29F3" w:rsidRPr="008B3F44" w:rsidRDefault="007F29F3" w:rsidP="008B3F44">
            <w:pPr>
              <w:spacing w:before="0"/>
              <w:jc w:val="both"/>
              <w:rPr>
                <w:szCs w:val="24"/>
                <w:lang w:eastAsia="ko-KR"/>
              </w:rPr>
            </w:pPr>
            <w:r w:rsidRPr="008B3F44">
              <w:rPr>
                <w:szCs w:val="24"/>
                <w:lang w:eastAsia="ko-KR"/>
              </w:rPr>
              <w:t xml:space="preserve">To consider identification to IMT in specific frequency bands in the range between 3 300 MHz and 15.35 GHz in accordance with Resolution </w:t>
            </w:r>
            <w:r w:rsidRPr="008B3F44">
              <w:rPr>
                <w:b/>
                <w:bCs/>
                <w:szCs w:val="24"/>
                <w:lang w:eastAsia="ko-KR"/>
              </w:rPr>
              <w:t>[</w:t>
            </w:r>
            <w:r w:rsidR="0055623F" w:rsidRPr="008B3F44">
              <w:rPr>
                <w:b/>
                <w:bCs/>
                <w:szCs w:val="24"/>
                <w:lang w:eastAsia="ko-KR"/>
              </w:rPr>
              <w:t>IAP/10(N)/</w:t>
            </w:r>
            <w:r w:rsidRPr="008B3F44">
              <w:rPr>
                <w:rStyle w:val="href"/>
                <w:rFonts w:eastAsia="SimSun"/>
                <w:b/>
                <w:bCs/>
                <w:szCs w:val="24"/>
              </w:rPr>
              <w:t>IMT-WRC-23]</w:t>
            </w:r>
            <w:r w:rsidRPr="008B3F44">
              <w:rPr>
                <w:szCs w:val="24"/>
                <w:lang w:eastAsia="ko-KR"/>
              </w:rPr>
              <w:t xml:space="preserve"> (WRC-23). </w:t>
            </w:r>
          </w:p>
        </w:tc>
      </w:tr>
      <w:tr w:rsidR="007F29F3" w:rsidRPr="00B42248" w14:paraId="2D85B06D" w14:textId="77777777" w:rsidTr="00A31857">
        <w:tc>
          <w:tcPr>
            <w:tcW w:w="9515" w:type="dxa"/>
            <w:gridSpan w:val="2"/>
          </w:tcPr>
          <w:p w14:paraId="30CD8C42" w14:textId="77777777" w:rsidR="007F29F3" w:rsidRPr="008B3F44" w:rsidRDefault="007F29F3" w:rsidP="00333FD9">
            <w:pPr>
              <w:rPr>
                <w:szCs w:val="24"/>
              </w:rPr>
            </w:pPr>
            <w:r w:rsidRPr="008B3F44">
              <w:rPr>
                <w:szCs w:val="24"/>
              </w:rPr>
              <w:t xml:space="preserve">WRC-19 will seek to identify </w:t>
            </w:r>
            <w:proofErr w:type="spellStart"/>
            <w:r w:rsidRPr="008B3F44">
              <w:rPr>
                <w:szCs w:val="24"/>
              </w:rPr>
              <w:t>mmWave</w:t>
            </w:r>
            <w:proofErr w:type="spellEnd"/>
            <w:r w:rsidRPr="008B3F44">
              <w:rPr>
                <w:szCs w:val="24"/>
              </w:rPr>
              <w:t xml:space="preserve"> spectrum for IMT to support high-performance, high-capacity 5G. In order to ensure 5G is available in all areas, lower frequencies in the range between the limitations of WRC-15 (upper limit 3.7 GHz) and WRC-19 (lower limit 24 GHz), should also be examined. This paper lays out bands which are supported by industry or by countries / regions.</w:t>
            </w:r>
          </w:p>
          <w:p w14:paraId="588A9A30" w14:textId="77777777" w:rsidR="007F29F3" w:rsidRPr="008B3F44" w:rsidRDefault="007F29F3" w:rsidP="00901BFE">
            <w:pPr>
              <w:rPr>
                <w:szCs w:val="24"/>
              </w:rPr>
            </w:pPr>
            <w:r w:rsidRPr="008B3F44">
              <w:rPr>
                <w:szCs w:val="24"/>
              </w:rPr>
              <w:t xml:space="preserve">Early 5G commercial adoption has demonstrated upcoming challenges for spectrum managers. 5G data usage has tripled, according to SK Telecom, in comparison with 4G. LG </w:t>
            </w:r>
            <w:proofErr w:type="spellStart"/>
            <w:r w:rsidRPr="008B3F44">
              <w:rPr>
                <w:szCs w:val="24"/>
              </w:rPr>
              <w:t>Uplus</w:t>
            </w:r>
            <w:proofErr w:type="spellEnd"/>
            <w:r w:rsidRPr="008B3F44">
              <w:rPr>
                <w:szCs w:val="24"/>
              </w:rPr>
              <w:t xml:space="preserve"> is seeing 1.3 gigabytes of data a day per subscriber in the early days of its 5G launch. While capacity issues are supported by sufficient access to </w:t>
            </w:r>
            <w:proofErr w:type="spellStart"/>
            <w:r w:rsidRPr="008B3F44">
              <w:rPr>
                <w:szCs w:val="24"/>
              </w:rPr>
              <w:t>mmWave</w:t>
            </w:r>
            <w:proofErr w:type="spellEnd"/>
            <w:r w:rsidRPr="008B3F44">
              <w:rPr>
                <w:szCs w:val="24"/>
              </w:rPr>
              <w:t xml:space="preserve"> bands, better propagation and indoor coverage will be required in tight unison with </w:t>
            </w:r>
            <w:proofErr w:type="spellStart"/>
            <w:r w:rsidRPr="008B3F44">
              <w:rPr>
                <w:szCs w:val="24"/>
              </w:rPr>
              <w:t>mmWave</w:t>
            </w:r>
            <w:proofErr w:type="spellEnd"/>
            <w:r w:rsidRPr="008B3F44">
              <w:rPr>
                <w:szCs w:val="24"/>
              </w:rPr>
              <w:t xml:space="preserve"> capacity. </w:t>
            </w:r>
          </w:p>
          <w:p w14:paraId="584A17F3" w14:textId="77777777" w:rsidR="007F29F3" w:rsidRPr="008B3F44" w:rsidRDefault="007F29F3" w:rsidP="00333FD9">
            <w:pPr>
              <w:rPr>
                <w:szCs w:val="24"/>
              </w:rPr>
            </w:pPr>
            <w:r w:rsidRPr="008B3F44">
              <w:rPr>
                <w:szCs w:val="24"/>
              </w:rPr>
              <w:t>In the 3 GHz band, 100 MHz of contiguous spectrum is required per operator for network deployments to fully benefit from the 5G technology. A similar amount of spectrum with similar propagation characteristics is likely to be required for high-performance capacity 5G enhancement in the future. In some countries spectrum in the same range is being set aside for other purposes such as verticals, which further reduces the amount available for 5G networks. 5G NR will create massive new connectivity between things, unified under one technology and all this will require mid-band spectrum.</w:t>
            </w:r>
          </w:p>
        </w:tc>
      </w:tr>
      <w:tr w:rsidR="007F29F3" w:rsidRPr="00B42248" w14:paraId="25AF2607" w14:textId="77777777" w:rsidTr="00A31857">
        <w:tc>
          <w:tcPr>
            <w:tcW w:w="9515" w:type="dxa"/>
            <w:gridSpan w:val="2"/>
          </w:tcPr>
          <w:p w14:paraId="7CCE15B1" w14:textId="3EE9DEF0" w:rsidR="007F29F3" w:rsidRPr="008B3F44" w:rsidRDefault="007F29F3" w:rsidP="00A31857">
            <w:pPr>
              <w:rPr>
                <w:rFonts w:eastAsia="MS Gothic"/>
                <w:b/>
                <w:bCs/>
                <w:i/>
                <w:iCs/>
                <w:szCs w:val="24"/>
                <w:lang w:eastAsia="ja-JP"/>
              </w:rPr>
            </w:pPr>
            <w:r w:rsidRPr="008B3F44">
              <w:rPr>
                <w:rFonts w:eastAsia="MS Gothic"/>
                <w:b/>
                <w:bCs/>
                <w:i/>
                <w:iCs/>
                <w:szCs w:val="24"/>
              </w:rPr>
              <w:t>Radio</w:t>
            </w:r>
            <w:r w:rsidRPr="008B3F44">
              <w:rPr>
                <w:rFonts w:eastAsia="MS Gothic"/>
                <w:b/>
                <w:bCs/>
                <w:i/>
                <w:iCs/>
                <w:szCs w:val="24"/>
                <w:lang w:eastAsia="ja-JP"/>
              </w:rPr>
              <w:t>communication</w:t>
            </w:r>
            <w:r w:rsidRPr="008B3F44">
              <w:rPr>
                <w:rFonts w:eastAsia="MS Gothic"/>
                <w:b/>
                <w:bCs/>
                <w:i/>
                <w:iCs/>
                <w:szCs w:val="24"/>
              </w:rPr>
              <w:t xml:space="preserve"> Services concerned:</w:t>
            </w:r>
          </w:p>
          <w:p w14:paraId="09232E2D" w14:textId="77777777" w:rsidR="007F29F3" w:rsidRPr="008B3F44" w:rsidRDefault="007F29F3" w:rsidP="008B3F44">
            <w:pPr>
              <w:spacing w:before="0"/>
              <w:rPr>
                <w:kern w:val="2"/>
                <w:szCs w:val="24"/>
                <w:lang w:eastAsia="ko-KR"/>
              </w:rPr>
            </w:pPr>
            <w:r w:rsidRPr="008B3F44">
              <w:rPr>
                <w:szCs w:val="24"/>
                <w:lang w:eastAsia="ko-KR"/>
              </w:rPr>
              <w:t>Fixed Service, Fixed Satellite Service and other services</w:t>
            </w:r>
          </w:p>
        </w:tc>
      </w:tr>
      <w:tr w:rsidR="007F29F3" w:rsidRPr="00B42248" w14:paraId="517755DB" w14:textId="77777777" w:rsidTr="00A31857">
        <w:tc>
          <w:tcPr>
            <w:tcW w:w="9515" w:type="dxa"/>
            <w:gridSpan w:val="2"/>
          </w:tcPr>
          <w:p w14:paraId="4B529E6D" w14:textId="77777777" w:rsidR="007F29F3" w:rsidRPr="008B3F44" w:rsidRDefault="007F29F3" w:rsidP="00A31857">
            <w:pPr>
              <w:rPr>
                <w:rFonts w:eastAsia="MS Gothic"/>
                <w:b/>
                <w:bCs/>
                <w:i/>
                <w:iCs/>
                <w:szCs w:val="24"/>
              </w:rPr>
            </w:pPr>
            <w:r w:rsidRPr="008B3F44">
              <w:rPr>
                <w:rFonts w:eastAsia="MS Gothic"/>
                <w:b/>
                <w:bCs/>
                <w:i/>
                <w:iCs/>
                <w:szCs w:val="24"/>
              </w:rPr>
              <w:t>Indication of possible difficulties:</w:t>
            </w:r>
          </w:p>
          <w:p w14:paraId="3B94AB2B" w14:textId="77777777" w:rsidR="007F29F3" w:rsidRPr="008B3F44" w:rsidRDefault="007F29F3" w:rsidP="008B3F44">
            <w:pPr>
              <w:spacing w:before="0"/>
              <w:rPr>
                <w:bCs/>
                <w:i/>
                <w:iCs/>
                <w:kern w:val="2"/>
                <w:szCs w:val="24"/>
                <w:lang w:eastAsia="ko-KR"/>
              </w:rPr>
            </w:pPr>
            <w:r w:rsidRPr="008B3F44">
              <w:rPr>
                <w:szCs w:val="24"/>
                <w:lang w:eastAsia="ko-KR"/>
              </w:rPr>
              <w:t>The proposed bands are used by other services.</w:t>
            </w:r>
            <w:r w:rsidRPr="008B3F44">
              <w:rPr>
                <w:bCs/>
                <w:i/>
                <w:iCs/>
                <w:szCs w:val="24"/>
                <w:lang w:eastAsia="ko-KR"/>
              </w:rPr>
              <w:t xml:space="preserve"> </w:t>
            </w:r>
          </w:p>
        </w:tc>
      </w:tr>
      <w:tr w:rsidR="007F29F3" w:rsidRPr="00B42248" w14:paraId="74F65824" w14:textId="77777777" w:rsidTr="00A31857">
        <w:tc>
          <w:tcPr>
            <w:tcW w:w="9515" w:type="dxa"/>
            <w:gridSpan w:val="2"/>
          </w:tcPr>
          <w:p w14:paraId="6A25861A" w14:textId="77777777" w:rsidR="007F29F3" w:rsidRPr="008B3F44" w:rsidRDefault="007F29F3" w:rsidP="00A31857">
            <w:pPr>
              <w:rPr>
                <w:rFonts w:eastAsia="MS Gothic"/>
                <w:szCs w:val="24"/>
                <w:lang w:eastAsia="ja-JP"/>
              </w:rPr>
            </w:pPr>
            <w:r w:rsidRPr="008B3F44">
              <w:rPr>
                <w:rFonts w:eastAsia="MS Gothic"/>
                <w:b/>
                <w:bCs/>
                <w:i/>
                <w:iCs/>
                <w:szCs w:val="24"/>
              </w:rPr>
              <w:t>Previous/ongoing studies on the issue:</w:t>
            </w:r>
            <w:r w:rsidRPr="008B3F44">
              <w:rPr>
                <w:rFonts w:eastAsia="MS Gothic"/>
                <w:szCs w:val="24"/>
              </w:rPr>
              <w:t xml:space="preserve">  </w:t>
            </w:r>
          </w:p>
          <w:p w14:paraId="3C968197" w14:textId="77777777" w:rsidR="007F29F3" w:rsidRPr="008B3F44" w:rsidRDefault="007F29F3" w:rsidP="008B3F44">
            <w:pPr>
              <w:spacing w:before="0"/>
              <w:rPr>
                <w:kern w:val="2"/>
                <w:szCs w:val="24"/>
                <w:lang w:eastAsia="ko-KR"/>
              </w:rPr>
            </w:pPr>
            <w:r w:rsidRPr="008B3F44">
              <w:rPr>
                <w:szCs w:val="24"/>
                <w:lang w:eastAsia="ko-KR"/>
              </w:rPr>
              <w:t>R</w:t>
            </w:r>
            <w:r w:rsidRPr="008B3F44">
              <w:rPr>
                <w:rFonts w:hint="eastAsia"/>
                <w:szCs w:val="24"/>
                <w:lang w:eastAsia="ko-KR"/>
              </w:rPr>
              <w:t>elated</w:t>
            </w:r>
            <w:r w:rsidRPr="008B3F44">
              <w:rPr>
                <w:szCs w:val="24"/>
                <w:lang w:eastAsia="ko-KR"/>
              </w:rPr>
              <w:t xml:space="preserve"> studies have been already </w:t>
            </w:r>
            <w:r w:rsidRPr="008B3F44">
              <w:rPr>
                <w:rFonts w:hint="eastAsia"/>
                <w:szCs w:val="24"/>
                <w:lang w:eastAsia="ko-KR"/>
              </w:rPr>
              <w:t>commenced</w:t>
            </w:r>
            <w:r w:rsidRPr="008B3F44">
              <w:rPr>
                <w:szCs w:val="24"/>
                <w:lang w:eastAsia="ko-KR"/>
              </w:rPr>
              <w:t xml:space="preserve"> and are now ongoing in the ITU-R WP 5D.</w:t>
            </w:r>
          </w:p>
        </w:tc>
      </w:tr>
      <w:tr w:rsidR="007F29F3" w:rsidRPr="00B42248" w14:paraId="0D336E3C" w14:textId="77777777" w:rsidTr="00A31857">
        <w:tc>
          <w:tcPr>
            <w:tcW w:w="4299" w:type="dxa"/>
          </w:tcPr>
          <w:p w14:paraId="29A05890" w14:textId="77777777" w:rsidR="007F29F3" w:rsidRPr="008B3F44" w:rsidRDefault="007F29F3" w:rsidP="00A31857">
            <w:pPr>
              <w:rPr>
                <w:rFonts w:eastAsia="MS Gothic"/>
                <w:b/>
                <w:bCs/>
                <w:i/>
                <w:iCs/>
                <w:szCs w:val="24"/>
                <w:lang w:eastAsia="ja-JP"/>
              </w:rPr>
            </w:pPr>
            <w:r w:rsidRPr="008B3F44">
              <w:rPr>
                <w:rFonts w:eastAsia="MS Gothic"/>
                <w:b/>
                <w:bCs/>
                <w:i/>
                <w:iCs/>
                <w:szCs w:val="24"/>
              </w:rPr>
              <w:t>Studies to be carried out by:</w:t>
            </w:r>
          </w:p>
          <w:p w14:paraId="07724CFB" w14:textId="77777777" w:rsidR="007F29F3" w:rsidRPr="008B3F44" w:rsidRDefault="007F29F3" w:rsidP="008B3F44">
            <w:pPr>
              <w:spacing w:before="0"/>
              <w:rPr>
                <w:bCs/>
                <w:iCs/>
                <w:kern w:val="2"/>
                <w:szCs w:val="24"/>
                <w:lang w:eastAsia="ko-KR"/>
              </w:rPr>
            </w:pPr>
            <w:r w:rsidRPr="008B3F44">
              <w:rPr>
                <w:bCs/>
                <w:iCs/>
                <w:szCs w:val="24"/>
                <w:lang w:eastAsia="ko-KR"/>
              </w:rPr>
              <w:t>ITU-R WP 5D</w:t>
            </w:r>
          </w:p>
        </w:tc>
        <w:tc>
          <w:tcPr>
            <w:tcW w:w="5216" w:type="dxa"/>
          </w:tcPr>
          <w:p w14:paraId="46FFE34B" w14:textId="77777777" w:rsidR="007F29F3" w:rsidRPr="008B3F44" w:rsidRDefault="007F29F3" w:rsidP="00A31857">
            <w:pPr>
              <w:rPr>
                <w:rFonts w:eastAsia="MS Gothic"/>
                <w:b/>
                <w:bCs/>
                <w:i/>
                <w:iCs/>
                <w:kern w:val="2"/>
                <w:szCs w:val="24"/>
                <w:lang w:eastAsia="ja-JP"/>
              </w:rPr>
            </w:pPr>
            <w:r w:rsidRPr="008B3F44">
              <w:rPr>
                <w:rFonts w:eastAsia="MS Gothic"/>
                <w:b/>
                <w:bCs/>
                <w:i/>
                <w:iCs/>
                <w:szCs w:val="24"/>
              </w:rPr>
              <w:t>with participation of:</w:t>
            </w:r>
            <w:r w:rsidRPr="008B3F44">
              <w:rPr>
                <w:rFonts w:eastAsia="MS Gothic"/>
                <w:b/>
                <w:bCs/>
                <w:i/>
                <w:iCs/>
                <w:szCs w:val="24"/>
                <w:lang w:eastAsia="ja-JP"/>
              </w:rPr>
              <w:t xml:space="preserve"> </w:t>
            </w:r>
          </w:p>
          <w:p w14:paraId="61BF913B" w14:textId="77777777" w:rsidR="007F29F3" w:rsidRPr="008B3F44" w:rsidRDefault="007F29F3" w:rsidP="00A31857">
            <w:pPr>
              <w:rPr>
                <w:rFonts w:eastAsia="MS Gothic"/>
                <w:kern w:val="2"/>
                <w:szCs w:val="24"/>
                <w:lang w:eastAsia="ja-JP"/>
              </w:rPr>
            </w:pPr>
            <w:r w:rsidRPr="008B3F44">
              <w:rPr>
                <w:rFonts w:eastAsia="MS Gothic"/>
                <w:szCs w:val="24"/>
                <w:lang w:eastAsia="ja-JP"/>
              </w:rPr>
              <w:t>Administrations</w:t>
            </w:r>
            <w:r w:rsidRPr="008B3F44">
              <w:rPr>
                <w:szCs w:val="24"/>
                <w:lang w:eastAsia="ko-KR"/>
              </w:rPr>
              <w:t xml:space="preserve"> and Sector members of the ITU-R</w:t>
            </w:r>
          </w:p>
        </w:tc>
      </w:tr>
      <w:tr w:rsidR="007F29F3" w:rsidRPr="00B42248" w14:paraId="74057E27" w14:textId="77777777" w:rsidTr="00A31857">
        <w:tc>
          <w:tcPr>
            <w:tcW w:w="9515" w:type="dxa"/>
            <w:gridSpan w:val="2"/>
          </w:tcPr>
          <w:p w14:paraId="0918B98F" w14:textId="77777777" w:rsidR="007F29F3" w:rsidRPr="008B3F44" w:rsidRDefault="007F29F3" w:rsidP="00A31857">
            <w:pPr>
              <w:rPr>
                <w:rFonts w:eastAsia="MS Gothic"/>
                <w:b/>
                <w:bCs/>
                <w:i/>
                <w:iCs/>
                <w:szCs w:val="24"/>
                <w:lang w:eastAsia="ja-JP"/>
              </w:rPr>
            </w:pPr>
            <w:r w:rsidRPr="008B3F44">
              <w:rPr>
                <w:rFonts w:eastAsia="MS Gothic"/>
                <w:b/>
                <w:bCs/>
                <w:i/>
                <w:iCs/>
                <w:szCs w:val="24"/>
              </w:rPr>
              <w:t>ITU-R Study Groups concerned:</w:t>
            </w:r>
            <w:r w:rsidRPr="008B3F44">
              <w:rPr>
                <w:rFonts w:eastAsia="MS Gothic"/>
                <w:b/>
                <w:bCs/>
                <w:i/>
                <w:iCs/>
                <w:szCs w:val="24"/>
                <w:lang w:eastAsia="ja-JP"/>
              </w:rPr>
              <w:t xml:space="preserve"> </w:t>
            </w:r>
          </w:p>
          <w:p w14:paraId="14935A8D" w14:textId="77777777" w:rsidR="007F29F3" w:rsidRPr="008B3F44" w:rsidRDefault="007F29F3" w:rsidP="008B3F44">
            <w:pPr>
              <w:spacing w:before="0"/>
              <w:rPr>
                <w:rFonts w:eastAsia="Malgun Gothic"/>
                <w:kern w:val="2"/>
                <w:szCs w:val="24"/>
                <w:lang w:eastAsia="ko-KR"/>
              </w:rPr>
            </w:pPr>
            <w:r w:rsidRPr="008B3F44">
              <w:rPr>
                <w:rFonts w:eastAsia="MS Gothic"/>
                <w:bCs/>
                <w:iCs/>
                <w:szCs w:val="24"/>
                <w:lang w:eastAsia="ja-JP"/>
              </w:rPr>
              <w:t>SG5 and other groups</w:t>
            </w:r>
          </w:p>
        </w:tc>
      </w:tr>
      <w:tr w:rsidR="007F29F3" w:rsidRPr="00B42248" w14:paraId="5D11FDFB" w14:textId="77777777" w:rsidTr="00A31857">
        <w:trPr>
          <w:trHeight w:val="1087"/>
        </w:trPr>
        <w:tc>
          <w:tcPr>
            <w:tcW w:w="9515" w:type="dxa"/>
            <w:gridSpan w:val="2"/>
          </w:tcPr>
          <w:p w14:paraId="11C5A172" w14:textId="77777777" w:rsidR="007F29F3" w:rsidRPr="008B3F44" w:rsidRDefault="007F29F3" w:rsidP="00A31857">
            <w:pPr>
              <w:rPr>
                <w:rFonts w:eastAsia="MS Gothic"/>
                <w:szCs w:val="24"/>
                <w:lang w:eastAsia="ja-JP"/>
              </w:rPr>
            </w:pPr>
            <w:r w:rsidRPr="008B3F44">
              <w:rPr>
                <w:rFonts w:eastAsia="MS Gothic"/>
                <w:b/>
                <w:bCs/>
                <w:i/>
                <w:iCs/>
                <w:szCs w:val="24"/>
              </w:rPr>
              <w:t xml:space="preserve">ITU </w:t>
            </w:r>
            <w:r w:rsidRPr="008B3F44">
              <w:rPr>
                <w:rFonts w:eastAsia="MS Gothic"/>
                <w:b/>
                <w:bCs/>
                <w:i/>
                <w:iCs/>
                <w:szCs w:val="24"/>
                <w:lang w:eastAsia="ja-JP"/>
              </w:rPr>
              <w:t>r</w:t>
            </w:r>
            <w:r w:rsidRPr="008B3F44">
              <w:rPr>
                <w:rFonts w:eastAsia="MS Gothic"/>
                <w:b/>
                <w:bCs/>
                <w:i/>
                <w:iCs/>
                <w:szCs w:val="24"/>
              </w:rPr>
              <w:t xml:space="preserve">esource </w:t>
            </w:r>
            <w:r w:rsidRPr="008B3F44">
              <w:rPr>
                <w:rFonts w:eastAsia="MS Gothic"/>
                <w:b/>
                <w:bCs/>
                <w:i/>
                <w:iCs/>
                <w:szCs w:val="24"/>
                <w:lang w:eastAsia="ja-JP"/>
              </w:rPr>
              <w:t>i</w:t>
            </w:r>
            <w:r w:rsidRPr="008B3F44">
              <w:rPr>
                <w:rFonts w:eastAsia="MS Gothic"/>
                <w:b/>
                <w:bCs/>
                <w:i/>
                <w:iCs/>
                <w:szCs w:val="24"/>
              </w:rPr>
              <w:t>mplications</w:t>
            </w:r>
            <w:r w:rsidRPr="008B3F44">
              <w:rPr>
                <w:rFonts w:eastAsia="MS Gothic"/>
                <w:b/>
                <w:bCs/>
                <w:i/>
                <w:iCs/>
                <w:szCs w:val="24"/>
                <w:lang w:eastAsia="ja-JP"/>
              </w:rPr>
              <w:t>,</w:t>
            </w:r>
            <w:r w:rsidRPr="008B3F44">
              <w:rPr>
                <w:rFonts w:eastAsia="MS Gothic"/>
                <w:b/>
                <w:bCs/>
                <w:i/>
                <w:iCs/>
                <w:szCs w:val="24"/>
              </w:rPr>
              <w:t xml:space="preserve"> including financial i</w:t>
            </w:r>
            <w:r w:rsidRPr="008B3F44">
              <w:rPr>
                <w:rFonts w:eastAsia="MS Gothic"/>
                <w:b/>
                <w:bCs/>
                <w:i/>
                <w:iCs/>
                <w:szCs w:val="24"/>
                <w:lang w:eastAsia="ja-JP"/>
              </w:rPr>
              <w:t>mpli</w:t>
            </w:r>
            <w:r w:rsidRPr="008B3F44">
              <w:rPr>
                <w:rFonts w:eastAsia="MS Gothic"/>
                <w:b/>
                <w:bCs/>
                <w:i/>
                <w:iCs/>
                <w:szCs w:val="24"/>
              </w:rPr>
              <w:t>cations (refer to CV 126)</w:t>
            </w:r>
            <w:r w:rsidRPr="008B3F44">
              <w:rPr>
                <w:rFonts w:eastAsia="MS Gothic"/>
                <w:b/>
                <w:bCs/>
                <w:i/>
                <w:iCs/>
                <w:szCs w:val="24"/>
                <w:lang w:eastAsia="ja-JP"/>
              </w:rPr>
              <w:t>:</w:t>
            </w:r>
          </w:p>
          <w:p w14:paraId="65CF4EE1" w14:textId="4F12E862" w:rsidR="007F29F3" w:rsidRPr="008B3F44" w:rsidRDefault="007F29F3" w:rsidP="008B3F44">
            <w:pPr>
              <w:spacing w:before="0"/>
              <w:rPr>
                <w:rFonts w:eastAsia="MS Gothic"/>
                <w:kern w:val="2"/>
                <w:szCs w:val="24"/>
                <w:lang w:eastAsia="ja-JP"/>
              </w:rPr>
            </w:pPr>
            <w:r w:rsidRPr="008B3F44">
              <w:rPr>
                <w:szCs w:val="24"/>
                <w:lang w:eastAsia="ko-KR"/>
              </w:rPr>
              <w:t>This proposed agenda item will be studied within the normal ITU-R procedures and planned budget.</w:t>
            </w:r>
            <w:r w:rsidR="002523DE" w:rsidRPr="008B3F44">
              <w:rPr>
                <w:szCs w:val="24"/>
                <w:lang w:eastAsia="ko-KR"/>
              </w:rPr>
              <w:t xml:space="preserve"> </w:t>
            </w:r>
            <w:r w:rsidRPr="008B3F44">
              <w:rPr>
                <w:szCs w:val="24"/>
                <w:lang w:eastAsia="ko-KR"/>
              </w:rPr>
              <w:t xml:space="preserve">As the responsible group on IMT studies, </w:t>
            </w:r>
            <w:r w:rsidRPr="008B3F44">
              <w:rPr>
                <w:rFonts w:eastAsia="MS Gothic"/>
                <w:szCs w:val="24"/>
                <w:lang w:eastAsia="ja-JP"/>
              </w:rPr>
              <w:t>ITU-R WP 5</w:t>
            </w:r>
            <w:r w:rsidRPr="008B3F44">
              <w:rPr>
                <w:rFonts w:eastAsia="Malgun Gothic"/>
                <w:szCs w:val="24"/>
                <w:lang w:eastAsia="ko-KR"/>
              </w:rPr>
              <w:t>D</w:t>
            </w:r>
            <w:r w:rsidRPr="008B3F44">
              <w:rPr>
                <w:rFonts w:eastAsia="MS Gothic"/>
                <w:szCs w:val="24"/>
                <w:lang w:eastAsia="ja-JP"/>
              </w:rPr>
              <w:t xml:space="preserve"> usually have meetings </w:t>
            </w:r>
            <w:r w:rsidRPr="008B3F44">
              <w:rPr>
                <w:rFonts w:eastAsia="Malgun Gothic"/>
                <w:szCs w:val="24"/>
                <w:lang w:eastAsia="ko-KR"/>
              </w:rPr>
              <w:t>three times</w:t>
            </w:r>
            <w:r w:rsidRPr="008B3F44">
              <w:rPr>
                <w:rFonts w:eastAsia="MS Gothic"/>
                <w:szCs w:val="24"/>
                <w:lang w:eastAsia="ja-JP"/>
              </w:rPr>
              <w:t xml:space="preserve"> a year which last </w:t>
            </w:r>
            <w:r w:rsidRPr="008B3F44">
              <w:rPr>
                <w:rFonts w:eastAsia="Malgun Gothic"/>
                <w:szCs w:val="24"/>
                <w:lang w:eastAsia="ko-KR"/>
              </w:rPr>
              <w:t xml:space="preserve">6 </w:t>
            </w:r>
            <w:r w:rsidRPr="008B3F44">
              <w:rPr>
                <w:rFonts w:eastAsia="MS Gothic"/>
                <w:szCs w:val="24"/>
                <w:lang w:eastAsia="ja-JP"/>
              </w:rPr>
              <w:t>days each.</w:t>
            </w:r>
          </w:p>
        </w:tc>
      </w:tr>
      <w:tr w:rsidR="007F29F3" w:rsidRPr="00B42248" w14:paraId="37082E0C" w14:textId="77777777" w:rsidTr="00A31857">
        <w:trPr>
          <w:trHeight w:val="612"/>
        </w:trPr>
        <w:tc>
          <w:tcPr>
            <w:tcW w:w="4299" w:type="dxa"/>
          </w:tcPr>
          <w:p w14:paraId="164963C6" w14:textId="77777777" w:rsidR="007F29F3" w:rsidRPr="008B3F44" w:rsidRDefault="007F29F3" w:rsidP="00A31857">
            <w:pPr>
              <w:rPr>
                <w:rFonts w:eastAsia="MS Gothic"/>
                <w:b/>
                <w:bCs/>
                <w:i/>
                <w:iCs/>
                <w:szCs w:val="24"/>
                <w:lang w:eastAsia="ja-JP"/>
              </w:rPr>
            </w:pPr>
            <w:r w:rsidRPr="008B3F44">
              <w:rPr>
                <w:rFonts w:eastAsia="MS Gothic"/>
                <w:b/>
                <w:bCs/>
                <w:i/>
                <w:iCs/>
                <w:szCs w:val="24"/>
              </w:rPr>
              <w:t xml:space="preserve">Common </w:t>
            </w:r>
            <w:r w:rsidRPr="008B3F44">
              <w:rPr>
                <w:rFonts w:eastAsia="MS Gothic"/>
                <w:b/>
                <w:bCs/>
                <w:i/>
                <w:iCs/>
                <w:szCs w:val="24"/>
                <w:lang w:eastAsia="ja-JP"/>
              </w:rPr>
              <w:t>regional p</w:t>
            </w:r>
            <w:r w:rsidRPr="008B3F44">
              <w:rPr>
                <w:rFonts w:eastAsia="MS Gothic"/>
                <w:b/>
                <w:bCs/>
                <w:i/>
                <w:iCs/>
                <w:szCs w:val="24"/>
              </w:rPr>
              <w:t>roposal:</w:t>
            </w:r>
            <w:r w:rsidRPr="008B3F44">
              <w:rPr>
                <w:rFonts w:eastAsia="MS Gothic"/>
                <w:b/>
                <w:bCs/>
                <w:i/>
                <w:iCs/>
                <w:szCs w:val="24"/>
                <w:lang w:eastAsia="ja-JP"/>
              </w:rPr>
              <w:t xml:space="preserve"> </w:t>
            </w:r>
          </w:p>
          <w:p w14:paraId="18855163" w14:textId="77777777" w:rsidR="007F29F3" w:rsidRPr="008B3F44" w:rsidRDefault="007F29F3" w:rsidP="008B3F44">
            <w:pPr>
              <w:spacing w:before="0"/>
              <w:rPr>
                <w:kern w:val="2"/>
                <w:szCs w:val="24"/>
                <w:lang w:eastAsia="ko-KR"/>
              </w:rPr>
            </w:pPr>
            <w:r w:rsidRPr="008B3F44">
              <w:rPr>
                <w:rFonts w:eastAsia="MS Gothic"/>
                <w:bCs/>
                <w:iCs/>
                <w:szCs w:val="24"/>
                <w:lang w:eastAsia="ja-JP"/>
              </w:rPr>
              <w:t>Yes</w:t>
            </w:r>
            <w:r w:rsidRPr="008B3F44">
              <w:rPr>
                <w:bCs/>
                <w:iCs/>
                <w:szCs w:val="24"/>
                <w:lang w:eastAsia="ko-KR"/>
              </w:rPr>
              <w:t>/No</w:t>
            </w:r>
          </w:p>
        </w:tc>
        <w:tc>
          <w:tcPr>
            <w:tcW w:w="5216" w:type="dxa"/>
          </w:tcPr>
          <w:p w14:paraId="4D900E1E" w14:textId="77777777" w:rsidR="007F29F3" w:rsidRPr="008B3F44" w:rsidRDefault="007F29F3" w:rsidP="00A31857">
            <w:pPr>
              <w:rPr>
                <w:kern w:val="2"/>
                <w:szCs w:val="24"/>
                <w:lang w:eastAsia="ko-KR"/>
              </w:rPr>
            </w:pPr>
            <w:proofErr w:type="spellStart"/>
            <w:r w:rsidRPr="008B3F44">
              <w:rPr>
                <w:rFonts w:eastAsia="MS Gothic"/>
                <w:b/>
                <w:bCs/>
                <w:i/>
                <w:iCs/>
                <w:szCs w:val="24"/>
              </w:rPr>
              <w:t>Multicountry</w:t>
            </w:r>
            <w:proofErr w:type="spellEnd"/>
            <w:r w:rsidRPr="008B3F44">
              <w:rPr>
                <w:rFonts w:eastAsia="MS Gothic"/>
                <w:b/>
                <w:bCs/>
                <w:i/>
                <w:iCs/>
                <w:szCs w:val="24"/>
              </w:rPr>
              <w:t xml:space="preserve"> Proposal:</w:t>
            </w:r>
            <w:r w:rsidRPr="008B3F44">
              <w:rPr>
                <w:rFonts w:eastAsia="MS Gothic"/>
                <w:bCs/>
                <w:i/>
                <w:iCs/>
                <w:szCs w:val="24"/>
                <w:lang w:eastAsia="ja-JP"/>
              </w:rPr>
              <w:t xml:space="preserve"> </w:t>
            </w:r>
            <w:r w:rsidRPr="008B3F44">
              <w:rPr>
                <w:bCs/>
                <w:iCs/>
                <w:szCs w:val="24"/>
                <w:lang w:eastAsia="ko-KR"/>
              </w:rPr>
              <w:t>Yes/No</w:t>
            </w:r>
          </w:p>
          <w:p w14:paraId="2A7A75DB" w14:textId="77777777" w:rsidR="007F29F3" w:rsidRPr="008B3F44" w:rsidRDefault="007F29F3" w:rsidP="00A31857">
            <w:pPr>
              <w:rPr>
                <w:rFonts w:eastAsia="Malgun Gothic"/>
                <w:kern w:val="2"/>
                <w:szCs w:val="24"/>
                <w:lang w:eastAsia="ko-KR"/>
              </w:rPr>
            </w:pPr>
            <w:r w:rsidRPr="008B3F44">
              <w:rPr>
                <w:rFonts w:eastAsia="MS Gothic"/>
                <w:b/>
                <w:bCs/>
                <w:i/>
                <w:iCs/>
                <w:szCs w:val="24"/>
                <w:lang w:eastAsia="ja-JP"/>
              </w:rPr>
              <w:t>Number of countries</w:t>
            </w:r>
            <w:r w:rsidRPr="008B3F44">
              <w:rPr>
                <w:rFonts w:eastAsia="MS Gothic"/>
                <w:b/>
                <w:bCs/>
                <w:i/>
                <w:iCs/>
                <w:szCs w:val="24"/>
              </w:rPr>
              <w:t>:</w:t>
            </w:r>
            <w:r w:rsidRPr="008B3F44">
              <w:rPr>
                <w:rFonts w:eastAsia="Malgun Gothic"/>
                <w:b/>
                <w:bCs/>
                <w:i/>
                <w:iCs/>
                <w:szCs w:val="24"/>
                <w:lang w:eastAsia="ko-KR"/>
              </w:rPr>
              <w:t xml:space="preserve"> </w:t>
            </w:r>
          </w:p>
        </w:tc>
      </w:tr>
      <w:tr w:rsidR="007F29F3" w:rsidRPr="00B42248" w14:paraId="74A6AE0D" w14:textId="77777777" w:rsidTr="0068281F">
        <w:trPr>
          <w:trHeight w:val="512"/>
        </w:trPr>
        <w:tc>
          <w:tcPr>
            <w:tcW w:w="9515" w:type="dxa"/>
            <w:gridSpan w:val="2"/>
          </w:tcPr>
          <w:p w14:paraId="2C2DD08E" w14:textId="71B95B90" w:rsidR="005F7A6B" w:rsidRPr="008B3F44" w:rsidRDefault="007F29F3" w:rsidP="00333FD9">
            <w:pPr>
              <w:tabs>
                <w:tab w:val="clear" w:pos="1134"/>
                <w:tab w:val="clear" w:pos="1871"/>
                <w:tab w:val="clear" w:pos="2268"/>
              </w:tabs>
              <w:rPr>
                <w:rFonts w:eastAsia="MS Gothic"/>
                <w:b/>
                <w:bCs/>
                <w:i/>
                <w:iCs/>
                <w:szCs w:val="24"/>
              </w:rPr>
            </w:pPr>
            <w:r w:rsidRPr="008B3F44">
              <w:rPr>
                <w:rFonts w:eastAsia="MS Gothic"/>
                <w:b/>
                <w:bCs/>
                <w:i/>
                <w:iCs/>
                <w:szCs w:val="24"/>
              </w:rPr>
              <w:t>Remarks</w:t>
            </w:r>
          </w:p>
        </w:tc>
      </w:tr>
    </w:tbl>
    <w:p w14:paraId="39701A17" w14:textId="7D2AEFD9" w:rsidR="00752735" w:rsidRDefault="0068281F" w:rsidP="004B3011">
      <w:pPr>
        <w:spacing w:before="0"/>
        <w:jc w:val="center"/>
      </w:pPr>
      <w:r>
        <w:t>______________</w:t>
      </w:r>
    </w:p>
    <w:sectPr w:rsidR="00752735" w:rsidSect="00F2237A">
      <w:headerReference w:type="default" r:id="rId13"/>
      <w:footerReference w:type="even" r:id="rId14"/>
      <w:footerReference w:type="default" r:id="rId15"/>
      <w:footerReference w:type="first" r:id="rId16"/>
      <w:type w:val="continuous"/>
      <w:pgSz w:w="11907" w:h="16840" w:code="9"/>
      <w:pgMar w:top="1418" w:right="1134" w:bottom="1418" w:left="1134" w:header="720" w:footer="720" w:gutter="0"/>
      <w:paperSrc w:first="1519" w:other="151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AC810" w14:textId="77777777" w:rsidR="00582F14" w:rsidRDefault="00582F14">
      <w:r>
        <w:separator/>
      </w:r>
    </w:p>
  </w:endnote>
  <w:endnote w:type="continuationSeparator" w:id="0">
    <w:p w14:paraId="53CA78CA" w14:textId="77777777" w:rsidR="00582F14" w:rsidRDefault="0058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1703D" w14:textId="77777777" w:rsidR="00E45D05" w:rsidRDefault="00E45D05">
    <w:pPr>
      <w:framePr w:wrap="around" w:vAnchor="text" w:hAnchor="margin" w:xAlign="right" w:y="1"/>
    </w:pPr>
    <w:r>
      <w:fldChar w:fldCharType="begin"/>
    </w:r>
    <w:r>
      <w:instrText xml:space="preserve">PAGE  </w:instrText>
    </w:r>
    <w:r>
      <w:fldChar w:fldCharType="end"/>
    </w:r>
  </w:p>
  <w:p w14:paraId="388BCE4B" w14:textId="40CC6AD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2578C">
      <w:rPr>
        <w:noProof/>
        <w:lang w:val="en-US"/>
      </w:rPr>
      <w:t>P:\ENG\ITU-R\CONF-R\CMR19\000\011ADD24ADD14E.docx</w:t>
    </w:r>
    <w:r>
      <w:fldChar w:fldCharType="end"/>
    </w:r>
    <w:r w:rsidRPr="0041348E">
      <w:rPr>
        <w:lang w:val="en-US"/>
      </w:rPr>
      <w:tab/>
    </w:r>
    <w:r>
      <w:fldChar w:fldCharType="begin"/>
    </w:r>
    <w:r>
      <w:instrText xml:space="preserve"> SAVEDATE \@ DD.MM.YY </w:instrText>
    </w:r>
    <w:r>
      <w:fldChar w:fldCharType="separate"/>
    </w:r>
    <w:r w:rsidR="00691FED">
      <w:rPr>
        <w:noProof/>
      </w:rPr>
      <w:t>07.11.19</w:t>
    </w:r>
    <w:r>
      <w:fldChar w:fldCharType="end"/>
    </w:r>
    <w:r w:rsidRPr="0041348E">
      <w:rPr>
        <w:lang w:val="en-US"/>
      </w:rPr>
      <w:tab/>
    </w:r>
    <w:r>
      <w:fldChar w:fldCharType="begin"/>
    </w:r>
    <w:r>
      <w:instrText xml:space="preserve"> PRINTDATE \@ DD.MM.YY </w:instrText>
    </w:r>
    <w:r>
      <w:fldChar w:fldCharType="separate"/>
    </w:r>
    <w:r w:rsidR="0012578C">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317D" w14:textId="65A77142" w:rsidR="00E45D05" w:rsidRDefault="00E45D05" w:rsidP="00F2237A">
    <w:pPr>
      <w:pStyle w:val="Footer"/>
      <w:tabs>
        <w:tab w:val="clear" w:pos="9639"/>
        <w:tab w:val="left" w:pos="8295"/>
      </w:tabs>
    </w:pPr>
    <w:r>
      <w:fldChar w:fldCharType="begin"/>
    </w:r>
    <w:r w:rsidRPr="0041348E">
      <w:rPr>
        <w:lang w:val="en-US"/>
      </w:rPr>
      <w:instrText xml:space="preserve"> FILENAME \p  \* MERGEFORMAT </w:instrText>
    </w:r>
    <w:r>
      <w:fldChar w:fldCharType="separate"/>
    </w:r>
    <w:r w:rsidR="00E15C8C">
      <w:rPr>
        <w:lang w:val="en-US"/>
      </w:rPr>
      <w:t>P:\ENG\ITU-R\CONF-R\CMR19\000\011ADD24ADD14REV1E.docx</w:t>
    </w:r>
    <w:r>
      <w:fldChar w:fldCharType="end"/>
    </w:r>
    <w:r w:rsidR="002523DE">
      <w:t xml:space="preserve"> (46</w:t>
    </w:r>
    <w:r w:rsidR="00E15C8C">
      <w:t>3914</w:t>
    </w:r>
    <w:r w:rsidR="002523DE">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30EB4" w14:textId="3B1D074E"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E15C8C">
      <w:rPr>
        <w:lang w:val="en-US"/>
      </w:rPr>
      <w:t>P:\ENG\ITU-R\CONF-R\CMR19\000\011ADD24ADD14REV1E.docx</w:t>
    </w:r>
    <w:r>
      <w:fldChar w:fldCharType="end"/>
    </w:r>
    <w:r w:rsidR="002523DE">
      <w:t xml:space="preserve"> (46</w:t>
    </w:r>
    <w:r w:rsidR="00E15C8C">
      <w:t>3914</w:t>
    </w:r>
    <w:r w:rsidR="002523D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EFC4E" w14:textId="77777777" w:rsidR="00582F14" w:rsidRDefault="00582F14">
      <w:r>
        <w:rPr>
          <w:b/>
        </w:rPr>
        <w:t>_______________</w:t>
      </w:r>
    </w:p>
  </w:footnote>
  <w:footnote w:type="continuationSeparator" w:id="0">
    <w:p w14:paraId="0539AD3B" w14:textId="77777777" w:rsidR="00582F14" w:rsidRDefault="00582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5B09" w14:textId="5CE0F272" w:rsidR="00E45D05" w:rsidRDefault="00A066F1" w:rsidP="00187BD9">
    <w:pPr>
      <w:pStyle w:val="Header"/>
    </w:pPr>
    <w:r>
      <w:fldChar w:fldCharType="begin"/>
    </w:r>
    <w:r>
      <w:instrText xml:space="preserve"> PAGE  \* MERGEFORMAT </w:instrText>
    </w:r>
    <w:r>
      <w:fldChar w:fldCharType="separate"/>
    </w:r>
    <w:r w:rsidR="00FA7CD0">
      <w:rPr>
        <w:noProof/>
      </w:rPr>
      <w:t>4</w:t>
    </w:r>
    <w:r>
      <w:fldChar w:fldCharType="end"/>
    </w:r>
  </w:p>
  <w:p w14:paraId="6EE121BD" w14:textId="37958D0C"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EB55C6">
      <w:t>11(Add.24)(Add.14)</w:t>
    </w:r>
    <w:bookmarkEnd w:id="11"/>
    <w:bookmarkEnd w:id="12"/>
    <w:bookmarkEnd w:id="13"/>
    <w:r w:rsidR="00FA7CD0">
      <w:t>(Rev.1)</w:t>
    </w:r>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7EB7"/>
    <w:rsid w:val="00051E39"/>
    <w:rsid w:val="000705F2"/>
    <w:rsid w:val="00077239"/>
    <w:rsid w:val="0007795D"/>
    <w:rsid w:val="00086491"/>
    <w:rsid w:val="00091346"/>
    <w:rsid w:val="0009706C"/>
    <w:rsid w:val="000A344F"/>
    <w:rsid w:val="000D154B"/>
    <w:rsid w:val="000D2DAF"/>
    <w:rsid w:val="000E463E"/>
    <w:rsid w:val="000F73FF"/>
    <w:rsid w:val="00114CF7"/>
    <w:rsid w:val="00116C7A"/>
    <w:rsid w:val="00123B68"/>
    <w:rsid w:val="0012578C"/>
    <w:rsid w:val="00126F2E"/>
    <w:rsid w:val="00146F6F"/>
    <w:rsid w:val="00187BD9"/>
    <w:rsid w:val="00190B55"/>
    <w:rsid w:val="001C3B5F"/>
    <w:rsid w:val="001D058F"/>
    <w:rsid w:val="001D0F30"/>
    <w:rsid w:val="002009EA"/>
    <w:rsid w:val="00202756"/>
    <w:rsid w:val="00202CA0"/>
    <w:rsid w:val="00216B6D"/>
    <w:rsid w:val="00241FA2"/>
    <w:rsid w:val="002523DE"/>
    <w:rsid w:val="00271316"/>
    <w:rsid w:val="002A6745"/>
    <w:rsid w:val="002B349C"/>
    <w:rsid w:val="002D58BE"/>
    <w:rsid w:val="002F4747"/>
    <w:rsid w:val="00302605"/>
    <w:rsid w:val="00333FD9"/>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B3011"/>
    <w:rsid w:val="004D26EA"/>
    <w:rsid w:val="004D2BFB"/>
    <w:rsid w:val="004D5D5C"/>
    <w:rsid w:val="004F3DC0"/>
    <w:rsid w:val="0050139F"/>
    <w:rsid w:val="00531DBD"/>
    <w:rsid w:val="0055140B"/>
    <w:rsid w:val="0055623F"/>
    <w:rsid w:val="00557CB9"/>
    <w:rsid w:val="00582F14"/>
    <w:rsid w:val="005964AB"/>
    <w:rsid w:val="005C099A"/>
    <w:rsid w:val="005C31A5"/>
    <w:rsid w:val="005E10C9"/>
    <w:rsid w:val="005E290B"/>
    <w:rsid w:val="005E61DD"/>
    <w:rsid w:val="005F04D8"/>
    <w:rsid w:val="005F7A6B"/>
    <w:rsid w:val="006023DF"/>
    <w:rsid w:val="00615426"/>
    <w:rsid w:val="00616219"/>
    <w:rsid w:val="00645B7D"/>
    <w:rsid w:val="00657DE0"/>
    <w:rsid w:val="0066075F"/>
    <w:rsid w:val="0068281F"/>
    <w:rsid w:val="00685313"/>
    <w:rsid w:val="00691FED"/>
    <w:rsid w:val="00692833"/>
    <w:rsid w:val="006A6E9B"/>
    <w:rsid w:val="006B7C2A"/>
    <w:rsid w:val="006C23DA"/>
    <w:rsid w:val="006E3D45"/>
    <w:rsid w:val="0070607A"/>
    <w:rsid w:val="007149F9"/>
    <w:rsid w:val="00733A30"/>
    <w:rsid w:val="00745AEE"/>
    <w:rsid w:val="00750F10"/>
    <w:rsid w:val="00752735"/>
    <w:rsid w:val="007742CA"/>
    <w:rsid w:val="00790D70"/>
    <w:rsid w:val="007A6F1F"/>
    <w:rsid w:val="007D5320"/>
    <w:rsid w:val="007F29F3"/>
    <w:rsid w:val="00800972"/>
    <w:rsid w:val="00804475"/>
    <w:rsid w:val="00811633"/>
    <w:rsid w:val="00814037"/>
    <w:rsid w:val="00841216"/>
    <w:rsid w:val="00842AF0"/>
    <w:rsid w:val="0086171E"/>
    <w:rsid w:val="00872FC8"/>
    <w:rsid w:val="008845D0"/>
    <w:rsid w:val="00884D60"/>
    <w:rsid w:val="008B3F44"/>
    <w:rsid w:val="008B43F2"/>
    <w:rsid w:val="008B6CFF"/>
    <w:rsid w:val="00901BFE"/>
    <w:rsid w:val="009274B4"/>
    <w:rsid w:val="00934EA2"/>
    <w:rsid w:val="00944A5C"/>
    <w:rsid w:val="00952A66"/>
    <w:rsid w:val="009B1EA1"/>
    <w:rsid w:val="009B7C9A"/>
    <w:rsid w:val="009C56E5"/>
    <w:rsid w:val="009C7716"/>
    <w:rsid w:val="009E5FC8"/>
    <w:rsid w:val="009E687A"/>
    <w:rsid w:val="009F233B"/>
    <w:rsid w:val="009F236F"/>
    <w:rsid w:val="00A066F1"/>
    <w:rsid w:val="00A141AF"/>
    <w:rsid w:val="00A16D29"/>
    <w:rsid w:val="00A30305"/>
    <w:rsid w:val="00A31D2D"/>
    <w:rsid w:val="00A4600A"/>
    <w:rsid w:val="00A538A6"/>
    <w:rsid w:val="00A54C25"/>
    <w:rsid w:val="00A6001E"/>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4333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15C8C"/>
    <w:rsid w:val="00E205BC"/>
    <w:rsid w:val="00E2434D"/>
    <w:rsid w:val="00E26226"/>
    <w:rsid w:val="00E44653"/>
    <w:rsid w:val="00E45D05"/>
    <w:rsid w:val="00E51F34"/>
    <w:rsid w:val="00E55816"/>
    <w:rsid w:val="00E55AEF"/>
    <w:rsid w:val="00E94504"/>
    <w:rsid w:val="00E976C1"/>
    <w:rsid w:val="00EA12E5"/>
    <w:rsid w:val="00EB55C6"/>
    <w:rsid w:val="00ED2387"/>
    <w:rsid w:val="00EE0417"/>
    <w:rsid w:val="00EF1932"/>
    <w:rsid w:val="00EF71B6"/>
    <w:rsid w:val="00F02766"/>
    <w:rsid w:val="00F05BD4"/>
    <w:rsid w:val="00F06473"/>
    <w:rsid w:val="00F2237A"/>
    <w:rsid w:val="00F6155B"/>
    <w:rsid w:val="00F65C19"/>
    <w:rsid w:val="00FA7CD0"/>
    <w:rsid w:val="00FD08E2"/>
    <w:rsid w:val="00FD18DA"/>
    <w:rsid w:val="00FD2546"/>
    <w:rsid w:val="00FD772E"/>
    <w:rsid w:val="00FE5459"/>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A4BB1B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Asian) Si...,Footnote Reference/,Footnote symbol,Style 12,(NECG) Footnote Reference,Style 124,o,fr,Style 13,FR,Style 17,Appel note de bas de p + 11 pt,Italic,Appel note de bas de p1"/>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NormalaftertitleChar">
    <w:name w:val="Normal after title Char"/>
    <w:link w:val="Normalaftertitle"/>
    <w:rsid w:val="00EE0417"/>
    <w:rPr>
      <w:rFonts w:ascii="Times New Roman" w:hAnsi="Times New Roman"/>
      <w:sz w:val="24"/>
      <w:lang w:val="en-GB" w:eastAsia="en-US"/>
    </w:rPr>
  </w:style>
  <w:style w:type="character" w:customStyle="1" w:styleId="href">
    <w:name w:val="href"/>
    <w:rsid w:val="007F29F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697D4-48AF-4451-9141-4D332357D0A3}">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32a1a8c5-2265-4ebc-b7a0-2071e2c5c9bb"/>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633FD21-EDF7-4F16-8E01-0B7B3C12B807}">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4C369B-5147-4889-A089-6D3CCED8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1495</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R16-WRC19-C-0011!A24-A14!MSW-E</vt:lpstr>
    </vt:vector>
  </TitlesOfParts>
  <Manager>General Secretariat - Pool</Manager>
  <Company>International Telecommunication Union (ITU)</Company>
  <LinksUpToDate>false</LinksUpToDate>
  <CharactersWithSpaces>9780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R16-WRC19-C-0011!A24-A14!MSW-E</dc:title>
  <dc:subject>World Radiocommunication Conference - 2019</dc:subject>
  <dc:creator>Documents Proposals Manager (DPM)</dc:creator>
  <cp:keywords>DPM_v2019.9.13.1_prod</cp:keywords>
  <dc:description>Uploaded on 2015.07.06</dc:description>
  <cp:lastModifiedBy>English</cp:lastModifiedBy>
  <cp:revision>9</cp:revision>
  <cp:lastPrinted>2019-09-27T14:35:00Z</cp:lastPrinted>
  <dcterms:created xsi:type="dcterms:W3CDTF">2019-11-07T16:41:00Z</dcterms:created>
  <dcterms:modified xsi:type="dcterms:W3CDTF">2019-11-07T19:12:00Z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