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96655" w14:paraId="370B1D64" w14:textId="77777777" w:rsidTr="00835748">
        <w:trPr>
          <w:cantSplit/>
        </w:trPr>
        <w:tc>
          <w:tcPr>
            <w:tcW w:w="6804" w:type="dxa"/>
          </w:tcPr>
          <w:p w14:paraId="364EB7B6" w14:textId="77777777" w:rsidR="0090121B" w:rsidRPr="00096655" w:rsidRDefault="005D46FB" w:rsidP="00C44E9E">
            <w:pPr>
              <w:spacing w:before="400" w:after="48" w:line="240" w:lineRule="atLeast"/>
              <w:rPr>
                <w:rFonts w:ascii="Verdana" w:hAnsi="Verdana"/>
                <w:position w:val="6"/>
              </w:rPr>
            </w:pPr>
            <w:r w:rsidRPr="00096655">
              <w:rPr>
                <w:rFonts w:ascii="Verdana" w:hAnsi="Verdana" w:cs="Times"/>
                <w:b/>
                <w:position w:val="6"/>
                <w:sz w:val="20"/>
              </w:rPr>
              <w:t>Conferencia Mundial de Radiocomunicaciones (CMR-1</w:t>
            </w:r>
            <w:r w:rsidR="00C44E9E" w:rsidRPr="00096655">
              <w:rPr>
                <w:rFonts w:ascii="Verdana" w:hAnsi="Verdana" w:cs="Times"/>
                <w:b/>
                <w:position w:val="6"/>
                <w:sz w:val="20"/>
              </w:rPr>
              <w:t>9</w:t>
            </w:r>
            <w:r w:rsidRPr="00096655">
              <w:rPr>
                <w:rFonts w:ascii="Verdana" w:hAnsi="Verdana" w:cs="Times"/>
                <w:b/>
                <w:position w:val="6"/>
                <w:sz w:val="20"/>
              </w:rPr>
              <w:t>)</w:t>
            </w:r>
            <w:r w:rsidRPr="00096655">
              <w:rPr>
                <w:rFonts w:ascii="Verdana" w:hAnsi="Verdana" w:cs="Times"/>
                <w:b/>
                <w:position w:val="6"/>
                <w:sz w:val="20"/>
              </w:rPr>
              <w:br/>
            </w:r>
            <w:r w:rsidR="006124AD" w:rsidRPr="00096655">
              <w:rPr>
                <w:rFonts w:ascii="Verdana" w:hAnsi="Verdana"/>
                <w:b/>
                <w:bCs/>
                <w:position w:val="6"/>
                <w:sz w:val="17"/>
                <w:szCs w:val="17"/>
              </w:rPr>
              <w:t>Sharm el-Sheikh (Egipto)</w:t>
            </w:r>
            <w:r w:rsidRPr="00096655">
              <w:rPr>
                <w:rFonts w:ascii="Verdana" w:hAnsi="Verdana"/>
                <w:b/>
                <w:bCs/>
                <w:position w:val="6"/>
                <w:sz w:val="17"/>
                <w:szCs w:val="17"/>
              </w:rPr>
              <w:t>, 2</w:t>
            </w:r>
            <w:r w:rsidR="00C44E9E" w:rsidRPr="00096655">
              <w:rPr>
                <w:rFonts w:ascii="Verdana" w:hAnsi="Verdana"/>
                <w:b/>
                <w:bCs/>
                <w:position w:val="6"/>
                <w:sz w:val="17"/>
                <w:szCs w:val="17"/>
              </w:rPr>
              <w:t xml:space="preserve">8 de octubre </w:t>
            </w:r>
            <w:r w:rsidR="00DE1C31" w:rsidRPr="00096655">
              <w:rPr>
                <w:rFonts w:ascii="Verdana" w:hAnsi="Verdana"/>
                <w:b/>
                <w:bCs/>
                <w:position w:val="6"/>
                <w:sz w:val="17"/>
                <w:szCs w:val="17"/>
              </w:rPr>
              <w:t>–</w:t>
            </w:r>
            <w:r w:rsidR="00C44E9E" w:rsidRPr="00096655">
              <w:rPr>
                <w:rFonts w:ascii="Verdana" w:hAnsi="Verdana"/>
                <w:b/>
                <w:bCs/>
                <w:position w:val="6"/>
                <w:sz w:val="17"/>
                <w:szCs w:val="17"/>
              </w:rPr>
              <w:t xml:space="preserve"> </w:t>
            </w:r>
            <w:r w:rsidRPr="00096655">
              <w:rPr>
                <w:rFonts w:ascii="Verdana" w:hAnsi="Verdana"/>
                <w:b/>
                <w:bCs/>
                <w:position w:val="6"/>
                <w:sz w:val="17"/>
                <w:szCs w:val="17"/>
              </w:rPr>
              <w:t>2</w:t>
            </w:r>
            <w:r w:rsidR="00C44E9E" w:rsidRPr="00096655">
              <w:rPr>
                <w:rFonts w:ascii="Verdana" w:hAnsi="Verdana"/>
                <w:b/>
                <w:bCs/>
                <w:position w:val="6"/>
                <w:sz w:val="17"/>
                <w:szCs w:val="17"/>
              </w:rPr>
              <w:t>2</w:t>
            </w:r>
            <w:r w:rsidRPr="00096655">
              <w:rPr>
                <w:rFonts w:ascii="Verdana" w:hAnsi="Verdana"/>
                <w:b/>
                <w:bCs/>
                <w:position w:val="6"/>
                <w:sz w:val="17"/>
                <w:szCs w:val="17"/>
              </w:rPr>
              <w:t xml:space="preserve"> de noviembre de 201</w:t>
            </w:r>
            <w:r w:rsidR="00C44E9E" w:rsidRPr="00096655">
              <w:rPr>
                <w:rFonts w:ascii="Verdana" w:hAnsi="Verdana"/>
                <w:b/>
                <w:bCs/>
                <w:position w:val="6"/>
                <w:sz w:val="17"/>
                <w:szCs w:val="17"/>
              </w:rPr>
              <w:t>9</w:t>
            </w:r>
          </w:p>
        </w:tc>
        <w:tc>
          <w:tcPr>
            <w:tcW w:w="3227" w:type="dxa"/>
          </w:tcPr>
          <w:p w14:paraId="04EA9963" w14:textId="77777777" w:rsidR="0090121B" w:rsidRPr="00096655" w:rsidRDefault="00DA71A3" w:rsidP="00CE7431">
            <w:pPr>
              <w:spacing w:before="0" w:line="240" w:lineRule="atLeast"/>
              <w:jc w:val="right"/>
            </w:pPr>
            <w:bookmarkStart w:id="0" w:name="ditulogo"/>
            <w:bookmarkEnd w:id="0"/>
            <w:r w:rsidRPr="00096655">
              <w:rPr>
                <w:rFonts w:ascii="Verdana" w:hAnsi="Verdana"/>
                <w:b/>
                <w:bCs/>
                <w:szCs w:val="24"/>
                <w:lang w:eastAsia="zh-CN"/>
              </w:rPr>
              <w:drawing>
                <wp:inline distT="0" distB="0" distL="0" distR="0" wp14:anchorId="51009496" wp14:editId="1E512E9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96655" w14:paraId="4E23B8F8" w14:textId="77777777" w:rsidTr="00835748">
        <w:trPr>
          <w:cantSplit/>
        </w:trPr>
        <w:tc>
          <w:tcPr>
            <w:tcW w:w="6804" w:type="dxa"/>
            <w:tcBorders>
              <w:bottom w:val="single" w:sz="12" w:space="0" w:color="auto"/>
            </w:tcBorders>
          </w:tcPr>
          <w:p w14:paraId="40736889" w14:textId="77777777" w:rsidR="0090121B" w:rsidRPr="00096655"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267E1621" w14:textId="77777777" w:rsidR="0090121B" w:rsidRPr="00096655" w:rsidRDefault="0090121B" w:rsidP="0090121B">
            <w:pPr>
              <w:spacing w:before="0" w:line="240" w:lineRule="atLeast"/>
              <w:rPr>
                <w:rFonts w:ascii="Verdana" w:hAnsi="Verdana"/>
                <w:szCs w:val="24"/>
              </w:rPr>
            </w:pPr>
          </w:p>
        </w:tc>
      </w:tr>
      <w:tr w:rsidR="0090121B" w:rsidRPr="00096655" w14:paraId="36374F1F" w14:textId="77777777" w:rsidTr="00835748">
        <w:trPr>
          <w:cantSplit/>
        </w:trPr>
        <w:tc>
          <w:tcPr>
            <w:tcW w:w="6804" w:type="dxa"/>
            <w:tcBorders>
              <w:top w:val="single" w:sz="12" w:space="0" w:color="auto"/>
            </w:tcBorders>
          </w:tcPr>
          <w:p w14:paraId="4B7BD8C9" w14:textId="77777777" w:rsidR="0090121B" w:rsidRPr="00096655"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693876ED" w14:textId="77777777" w:rsidR="0090121B" w:rsidRPr="00096655" w:rsidRDefault="0090121B" w:rsidP="0090121B">
            <w:pPr>
              <w:spacing w:before="0" w:line="240" w:lineRule="atLeast"/>
              <w:rPr>
                <w:rFonts w:ascii="Verdana" w:hAnsi="Verdana"/>
                <w:sz w:val="20"/>
              </w:rPr>
            </w:pPr>
          </w:p>
        </w:tc>
      </w:tr>
      <w:tr w:rsidR="0090121B" w:rsidRPr="00096655" w14:paraId="7F351B32" w14:textId="77777777" w:rsidTr="00835748">
        <w:trPr>
          <w:cantSplit/>
        </w:trPr>
        <w:tc>
          <w:tcPr>
            <w:tcW w:w="6804" w:type="dxa"/>
          </w:tcPr>
          <w:p w14:paraId="02E316C2" w14:textId="77777777" w:rsidR="0090121B" w:rsidRPr="00096655" w:rsidRDefault="001E7D42" w:rsidP="00EA77F0">
            <w:pPr>
              <w:pStyle w:val="Committee"/>
              <w:framePr w:hSpace="0" w:wrap="auto" w:hAnchor="text" w:yAlign="inline"/>
              <w:rPr>
                <w:lang w:val="es-ES_tradnl"/>
              </w:rPr>
            </w:pPr>
            <w:r w:rsidRPr="00096655">
              <w:rPr>
                <w:lang w:val="es-ES_tradnl"/>
              </w:rPr>
              <w:t>SESIÓN PLENARIA</w:t>
            </w:r>
          </w:p>
        </w:tc>
        <w:tc>
          <w:tcPr>
            <w:tcW w:w="3227" w:type="dxa"/>
          </w:tcPr>
          <w:p w14:paraId="5CECB052" w14:textId="77777777" w:rsidR="0090121B" w:rsidRPr="00096655" w:rsidRDefault="00AE658F" w:rsidP="0045384C">
            <w:pPr>
              <w:spacing w:before="0"/>
              <w:rPr>
                <w:rFonts w:ascii="Verdana" w:hAnsi="Verdana"/>
                <w:sz w:val="20"/>
              </w:rPr>
            </w:pPr>
            <w:r w:rsidRPr="00096655">
              <w:rPr>
                <w:rFonts w:ascii="Verdana" w:hAnsi="Verdana"/>
                <w:b/>
                <w:sz w:val="20"/>
              </w:rPr>
              <w:t>Addéndum 12 al</w:t>
            </w:r>
            <w:r w:rsidRPr="00096655">
              <w:rPr>
                <w:rFonts w:ascii="Verdana" w:hAnsi="Verdana"/>
                <w:b/>
                <w:sz w:val="20"/>
              </w:rPr>
              <w:br/>
              <w:t>Documento 11(Add.24)</w:t>
            </w:r>
            <w:r w:rsidR="0090121B" w:rsidRPr="00096655">
              <w:rPr>
                <w:rFonts w:ascii="Verdana" w:hAnsi="Verdana"/>
                <w:b/>
                <w:sz w:val="20"/>
              </w:rPr>
              <w:t>-</w:t>
            </w:r>
            <w:r w:rsidRPr="00096655">
              <w:rPr>
                <w:rFonts w:ascii="Verdana" w:hAnsi="Verdana"/>
                <w:b/>
                <w:sz w:val="20"/>
              </w:rPr>
              <w:t>S</w:t>
            </w:r>
          </w:p>
        </w:tc>
      </w:tr>
      <w:bookmarkEnd w:id="1"/>
      <w:tr w:rsidR="000A5B9A" w:rsidRPr="00096655" w14:paraId="0ED1C667" w14:textId="77777777" w:rsidTr="00835748">
        <w:trPr>
          <w:cantSplit/>
        </w:trPr>
        <w:tc>
          <w:tcPr>
            <w:tcW w:w="6804" w:type="dxa"/>
          </w:tcPr>
          <w:p w14:paraId="3361431A" w14:textId="77777777" w:rsidR="000A5B9A" w:rsidRPr="00096655" w:rsidRDefault="000A5B9A" w:rsidP="0045384C">
            <w:pPr>
              <w:spacing w:before="0" w:after="48"/>
              <w:rPr>
                <w:rFonts w:ascii="Verdana" w:hAnsi="Verdana"/>
                <w:b/>
                <w:smallCaps/>
                <w:sz w:val="20"/>
              </w:rPr>
            </w:pPr>
          </w:p>
        </w:tc>
        <w:tc>
          <w:tcPr>
            <w:tcW w:w="3227" w:type="dxa"/>
          </w:tcPr>
          <w:p w14:paraId="355812B0" w14:textId="77777777" w:rsidR="000A5B9A" w:rsidRPr="00096655" w:rsidRDefault="00B64FF6" w:rsidP="0045384C">
            <w:pPr>
              <w:spacing w:before="0"/>
              <w:rPr>
                <w:rFonts w:ascii="Verdana" w:hAnsi="Verdana"/>
                <w:b/>
                <w:sz w:val="20"/>
              </w:rPr>
            </w:pPr>
            <w:r w:rsidRPr="00096655">
              <w:rPr>
                <w:rFonts w:ascii="Verdana" w:hAnsi="Verdana"/>
                <w:b/>
                <w:sz w:val="20"/>
              </w:rPr>
              <w:t>13</w:t>
            </w:r>
            <w:r w:rsidR="000A5B9A" w:rsidRPr="00096655">
              <w:rPr>
                <w:rFonts w:ascii="Verdana" w:hAnsi="Verdana"/>
                <w:b/>
                <w:sz w:val="20"/>
              </w:rPr>
              <w:t xml:space="preserve"> de septiembre de 2019</w:t>
            </w:r>
          </w:p>
        </w:tc>
      </w:tr>
      <w:tr w:rsidR="000A5B9A" w:rsidRPr="00096655" w14:paraId="25AD7D96" w14:textId="77777777" w:rsidTr="00835748">
        <w:trPr>
          <w:cantSplit/>
        </w:trPr>
        <w:tc>
          <w:tcPr>
            <w:tcW w:w="6804" w:type="dxa"/>
          </w:tcPr>
          <w:p w14:paraId="20B51671" w14:textId="77777777" w:rsidR="000A5B9A" w:rsidRPr="00096655" w:rsidRDefault="000A5B9A" w:rsidP="0045384C">
            <w:pPr>
              <w:spacing w:before="0" w:after="48"/>
              <w:rPr>
                <w:rFonts w:ascii="Verdana" w:hAnsi="Verdana"/>
                <w:b/>
                <w:smallCaps/>
                <w:sz w:val="20"/>
              </w:rPr>
            </w:pPr>
          </w:p>
        </w:tc>
        <w:tc>
          <w:tcPr>
            <w:tcW w:w="3227" w:type="dxa"/>
          </w:tcPr>
          <w:p w14:paraId="5E2AA94B" w14:textId="77777777" w:rsidR="000A5B9A" w:rsidRPr="00096655" w:rsidRDefault="000A5B9A" w:rsidP="0045384C">
            <w:pPr>
              <w:spacing w:before="0"/>
              <w:rPr>
                <w:rFonts w:ascii="Verdana" w:hAnsi="Verdana"/>
                <w:b/>
                <w:sz w:val="20"/>
              </w:rPr>
            </w:pPr>
            <w:r w:rsidRPr="00096655">
              <w:rPr>
                <w:rFonts w:ascii="Verdana" w:hAnsi="Verdana"/>
                <w:b/>
                <w:sz w:val="20"/>
              </w:rPr>
              <w:t>Original: inglés</w:t>
            </w:r>
            <w:r w:rsidR="00B64FF6" w:rsidRPr="00096655">
              <w:rPr>
                <w:rFonts w:ascii="Verdana" w:hAnsi="Verdana"/>
                <w:b/>
                <w:sz w:val="20"/>
              </w:rPr>
              <w:t>/español</w:t>
            </w:r>
          </w:p>
        </w:tc>
      </w:tr>
      <w:tr w:rsidR="000A5B9A" w:rsidRPr="00096655" w14:paraId="1F917DF6" w14:textId="77777777" w:rsidTr="006744FC">
        <w:trPr>
          <w:cantSplit/>
        </w:trPr>
        <w:tc>
          <w:tcPr>
            <w:tcW w:w="10031" w:type="dxa"/>
            <w:gridSpan w:val="2"/>
          </w:tcPr>
          <w:p w14:paraId="0BB7A715" w14:textId="77777777" w:rsidR="000A5B9A" w:rsidRPr="00096655" w:rsidRDefault="000A5B9A" w:rsidP="0045384C">
            <w:pPr>
              <w:spacing w:before="0"/>
              <w:rPr>
                <w:rFonts w:ascii="Verdana" w:hAnsi="Verdana"/>
                <w:b/>
                <w:sz w:val="20"/>
              </w:rPr>
            </w:pPr>
          </w:p>
        </w:tc>
      </w:tr>
      <w:tr w:rsidR="000A5B9A" w:rsidRPr="00096655" w14:paraId="52344A0A" w14:textId="77777777" w:rsidTr="0050008E">
        <w:trPr>
          <w:cantSplit/>
        </w:trPr>
        <w:tc>
          <w:tcPr>
            <w:tcW w:w="10031" w:type="dxa"/>
            <w:gridSpan w:val="2"/>
          </w:tcPr>
          <w:p w14:paraId="2B9A1C16" w14:textId="77777777" w:rsidR="000A5B9A" w:rsidRPr="00096655" w:rsidRDefault="000A5B9A" w:rsidP="000A5B9A">
            <w:pPr>
              <w:pStyle w:val="Source"/>
            </w:pPr>
            <w:bookmarkStart w:id="2" w:name="dsource" w:colFirst="0" w:colLast="0"/>
            <w:r w:rsidRPr="00096655">
              <w:t>Estados Miembros de la Comisión Interamericana de Telecomunicaciones (CITEL)</w:t>
            </w:r>
          </w:p>
        </w:tc>
      </w:tr>
      <w:tr w:rsidR="000A5B9A" w:rsidRPr="00096655" w14:paraId="6BA3097B" w14:textId="77777777" w:rsidTr="0050008E">
        <w:trPr>
          <w:cantSplit/>
        </w:trPr>
        <w:tc>
          <w:tcPr>
            <w:tcW w:w="10031" w:type="dxa"/>
            <w:gridSpan w:val="2"/>
          </w:tcPr>
          <w:p w14:paraId="3B093780" w14:textId="77777777" w:rsidR="000A5B9A" w:rsidRPr="00096655" w:rsidRDefault="00B64FF6" w:rsidP="000A5B9A">
            <w:pPr>
              <w:pStyle w:val="Title1"/>
            </w:pPr>
            <w:bookmarkStart w:id="3" w:name="dtitle1" w:colFirst="0" w:colLast="0"/>
            <w:bookmarkEnd w:id="2"/>
            <w:r w:rsidRPr="00096655">
              <w:t>Propuestas para los trabajos de la Conferencia</w:t>
            </w:r>
          </w:p>
        </w:tc>
      </w:tr>
      <w:tr w:rsidR="000A5B9A" w:rsidRPr="00096655" w14:paraId="35C05238" w14:textId="77777777" w:rsidTr="0050008E">
        <w:trPr>
          <w:cantSplit/>
        </w:trPr>
        <w:tc>
          <w:tcPr>
            <w:tcW w:w="10031" w:type="dxa"/>
            <w:gridSpan w:val="2"/>
          </w:tcPr>
          <w:p w14:paraId="68AFA7AC" w14:textId="77777777" w:rsidR="000A5B9A" w:rsidRPr="00096655" w:rsidRDefault="000A5B9A" w:rsidP="000A5B9A">
            <w:pPr>
              <w:pStyle w:val="Title2"/>
            </w:pPr>
            <w:bookmarkStart w:id="4" w:name="dtitle2" w:colFirst="0" w:colLast="0"/>
            <w:bookmarkEnd w:id="3"/>
          </w:p>
        </w:tc>
      </w:tr>
      <w:tr w:rsidR="000A5B9A" w:rsidRPr="00096655" w14:paraId="74A705FB" w14:textId="77777777" w:rsidTr="0050008E">
        <w:trPr>
          <w:cantSplit/>
        </w:trPr>
        <w:tc>
          <w:tcPr>
            <w:tcW w:w="10031" w:type="dxa"/>
            <w:gridSpan w:val="2"/>
          </w:tcPr>
          <w:p w14:paraId="2E1EF4ED" w14:textId="77777777" w:rsidR="000A5B9A" w:rsidRPr="00096655" w:rsidRDefault="000A5B9A" w:rsidP="000A5B9A">
            <w:pPr>
              <w:pStyle w:val="Agendaitem"/>
            </w:pPr>
            <w:bookmarkStart w:id="5" w:name="dtitle3" w:colFirst="0" w:colLast="0"/>
            <w:bookmarkEnd w:id="4"/>
            <w:r w:rsidRPr="00096655">
              <w:t>Punto 10 del orden del día</w:t>
            </w:r>
          </w:p>
        </w:tc>
      </w:tr>
    </w:tbl>
    <w:bookmarkEnd w:id="5"/>
    <w:p w14:paraId="469D5EE0" w14:textId="77777777" w:rsidR="001C0E40" w:rsidRPr="00096655" w:rsidRDefault="008207CA" w:rsidP="003A37B0">
      <w:r w:rsidRPr="00096655">
        <w:t>10</w:t>
      </w:r>
      <w:r w:rsidRPr="00096655">
        <w:tab/>
        <w:t xml:space="preserve">recomendar al Consejo los puntos que han de incluirse en el orden del día de la próxima CMR, y formular opiniones sobre el orden del día preliminar de la conferencia subsiguiente y sobre los posibles órdenes </w:t>
      </w:r>
      <w:r w:rsidR="00D82070" w:rsidRPr="00096655">
        <w:t>del día de futuras conferencias.</w:t>
      </w:r>
    </w:p>
    <w:p w14:paraId="1E4D9869" w14:textId="77777777" w:rsidR="00D82070" w:rsidRPr="00096655" w:rsidRDefault="00D82070" w:rsidP="00F24011">
      <w:pPr>
        <w:pStyle w:val="Title4"/>
      </w:pPr>
      <w:r w:rsidRPr="00096655">
        <w:t>A. BANDA 17,3-17,7 GHz</w:t>
      </w:r>
    </w:p>
    <w:p w14:paraId="21DCB03D" w14:textId="77777777" w:rsidR="00D82070" w:rsidRPr="00096655" w:rsidRDefault="00D82070" w:rsidP="00B50746">
      <w:pPr>
        <w:pStyle w:val="Headingb"/>
      </w:pPr>
      <w:r w:rsidRPr="00096655">
        <w:t>Antecedentes</w:t>
      </w:r>
    </w:p>
    <w:p w14:paraId="2A61E190" w14:textId="77777777" w:rsidR="00D82070" w:rsidRPr="00096655" w:rsidRDefault="00D82070" w:rsidP="00D82070">
      <w:r w:rsidRPr="00096655">
        <w:t>La demanda del servicio fijo por satélite (SFS) en la banda Ka para aplicaciones de banda ancha de OSG es cada vez mayor, con la llegada de satélites de alto y muy alto rendimiento (HTS y VHTS). Estos sistemas se basan en un uso más eficiente del espectro gracias a la reutilización de frecuencias entre otras técnicas, y están proporcionando conectividad en áreas remotas y contribuyendo a cerrar la brecha digital.</w:t>
      </w:r>
    </w:p>
    <w:p w14:paraId="08171D25" w14:textId="23A60E65" w:rsidR="00D82070" w:rsidRPr="00096655" w:rsidRDefault="00D82070" w:rsidP="00D82070">
      <w:r w:rsidRPr="00096655">
        <w:t xml:space="preserve">La banda de 17,3-17,7 GHz está atribuida en la Región 2 a título primario al servicio de radiodifusión por satélite (SRS) en el sentido espacio-Tierra y para el servicio fijo por satélite (SFS) en la dirección Tierra-espacio limitado a enlaces de conexión para el servicio de radiodifusión por satélite, sujeto a la aplicación de los procedimientos del Apéndice 30A (se aplica la </w:t>
      </w:r>
      <w:r w:rsidR="00835748" w:rsidRPr="00096655">
        <w:t xml:space="preserve">nota </w:t>
      </w:r>
      <w:r w:rsidRPr="00096655">
        <w:t xml:space="preserve">al pie </w:t>
      </w:r>
      <w:r w:rsidRPr="00096655">
        <w:rPr>
          <w:b/>
        </w:rPr>
        <w:t>5.5.16</w:t>
      </w:r>
      <w:r w:rsidRPr="00096655">
        <w:t xml:space="preserve">). La banda también está atribuida a título secundario al servicio de radiolocalización. También se aplican las notas </w:t>
      </w:r>
      <w:r w:rsidRPr="00096655">
        <w:rPr>
          <w:b/>
        </w:rPr>
        <w:t xml:space="preserve">5.514 </w:t>
      </w:r>
      <w:r w:rsidRPr="00096655">
        <w:t>y</w:t>
      </w:r>
      <w:r w:rsidRPr="00096655">
        <w:rPr>
          <w:b/>
        </w:rPr>
        <w:t xml:space="preserve"> 5.515</w:t>
      </w:r>
      <w:r w:rsidRPr="00096655">
        <w:t>.</w:t>
      </w:r>
    </w:p>
    <w:p w14:paraId="79C5C105" w14:textId="77777777" w:rsidR="00D82070" w:rsidRPr="00096655" w:rsidRDefault="00D82070" w:rsidP="00D82070">
      <w:r w:rsidRPr="00096655">
        <w:t>Aunque en la Región 2 la banda de frecuencias en el sentido espacio-Tierra sólo es atribuida al servicio de radiodifusión por satélite, otras regiones ya han considerado el servicio fijo por satélite en esta dirección de transmisión. Además, es relevante notar que todos los servicios primarios en la banda, considerados a nivel mundial, están diseñados para aplicaciones de satélites (SRS o del SFS en diferentes direcciones de transmisión).</w:t>
      </w:r>
    </w:p>
    <w:p w14:paraId="328ADFF1" w14:textId="77777777" w:rsidR="00D82070" w:rsidRPr="00096655" w:rsidRDefault="00D82070" w:rsidP="003A37B0">
      <w:r w:rsidRPr="00096655">
        <w:t xml:space="preserve">La consideración de esta banda en el sentido espacio-Tierra para el SFS además del SRS en la Región 2, podría satisfacer esta demanda creciente de conectividad en la banda Ka para aplicaciones de banda ancha, que pueden no estar disponibles en virtud de una asignación al SRS. </w:t>
      </w:r>
      <w:r w:rsidRPr="00096655">
        <w:lastRenderedPageBreak/>
        <w:t>Esto también proporcionaría una mayor flexibilidad en el diseño de nuevos sistemas de satélites y un uso más eficiente del espectro.</w:t>
      </w:r>
    </w:p>
    <w:p w14:paraId="14BDF599" w14:textId="77777777" w:rsidR="008750A8" w:rsidRPr="00096655" w:rsidRDefault="008750A8" w:rsidP="008750A8">
      <w:pPr>
        <w:tabs>
          <w:tab w:val="clear" w:pos="1134"/>
          <w:tab w:val="clear" w:pos="1871"/>
          <w:tab w:val="clear" w:pos="2268"/>
        </w:tabs>
        <w:overflowPunct/>
        <w:autoSpaceDE/>
        <w:autoSpaceDN/>
        <w:adjustRightInd/>
        <w:spacing w:before="0"/>
        <w:textAlignment w:val="auto"/>
      </w:pPr>
      <w:r w:rsidRPr="00096655">
        <w:br w:type="page"/>
      </w:r>
    </w:p>
    <w:p w14:paraId="5683A847" w14:textId="77777777" w:rsidR="00F5494D" w:rsidRPr="00096655" w:rsidRDefault="008207CA">
      <w:pPr>
        <w:pStyle w:val="Proposal"/>
      </w:pPr>
      <w:r w:rsidRPr="00096655">
        <w:lastRenderedPageBreak/>
        <w:t>ADD</w:t>
      </w:r>
      <w:r w:rsidRPr="00096655">
        <w:tab/>
        <w:t>IAP/11A24A12/1</w:t>
      </w:r>
    </w:p>
    <w:p w14:paraId="13DB8064" w14:textId="1E79F5FC" w:rsidR="00F5494D" w:rsidRPr="00096655" w:rsidRDefault="008207CA">
      <w:pPr>
        <w:pStyle w:val="ResNo"/>
      </w:pPr>
      <w:r w:rsidRPr="00096655">
        <w:t>Proyecto de nueva Resolución [</w:t>
      </w:r>
      <w:r w:rsidR="00D82070" w:rsidRPr="00096655">
        <w:t>IAP/10(L)-2023] (CMR-19)</w:t>
      </w:r>
    </w:p>
    <w:p w14:paraId="66D93293" w14:textId="77777777" w:rsidR="00D82070" w:rsidRPr="00096655" w:rsidRDefault="00D82070" w:rsidP="00D82070">
      <w:pPr>
        <w:pStyle w:val="Restitle"/>
      </w:pPr>
      <w:r w:rsidRPr="00096655">
        <w:t xml:space="preserve">Orden del día preliminar de la Conferencia Mundial </w:t>
      </w:r>
      <w:r w:rsidR="000748EE" w:rsidRPr="00096655">
        <w:br/>
      </w:r>
      <w:r w:rsidRPr="00096655">
        <w:t>de Radiocomunicaciones de 2023</w:t>
      </w:r>
    </w:p>
    <w:p w14:paraId="35761EB9" w14:textId="196229CC" w:rsidR="00D82070" w:rsidRPr="00096655" w:rsidRDefault="00D82070" w:rsidP="00A86839">
      <w:pPr>
        <w:pStyle w:val="Normalaftertitle"/>
      </w:pPr>
      <w:r w:rsidRPr="00096655">
        <w:t>La Conferencia Mundial de Radiocomunicaciones (</w:t>
      </w:r>
      <w:r w:rsidR="00835748" w:rsidRPr="00096655">
        <w:t>Sharm el-Sheikh</w:t>
      </w:r>
      <w:r w:rsidRPr="00096655">
        <w:t>,</w:t>
      </w:r>
      <w:r w:rsidR="00835748" w:rsidRPr="00096655">
        <w:t> </w:t>
      </w:r>
      <w:r w:rsidRPr="00096655">
        <w:t>2019),</w:t>
      </w:r>
    </w:p>
    <w:p w14:paraId="0F857993" w14:textId="77777777" w:rsidR="00D82070" w:rsidRPr="00096655" w:rsidRDefault="00D82070" w:rsidP="00A86839">
      <w:r w:rsidRPr="00096655">
        <w:t>…</w:t>
      </w:r>
    </w:p>
    <w:p w14:paraId="0E95B221" w14:textId="4B33D204" w:rsidR="00D82070" w:rsidRPr="00096655" w:rsidRDefault="00835748" w:rsidP="00A86839">
      <w:r w:rsidRPr="00096655">
        <w:rPr>
          <w:b/>
        </w:rPr>
        <w:t>X.X</w:t>
      </w:r>
      <w:r w:rsidR="00D82070" w:rsidRPr="00096655">
        <w:rPr>
          <w:b/>
        </w:rPr>
        <w:tab/>
      </w:r>
      <w:r w:rsidR="00D82070" w:rsidRPr="00096655">
        <w:t>considerar una nueva atribución a título primario al servicio fijo por satélite en dirección espacio-Tierra en la banda</w:t>
      </w:r>
      <w:r w:rsidRPr="00096655">
        <w:t xml:space="preserve"> de frecuencias</w:t>
      </w:r>
      <w:r w:rsidR="00D82070" w:rsidRPr="00096655">
        <w:t xml:space="preserve"> 17,3-17,7 GHz en la Región 2, mientras que se protegen los servicios primarios existentes en la banda, de conformidad con la Resolución </w:t>
      </w:r>
      <w:r w:rsidR="00D82070" w:rsidRPr="00096655">
        <w:rPr>
          <w:b/>
          <w:bCs/>
        </w:rPr>
        <w:t>[</w:t>
      </w:r>
      <w:r w:rsidRPr="00096655">
        <w:rPr>
          <w:b/>
          <w:bCs/>
        </w:rPr>
        <w:t>IAP/10(L)-17.3-17.7s-E</w:t>
      </w:r>
      <w:r w:rsidR="00D82070" w:rsidRPr="00096655">
        <w:rPr>
          <w:b/>
          <w:bCs/>
        </w:rPr>
        <w:t>] (CMR-19)</w:t>
      </w:r>
      <w:r w:rsidR="00D82070" w:rsidRPr="00096655">
        <w:t>.</w:t>
      </w:r>
    </w:p>
    <w:p w14:paraId="1FDF5888" w14:textId="77777777" w:rsidR="00F5494D" w:rsidRPr="00096655" w:rsidRDefault="008207CA" w:rsidP="00D82070">
      <w:pPr>
        <w:pStyle w:val="Reasons"/>
      </w:pPr>
      <w:r w:rsidRPr="00096655">
        <w:rPr>
          <w:b/>
        </w:rPr>
        <w:t>Motivos</w:t>
      </w:r>
      <w:r w:rsidRPr="00096655">
        <w:rPr>
          <w:bCs/>
        </w:rPr>
        <w:t>:</w:t>
      </w:r>
      <w:r w:rsidRPr="00096655">
        <w:rPr>
          <w:bCs/>
        </w:rPr>
        <w:tab/>
      </w:r>
      <w:r w:rsidR="00D82070" w:rsidRPr="00096655">
        <w:t>Permitir un uso más eficiente de la banda 17,3-17,7 GHz para servicios por satélite.</w:t>
      </w:r>
    </w:p>
    <w:p w14:paraId="56542A41" w14:textId="77777777" w:rsidR="00F5494D" w:rsidRPr="00096655" w:rsidRDefault="008207CA">
      <w:pPr>
        <w:pStyle w:val="Proposal"/>
      </w:pPr>
      <w:r w:rsidRPr="00096655">
        <w:t>ADD</w:t>
      </w:r>
      <w:r w:rsidRPr="00096655">
        <w:tab/>
        <w:t>IAP/11A24A12/2</w:t>
      </w:r>
    </w:p>
    <w:p w14:paraId="75E5D913" w14:textId="7DCF9556" w:rsidR="00F5494D" w:rsidRPr="00096655" w:rsidRDefault="008207CA">
      <w:pPr>
        <w:pStyle w:val="ResNo"/>
      </w:pPr>
      <w:r w:rsidRPr="00096655">
        <w:t xml:space="preserve">Proyecto de nueva Resolución </w:t>
      </w:r>
      <w:r w:rsidR="00AF3FE2" w:rsidRPr="00096655">
        <w:t>[</w:t>
      </w:r>
      <w:r w:rsidR="00835748" w:rsidRPr="00096655">
        <w:t>IAP/10(L)-17.3-17.7s-E</w:t>
      </w:r>
      <w:r w:rsidR="00AF3FE2" w:rsidRPr="00096655">
        <w:t>] (CMR-19)</w:t>
      </w:r>
    </w:p>
    <w:p w14:paraId="0DC5A976" w14:textId="77777777" w:rsidR="00AF3FE2" w:rsidRPr="00096655" w:rsidRDefault="00AF3FE2" w:rsidP="00AF3FE2">
      <w:pPr>
        <w:pStyle w:val="Restitle"/>
      </w:pPr>
      <w:r w:rsidRPr="00096655">
        <w:t xml:space="preserve">Atribución a título primario al servicio fijo por satélite en el sentido </w:t>
      </w:r>
      <w:r w:rsidR="00A86839" w:rsidRPr="00096655">
        <w:br/>
      </w:r>
      <w:r w:rsidRPr="00096655">
        <w:t>espacio-Tierra en la banda 17,3-17,7 GHz en la Región 2</w:t>
      </w:r>
    </w:p>
    <w:p w14:paraId="7302DB92" w14:textId="07CF2639" w:rsidR="00AF3FE2" w:rsidRPr="00096655" w:rsidRDefault="00AF3FE2" w:rsidP="00A86839">
      <w:pPr>
        <w:pStyle w:val="Normalaftertitle"/>
      </w:pPr>
      <w:r w:rsidRPr="00096655">
        <w:t>La Conferencia Mundial de Radiocomunicaciones (</w:t>
      </w:r>
      <w:r w:rsidR="00835748" w:rsidRPr="00096655">
        <w:t>Sharm el-Sheikh</w:t>
      </w:r>
      <w:r w:rsidRPr="00096655">
        <w:t>,</w:t>
      </w:r>
      <w:r w:rsidR="00835748" w:rsidRPr="00096655">
        <w:t> </w:t>
      </w:r>
      <w:r w:rsidRPr="00096655">
        <w:t>2019),</w:t>
      </w:r>
    </w:p>
    <w:p w14:paraId="4FAE69B9" w14:textId="77777777" w:rsidR="00AF3FE2" w:rsidRPr="00096655" w:rsidRDefault="00AF3FE2" w:rsidP="00A86839">
      <w:pPr>
        <w:pStyle w:val="Call"/>
      </w:pPr>
      <w:r w:rsidRPr="00096655">
        <w:t>considerando</w:t>
      </w:r>
    </w:p>
    <w:p w14:paraId="711AB772" w14:textId="77777777" w:rsidR="00AF3FE2" w:rsidRPr="00096655" w:rsidRDefault="00AF3FE2" w:rsidP="00A86839">
      <w:r w:rsidRPr="00096655">
        <w:rPr>
          <w:i/>
        </w:rPr>
        <w:t>a)</w:t>
      </w:r>
      <w:r w:rsidRPr="00096655">
        <w:rPr>
          <w:i/>
        </w:rPr>
        <w:tab/>
      </w:r>
      <w:r w:rsidRPr="00096655">
        <w:t>la necesidad de fomentar el desarrollo y la implementación de nuevas tecnologías en el servicio fijo por satélite (SFS) para aplicaciones de banda ancha;</w:t>
      </w:r>
    </w:p>
    <w:p w14:paraId="28FC7711" w14:textId="77777777" w:rsidR="00AF3FE2" w:rsidRPr="00096655" w:rsidRDefault="00AF3FE2" w:rsidP="00A86839">
      <w:r w:rsidRPr="00096655">
        <w:rPr>
          <w:i/>
        </w:rPr>
        <w:t>b)</w:t>
      </w:r>
      <w:r w:rsidRPr="00096655">
        <w:rPr>
          <w:i/>
        </w:rPr>
        <w:tab/>
      </w:r>
      <w:r w:rsidRPr="00096655">
        <w:t>que los sistemas del SFS basados en el uso de nuevas tecnologías asociadas con sistemas de satélites geoestacionarios (OSG) son capaces de proporcionar un medio de comunicación de banda ancha con alta capacidad y bajo costo, incluso a las regiones más aisladas del mundo;</w:t>
      </w:r>
    </w:p>
    <w:p w14:paraId="78709B51" w14:textId="4C5FDE78" w:rsidR="00AF3FE2" w:rsidRPr="00096655" w:rsidRDefault="00AF3FE2" w:rsidP="00A86839">
      <w:r w:rsidRPr="00096655">
        <w:rPr>
          <w:i/>
        </w:rPr>
        <w:t>c)</w:t>
      </w:r>
      <w:r w:rsidRPr="00096655">
        <w:rPr>
          <w:i/>
        </w:rPr>
        <w:tab/>
      </w:r>
      <w:r w:rsidRPr="00096655">
        <w:t>que el Reglamento de Radiocomunicaciones debería permitir la introducción de nuevas aplicaciones de la tecnología de radiocomunicaciones para garantizar la operación de tantos sistemas como sea posible con el fin de asegurar un uso eficiente del espectro</w:t>
      </w:r>
      <w:r w:rsidR="00835748" w:rsidRPr="00096655">
        <w:t>,</w:t>
      </w:r>
    </w:p>
    <w:p w14:paraId="130371F5" w14:textId="77777777" w:rsidR="00AF3FE2" w:rsidRPr="00096655" w:rsidRDefault="00AF3FE2" w:rsidP="00A86839">
      <w:pPr>
        <w:pStyle w:val="Call"/>
      </w:pPr>
      <w:r w:rsidRPr="00096655">
        <w:t>reconociendo</w:t>
      </w:r>
    </w:p>
    <w:p w14:paraId="06377D7A" w14:textId="56AC302B" w:rsidR="00AF3FE2" w:rsidRPr="00096655" w:rsidRDefault="00AF3FE2" w:rsidP="00A86839">
      <w:r w:rsidRPr="00096655">
        <w:t xml:space="preserve">la necesidad de preservar y proteger las frecuencias sujetas a la aplicación del Apéndice </w:t>
      </w:r>
      <w:r w:rsidRPr="00096655">
        <w:rPr>
          <w:b/>
          <w:bCs/>
        </w:rPr>
        <w:t>30</w:t>
      </w:r>
      <w:r w:rsidR="00835748" w:rsidRPr="00096655">
        <w:rPr>
          <w:b/>
          <w:bCs/>
        </w:rPr>
        <w:t>A</w:t>
      </w:r>
      <w:r w:rsidR="00835748" w:rsidRPr="00096655">
        <w:t>,</w:t>
      </w:r>
    </w:p>
    <w:p w14:paraId="19D57103" w14:textId="77777777" w:rsidR="00AF3FE2" w:rsidRPr="00096655" w:rsidRDefault="00AF3FE2" w:rsidP="00A86839">
      <w:pPr>
        <w:pStyle w:val="Call"/>
      </w:pPr>
      <w:r w:rsidRPr="00096655">
        <w:t>observando</w:t>
      </w:r>
    </w:p>
    <w:p w14:paraId="2C5D42B4" w14:textId="77777777" w:rsidR="00AF3FE2" w:rsidRPr="00096655" w:rsidRDefault="00AF3FE2" w:rsidP="00A86839">
      <w:r w:rsidRPr="00096655">
        <w:rPr>
          <w:i/>
        </w:rPr>
        <w:t>a)</w:t>
      </w:r>
      <w:r w:rsidRPr="00096655">
        <w:rPr>
          <w:i/>
        </w:rPr>
        <w:tab/>
      </w:r>
      <w:r w:rsidRPr="00096655">
        <w:t>que se ha desarrollado la tecnología para proporcionar un uso más eficiente del espectro;</w:t>
      </w:r>
    </w:p>
    <w:p w14:paraId="10D4B93A" w14:textId="77777777" w:rsidR="00AF3FE2" w:rsidRPr="00096655" w:rsidRDefault="00AF3FE2" w:rsidP="00A86839">
      <w:r w:rsidRPr="00096655">
        <w:rPr>
          <w:i/>
        </w:rPr>
        <w:t>b)</w:t>
      </w:r>
      <w:r w:rsidRPr="00096655">
        <w:rPr>
          <w:i/>
        </w:rPr>
        <w:tab/>
      </w:r>
      <w:r w:rsidRPr="00096655">
        <w:t>que la banda de frecuencias 17,3-17,7 GHz está atribuida</w:t>
      </w:r>
      <w:r w:rsidR="00A86839" w:rsidRPr="00096655">
        <w:t xml:space="preserve"> a título primario en la Región </w:t>
      </w:r>
      <w:r w:rsidRPr="00096655">
        <w:t xml:space="preserve">2 al servicio de radiodifusión por satélite (espacio-Tierra) y al servicio fijo por satélite (Tierra-espacio), sujeta a la aplicación de la nota al pie </w:t>
      </w:r>
      <w:r w:rsidRPr="00096655">
        <w:rPr>
          <w:b/>
          <w:bCs/>
        </w:rPr>
        <w:t>5.516</w:t>
      </w:r>
      <w:r w:rsidRPr="00096655">
        <w:t>;</w:t>
      </w:r>
    </w:p>
    <w:p w14:paraId="4BD2A4A3" w14:textId="68006FAB" w:rsidR="00AF3FE2" w:rsidRPr="00096655" w:rsidRDefault="00AF3FE2" w:rsidP="00A86839">
      <w:r w:rsidRPr="00096655">
        <w:rPr>
          <w:i/>
        </w:rPr>
        <w:lastRenderedPageBreak/>
        <w:t>c)</w:t>
      </w:r>
      <w:r w:rsidRPr="00096655">
        <w:rPr>
          <w:i/>
        </w:rPr>
        <w:tab/>
      </w:r>
      <w:r w:rsidRPr="00096655">
        <w:t>que la compartición del servicio fijo por satélite (Tierra-espacio) y el servicio fijo por satélite (espacio-Tierra) ya se considera en la Región 1 para la banda 17,3-17,7 GHz</w:t>
      </w:r>
      <w:r w:rsidR="00835748" w:rsidRPr="00096655">
        <w:t>;</w:t>
      </w:r>
    </w:p>
    <w:p w14:paraId="6B02CE64" w14:textId="7C62A8E5" w:rsidR="00AF3FE2" w:rsidRPr="00096655" w:rsidRDefault="00AF3FE2" w:rsidP="00A86839">
      <w:r w:rsidRPr="00096655">
        <w:rPr>
          <w:i/>
        </w:rPr>
        <w:t>d)</w:t>
      </w:r>
      <w:r w:rsidRPr="00096655">
        <w:tab/>
        <w:t>que no hay otros servicios primarios en la banda 17,3-17,7 GHz aparte del servicio fijo por satélite y el servicio de radiodifusión por satélite</w:t>
      </w:r>
      <w:r w:rsidR="00835748" w:rsidRPr="00096655">
        <w:t>,</w:t>
      </w:r>
    </w:p>
    <w:p w14:paraId="65B4AF9D" w14:textId="77777777" w:rsidR="00AF3FE2" w:rsidRPr="00096655" w:rsidRDefault="00AF3FE2" w:rsidP="00A86839">
      <w:pPr>
        <w:pStyle w:val="Call"/>
      </w:pPr>
      <w:r w:rsidRPr="00096655">
        <w:t>resuelve</w:t>
      </w:r>
    </w:p>
    <w:p w14:paraId="5FC1F96B" w14:textId="56B3E1C0" w:rsidR="00AF3FE2" w:rsidRPr="00096655" w:rsidRDefault="00AF3FE2" w:rsidP="00A86839">
      <w:r w:rsidRPr="00096655">
        <w:t>que, teniendo en cuenta los resultados de los estudios del UIT-R, la CMR-23 considere una nueva atribución a título primario al servicio fijo por satélite (espacio-Tierra) en la banda 17,3-17,7 GHz para la Región 2, sin imponer limitaciones adicionales a las atribuciones existentes al servicio de radiodifusión por satélite (espacio-Tierra) y al servicio fijo por satélite (Tierra-espacio)</w:t>
      </w:r>
      <w:r w:rsidR="00835748" w:rsidRPr="00096655">
        <w:t>,</w:t>
      </w:r>
    </w:p>
    <w:p w14:paraId="2F8A607A" w14:textId="77777777" w:rsidR="00AF3FE2" w:rsidRPr="00096655" w:rsidRDefault="00AF3FE2" w:rsidP="00A86839">
      <w:pPr>
        <w:pStyle w:val="Call"/>
      </w:pPr>
      <w:r w:rsidRPr="00096655">
        <w:t>resuelve invitar al UIT-R</w:t>
      </w:r>
    </w:p>
    <w:p w14:paraId="6AA403A8" w14:textId="1233B336" w:rsidR="00AF3FE2" w:rsidRPr="00096655" w:rsidRDefault="00AF3FE2" w:rsidP="00A86839">
      <w:r w:rsidRPr="00096655">
        <w:t>a llevar a cabo antes de la CMR-23 estudios de compartición y compatibilidad entre el servicio fijo por satélite (espacio-Tierra) y el servicio de radiodifusión por satélite (espacio-Tierra) y entre el servicio fijo por satélite (espacio-Tierra) y el servicio fijo por satélite (Tierra-espacio)</w:t>
      </w:r>
      <w:r w:rsidR="00835748" w:rsidRPr="00096655">
        <w:t>,</w:t>
      </w:r>
    </w:p>
    <w:p w14:paraId="312D2DFB" w14:textId="77777777" w:rsidR="00AF3FE2" w:rsidRPr="00096655" w:rsidRDefault="00AF3FE2" w:rsidP="00A86839">
      <w:pPr>
        <w:pStyle w:val="Call"/>
      </w:pPr>
      <w:r w:rsidRPr="00096655">
        <w:t>invita a las administraciones</w:t>
      </w:r>
    </w:p>
    <w:p w14:paraId="2D49C9E1" w14:textId="646EE007" w:rsidR="00AF3FE2" w:rsidRPr="00096655" w:rsidRDefault="00AF3FE2" w:rsidP="00A86839">
      <w:r w:rsidRPr="00096655">
        <w:t>a participar activamente en los estudios y proporcionar las características técnicas y operacionales de los sistemas implicados al presentar contribuciones al UIT-R.</w:t>
      </w:r>
    </w:p>
    <w:p w14:paraId="59042961" w14:textId="77777777" w:rsidR="00835748" w:rsidRPr="00096655" w:rsidRDefault="00AF3FE2" w:rsidP="00AF3FE2">
      <w:pPr>
        <w:pStyle w:val="Reasons"/>
      </w:pPr>
      <w:r w:rsidRPr="00096655">
        <w:rPr>
          <w:b/>
        </w:rPr>
        <w:t>Motivos</w:t>
      </w:r>
      <w:r w:rsidRPr="00096655">
        <w:rPr>
          <w:bCs/>
        </w:rPr>
        <w:t>:</w:t>
      </w:r>
      <w:r w:rsidRPr="00096655">
        <w:rPr>
          <w:bCs/>
        </w:rPr>
        <w:tab/>
      </w:r>
      <w:r w:rsidRPr="00096655">
        <w:t>Una resolución apoyará los estudios del UIT-R que se estiman necesarios bajo el punto relevante del orden del día de la CMR-23.</w:t>
      </w:r>
    </w:p>
    <w:p w14:paraId="02D29276" w14:textId="0C955C57" w:rsidR="00AF3FE2" w:rsidRPr="00096655" w:rsidRDefault="00AF3FE2" w:rsidP="00835748">
      <w:r w:rsidRPr="00096655">
        <w:br w:type="page"/>
      </w:r>
    </w:p>
    <w:p w14:paraId="6349648C" w14:textId="77777777" w:rsidR="00AF3FE2" w:rsidRPr="00096655" w:rsidRDefault="00AF3FE2" w:rsidP="00DA38E4">
      <w:pPr>
        <w:pStyle w:val="AnnexNo"/>
      </w:pPr>
      <w:r w:rsidRPr="00096655">
        <w:lastRenderedPageBreak/>
        <w:t>ANEXO</w:t>
      </w:r>
    </w:p>
    <w:p w14:paraId="3C3AFC87" w14:textId="54D448D6" w:rsidR="00AF3FE2" w:rsidRPr="00096655" w:rsidRDefault="00AF3FE2" w:rsidP="00DA38E4">
      <w:pPr>
        <w:pStyle w:val="Annextitle"/>
      </w:pPr>
      <w:r w:rsidRPr="00096655">
        <w:t xml:space="preserve">PROPUESTA DE UN PUNTO ADICIONAL DEL ORDEN DEL DÍA QUE ESTUDIE UNA NUEVA ATRIBUCIÓN AL SERVICIO FIJO POR </w:t>
      </w:r>
      <w:r w:rsidR="00DA38E4" w:rsidRPr="00096655">
        <w:br/>
      </w:r>
      <w:r w:rsidRPr="00096655">
        <w:t>SATÉLITE (ESPACIO-TIERRA) EN LA BANDA 17,3-17,7 GHZ</w:t>
      </w:r>
      <w:bookmarkStart w:id="6" w:name="_GoBack"/>
      <w:bookmarkEnd w:id="6"/>
    </w:p>
    <w:p w14:paraId="3AAEE274" w14:textId="77777777" w:rsidR="00AF3FE2" w:rsidRPr="00096655" w:rsidRDefault="00AF3FE2" w:rsidP="00AF3FE2">
      <w:pPr>
        <w:keepNext/>
        <w:spacing w:before="160"/>
        <w:jc w:val="both"/>
        <w:rPr>
          <w:color w:val="000000"/>
          <w:sz w:val="22"/>
          <w:szCs w:val="22"/>
        </w:rPr>
      </w:pPr>
      <w:r w:rsidRPr="00096655">
        <w:rPr>
          <w:b/>
          <w:color w:val="000000"/>
          <w:sz w:val="22"/>
          <w:szCs w:val="22"/>
        </w:rPr>
        <w:t>Asunto</w:t>
      </w:r>
      <w:r w:rsidRPr="00096655">
        <w:rPr>
          <w:bCs/>
          <w:color w:val="000000"/>
          <w:sz w:val="22"/>
          <w:szCs w:val="22"/>
        </w:rPr>
        <w:t xml:space="preserve">: </w:t>
      </w:r>
      <w:r w:rsidRPr="00096655">
        <w:rPr>
          <w:color w:val="000000"/>
          <w:sz w:val="22"/>
          <w:szCs w:val="22"/>
        </w:rPr>
        <w:t>Propuesta de un punto adicional del orden del día para la CMR-23 que estudie una nueva atribución al servicio fijo por satélite (espacio-Tierra) en la banda 17,3-17,7 GHz.</w:t>
      </w:r>
    </w:p>
    <w:p w14:paraId="3FA934E6" w14:textId="77777777" w:rsidR="00AF3FE2" w:rsidRPr="00096655" w:rsidRDefault="00AF3FE2" w:rsidP="00AF3FE2">
      <w:pPr>
        <w:pBdr>
          <w:bottom w:val="single" w:sz="12" w:space="1" w:color="auto"/>
        </w:pBdr>
        <w:tabs>
          <w:tab w:val="left" w:pos="794"/>
          <w:tab w:val="left" w:pos="1191"/>
          <w:tab w:val="left" w:pos="1588"/>
          <w:tab w:val="left" w:pos="1985"/>
        </w:tabs>
        <w:jc w:val="both"/>
        <w:rPr>
          <w:color w:val="000000"/>
          <w:sz w:val="22"/>
          <w:szCs w:val="22"/>
        </w:rPr>
      </w:pPr>
    </w:p>
    <w:p w14:paraId="595F3C36" w14:textId="48E895E6" w:rsidR="00AF3FE2" w:rsidRPr="00096655" w:rsidRDefault="00AF3FE2" w:rsidP="00AF3FE2">
      <w:pPr>
        <w:tabs>
          <w:tab w:val="left" w:pos="360"/>
          <w:tab w:val="left" w:pos="900"/>
        </w:tabs>
        <w:jc w:val="both"/>
        <w:rPr>
          <w:b/>
          <w:iCs/>
          <w:color w:val="000000"/>
          <w:sz w:val="22"/>
          <w:szCs w:val="22"/>
        </w:rPr>
      </w:pPr>
      <w:r w:rsidRPr="00096655">
        <w:rPr>
          <w:b/>
          <w:bCs/>
          <w:i/>
          <w:iCs/>
          <w:color w:val="000000"/>
          <w:sz w:val="22"/>
          <w:szCs w:val="22"/>
        </w:rPr>
        <w:t>Propuesta</w:t>
      </w:r>
      <w:r w:rsidRPr="00096655">
        <w:rPr>
          <w:i/>
          <w:iCs/>
          <w:color w:val="000000"/>
          <w:sz w:val="22"/>
          <w:szCs w:val="22"/>
        </w:rPr>
        <w:t xml:space="preserve">: considerar una nueva atribución a título primario al servicio fijo por satélite en el </w:t>
      </w:r>
      <w:r w:rsidRPr="00096655">
        <w:rPr>
          <w:b/>
          <w:bCs/>
          <w:i/>
          <w:iCs/>
          <w:color w:val="000000"/>
          <w:sz w:val="22"/>
          <w:szCs w:val="22"/>
        </w:rPr>
        <w:t>sentido espacio-Tierra</w:t>
      </w:r>
      <w:r w:rsidRPr="00096655">
        <w:rPr>
          <w:i/>
          <w:iCs/>
          <w:color w:val="000000"/>
          <w:sz w:val="22"/>
          <w:szCs w:val="22"/>
        </w:rPr>
        <w:t xml:space="preserve"> en la banda 17,3-17,7 GHz en la Región 2, mientras que se protegen los servicios primarios existentes en la banda, de conformidad con la Resolución [</w:t>
      </w:r>
      <w:r w:rsidR="00DA38E4" w:rsidRPr="00096655">
        <w:rPr>
          <w:i/>
          <w:iCs/>
          <w:color w:val="000000"/>
          <w:sz w:val="22"/>
          <w:szCs w:val="22"/>
        </w:rPr>
        <w:t>IAP/10(L)-17.3-17.7s-E</w:t>
      </w:r>
      <w:r w:rsidRPr="00096655">
        <w:rPr>
          <w:i/>
          <w:iCs/>
          <w:color w:val="000000"/>
          <w:sz w:val="22"/>
          <w:szCs w:val="22"/>
        </w:rPr>
        <w:t>] (CMR-19), sin imponer limitaciones adicionales.</w:t>
      </w:r>
    </w:p>
    <w:p w14:paraId="3595C998" w14:textId="77777777" w:rsidR="00AF3FE2" w:rsidRPr="00096655" w:rsidRDefault="00AF3FE2" w:rsidP="00AF3FE2">
      <w:pPr>
        <w:pBdr>
          <w:bottom w:val="single" w:sz="12" w:space="1" w:color="auto"/>
        </w:pBdr>
        <w:tabs>
          <w:tab w:val="left" w:pos="794"/>
          <w:tab w:val="left" w:pos="1191"/>
          <w:tab w:val="left" w:pos="1588"/>
          <w:tab w:val="left" w:pos="1985"/>
        </w:tabs>
        <w:jc w:val="both"/>
        <w:rPr>
          <w:color w:val="000000"/>
          <w:sz w:val="22"/>
          <w:szCs w:val="22"/>
        </w:rPr>
      </w:pPr>
    </w:p>
    <w:p w14:paraId="4E63AE39" w14:textId="77777777" w:rsidR="00AF3FE2" w:rsidRPr="00096655" w:rsidRDefault="00AF3FE2" w:rsidP="00AF3FE2">
      <w:pPr>
        <w:jc w:val="both"/>
        <w:rPr>
          <w:sz w:val="22"/>
          <w:szCs w:val="22"/>
        </w:rPr>
      </w:pPr>
      <w:r w:rsidRPr="00096655">
        <w:rPr>
          <w:b/>
          <w:i/>
          <w:color w:val="000000"/>
          <w:sz w:val="22"/>
          <w:szCs w:val="22"/>
        </w:rPr>
        <w:t>Antecedentes/Motivos</w:t>
      </w:r>
      <w:r w:rsidRPr="00096655">
        <w:rPr>
          <w:bCs/>
          <w:iCs/>
          <w:color w:val="000000"/>
          <w:sz w:val="22"/>
          <w:szCs w:val="22"/>
        </w:rPr>
        <w:t>:</w:t>
      </w:r>
    </w:p>
    <w:p w14:paraId="611FB106" w14:textId="77777777" w:rsidR="00AF3FE2" w:rsidRPr="00096655" w:rsidRDefault="00AF3FE2" w:rsidP="00AF3FE2">
      <w:pPr>
        <w:jc w:val="both"/>
        <w:rPr>
          <w:sz w:val="22"/>
          <w:szCs w:val="22"/>
        </w:rPr>
      </w:pPr>
      <w:r w:rsidRPr="00096655">
        <w:rPr>
          <w:sz w:val="22"/>
          <w:szCs w:val="22"/>
        </w:rPr>
        <w:t>La consideración de esta banda en el sentido espacio-Tierra para el SFS además del SRS en la Región 2, podría satisfacer esta demanda creciente de conectividad en la banda Ka para aplicaciones de banda ancha, que pueden no estar disponibles en virtud de una asignación al SRS. Esto también proporcionaría una mayor flexibilidad en el diseño de nuevos sistemas de satélites y un uso más eficiente del espectro.</w:t>
      </w:r>
    </w:p>
    <w:p w14:paraId="17D717BC" w14:textId="77777777" w:rsidR="00AF3FE2" w:rsidRPr="00096655" w:rsidRDefault="00AF3FE2" w:rsidP="00AF3FE2">
      <w:pPr>
        <w:pBdr>
          <w:bottom w:val="single" w:sz="12" w:space="1" w:color="auto"/>
        </w:pBdr>
        <w:rPr>
          <w:color w:val="000000"/>
          <w:sz w:val="22"/>
          <w:szCs w:val="22"/>
        </w:rPr>
      </w:pPr>
    </w:p>
    <w:p w14:paraId="31B657FF" w14:textId="77777777" w:rsidR="00AF3FE2" w:rsidRPr="00096655" w:rsidRDefault="00AF3FE2" w:rsidP="00AF3FE2">
      <w:pPr>
        <w:rPr>
          <w:bCs/>
          <w:color w:val="000000"/>
          <w:sz w:val="22"/>
          <w:szCs w:val="22"/>
        </w:rPr>
      </w:pPr>
      <w:r w:rsidRPr="00096655">
        <w:rPr>
          <w:b/>
          <w:i/>
          <w:color w:val="000000"/>
          <w:sz w:val="22"/>
          <w:szCs w:val="22"/>
        </w:rPr>
        <w:t>Servicios de radiocomunicaciones en cuestión</w:t>
      </w:r>
      <w:r w:rsidRPr="00096655">
        <w:rPr>
          <w:bCs/>
          <w:iCs/>
          <w:color w:val="000000"/>
          <w:sz w:val="22"/>
          <w:szCs w:val="22"/>
        </w:rPr>
        <w:t xml:space="preserve">: </w:t>
      </w:r>
      <w:r w:rsidRPr="00096655">
        <w:rPr>
          <w:color w:val="000000"/>
          <w:sz w:val="22"/>
          <w:szCs w:val="22"/>
        </w:rPr>
        <w:t>Servicio fijo por satélite, servicio de radiodifusión por satélite</w:t>
      </w:r>
    </w:p>
    <w:p w14:paraId="3B5A9D2A" w14:textId="77777777" w:rsidR="00AF3FE2" w:rsidRPr="00096655" w:rsidRDefault="00AF3FE2" w:rsidP="00AF3FE2">
      <w:pPr>
        <w:pBdr>
          <w:bottom w:val="single" w:sz="12" w:space="1" w:color="auto"/>
        </w:pBdr>
        <w:rPr>
          <w:color w:val="000000"/>
          <w:sz w:val="22"/>
          <w:szCs w:val="22"/>
        </w:rPr>
      </w:pPr>
    </w:p>
    <w:p w14:paraId="1E4C31B2" w14:textId="77777777" w:rsidR="00AF3FE2" w:rsidRPr="00096655" w:rsidRDefault="00AF3FE2" w:rsidP="00AF3FE2">
      <w:pPr>
        <w:rPr>
          <w:b/>
          <w:bCs/>
          <w:i/>
          <w:color w:val="000000"/>
          <w:sz w:val="22"/>
          <w:szCs w:val="22"/>
        </w:rPr>
      </w:pPr>
      <w:r w:rsidRPr="00096655">
        <w:rPr>
          <w:b/>
          <w:i/>
          <w:color w:val="000000"/>
          <w:sz w:val="22"/>
          <w:szCs w:val="22"/>
        </w:rPr>
        <w:t>Indicación de posibles dificultades</w:t>
      </w:r>
      <w:r w:rsidRPr="00096655">
        <w:rPr>
          <w:bCs/>
          <w:iCs/>
          <w:color w:val="000000"/>
          <w:sz w:val="22"/>
          <w:szCs w:val="22"/>
        </w:rPr>
        <w:t xml:space="preserve">: </w:t>
      </w:r>
      <w:r w:rsidRPr="00096655">
        <w:rPr>
          <w:color w:val="000000"/>
          <w:sz w:val="22"/>
          <w:szCs w:val="22"/>
        </w:rPr>
        <w:t>Ninguna prevista</w:t>
      </w:r>
    </w:p>
    <w:p w14:paraId="6C1B408B" w14:textId="77777777" w:rsidR="00AF3FE2" w:rsidRPr="00096655" w:rsidRDefault="00AF3FE2" w:rsidP="00AF3FE2">
      <w:pPr>
        <w:pBdr>
          <w:bottom w:val="single" w:sz="12" w:space="1" w:color="auto"/>
        </w:pBdr>
        <w:rPr>
          <w:color w:val="000000"/>
          <w:sz w:val="22"/>
          <w:szCs w:val="22"/>
        </w:rPr>
      </w:pPr>
    </w:p>
    <w:p w14:paraId="6C880E41" w14:textId="77777777" w:rsidR="00AF3FE2" w:rsidRPr="00096655" w:rsidRDefault="00AF3FE2" w:rsidP="00AF3FE2">
      <w:pPr>
        <w:rPr>
          <w:b/>
          <w:bCs/>
          <w:i/>
          <w:color w:val="000000"/>
          <w:sz w:val="22"/>
          <w:szCs w:val="22"/>
        </w:rPr>
      </w:pPr>
      <w:r w:rsidRPr="00096655">
        <w:rPr>
          <w:b/>
          <w:i/>
          <w:color w:val="000000"/>
          <w:sz w:val="22"/>
          <w:szCs w:val="22"/>
        </w:rPr>
        <w:t>Estudios previos o en curso sobre el tema</w:t>
      </w:r>
      <w:r w:rsidRPr="00096655">
        <w:rPr>
          <w:bCs/>
          <w:iCs/>
          <w:color w:val="000000"/>
          <w:sz w:val="22"/>
          <w:szCs w:val="22"/>
        </w:rPr>
        <w:t xml:space="preserve">: </w:t>
      </w:r>
      <w:r w:rsidRPr="00096655">
        <w:rPr>
          <w:color w:val="000000"/>
          <w:sz w:val="22"/>
          <w:szCs w:val="22"/>
        </w:rPr>
        <w:t>Ninguno a la fecha</w:t>
      </w:r>
    </w:p>
    <w:p w14:paraId="3A97B3E6" w14:textId="77777777" w:rsidR="00AF3FE2" w:rsidRPr="00096655" w:rsidRDefault="00AF3FE2" w:rsidP="00AF3FE2">
      <w:pPr>
        <w:pBdr>
          <w:bottom w:val="single" w:sz="12" w:space="1" w:color="auto"/>
        </w:pBdr>
        <w:rPr>
          <w:color w:val="000000"/>
          <w:sz w:val="22"/>
          <w:szCs w:val="22"/>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536"/>
        <w:gridCol w:w="4800"/>
      </w:tblGrid>
      <w:tr w:rsidR="00AF3FE2" w:rsidRPr="00096655" w14:paraId="02C74057" w14:textId="77777777" w:rsidTr="007B2286">
        <w:trPr>
          <w:jc w:val="center"/>
        </w:trPr>
        <w:tc>
          <w:tcPr>
            <w:tcW w:w="4536" w:type="dxa"/>
            <w:tcBorders>
              <w:top w:val="nil"/>
              <w:left w:val="nil"/>
              <w:bottom w:val="single" w:sz="12" w:space="0" w:color="auto"/>
              <w:right w:val="single" w:sz="12" w:space="0" w:color="auto"/>
            </w:tcBorders>
          </w:tcPr>
          <w:p w14:paraId="68DD41C3" w14:textId="77777777" w:rsidR="00AF3FE2" w:rsidRPr="00096655" w:rsidRDefault="00AF3FE2" w:rsidP="00075B82">
            <w:pPr>
              <w:framePr w:hSpace="181" w:wrap="notBeside" w:vAnchor="text" w:hAnchor="text" w:xAlign="center" w:y="1"/>
              <w:tabs>
                <w:tab w:val="left" w:pos="4366"/>
              </w:tabs>
              <w:rPr>
                <w:b/>
                <w:bCs/>
                <w:i/>
                <w:iCs/>
                <w:color w:val="000000"/>
                <w:sz w:val="22"/>
                <w:szCs w:val="22"/>
              </w:rPr>
            </w:pPr>
            <w:r w:rsidRPr="00096655">
              <w:rPr>
                <w:b/>
                <w:i/>
                <w:color w:val="000000"/>
                <w:sz w:val="22"/>
                <w:szCs w:val="22"/>
              </w:rPr>
              <w:t xml:space="preserve">Estudios que han de efectuarse a cargo de: </w:t>
            </w:r>
            <w:r w:rsidRPr="00096655">
              <w:rPr>
                <w:color w:val="000000"/>
                <w:sz w:val="22"/>
                <w:szCs w:val="22"/>
              </w:rPr>
              <w:t>CE 4</w:t>
            </w:r>
          </w:p>
        </w:tc>
        <w:tc>
          <w:tcPr>
            <w:tcW w:w="4800" w:type="dxa"/>
            <w:tcBorders>
              <w:top w:val="nil"/>
              <w:left w:val="single" w:sz="12" w:space="0" w:color="auto"/>
              <w:bottom w:val="single" w:sz="12" w:space="0" w:color="auto"/>
              <w:right w:val="nil"/>
            </w:tcBorders>
          </w:tcPr>
          <w:p w14:paraId="0B30D36C" w14:textId="77777777" w:rsidR="00AF3FE2" w:rsidRPr="00096655" w:rsidRDefault="00AF3FE2" w:rsidP="00075B82">
            <w:pPr>
              <w:framePr w:hSpace="181" w:wrap="notBeside" w:vAnchor="text" w:hAnchor="text" w:xAlign="center" w:y="1"/>
              <w:tabs>
                <w:tab w:val="left" w:pos="360"/>
                <w:tab w:val="left" w:pos="900"/>
                <w:tab w:val="left" w:pos="4366"/>
              </w:tabs>
              <w:ind w:left="113"/>
              <w:rPr>
                <w:i/>
                <w:iCs/>
                <w:color w:val="000000"/>
                <w:sz w:val="22"/>
                <w:szCs w:val="22"/>
              </w:rPr>
            </w:pPr>
            <w:r w:rsidRPr="00096655">
              <w:rPr>
                <w:i/>
                <w:iCs/>
                <w:color w:val="000000"/>
                <w:sz w:val="22"/>
                <w:szCs w:val="22"/>
              </w:rPr>
              <w:t xml:space="preserve">con participación de: </w:t>
            </w:r>
          </w:p>
          <w:p w14:paraId="6B2B9A31" w14:textId="77777777" w:rsidR="00AF3FE2" w:rsidRPr="00096655" w:rsidRDefault="00AF3FE2" w:rsidP="00075B82">
            <w:pPr>
              <w:framePr w:hSpace="181" w:wrap="notBeside" w:vAnchor="text" w:hAnchor="text" w:xAlign="center" w:y="1"/>
              <w:tabs>
                <w:tab w:val="left" w:pos="4366"/>
              </w:tabs>
              <w:rPr>
                <w:b/>
                <w:bCs/>
                <w:i/>
                <w:iCs/>
                <w:color w:val="000000"/>
                <w:sz w:val="22"/>
                <w:szCs w:val="22"/>
              </w:rPr>
            </w:pPr>
          </w:p>
        </w:tc>
      </w:tr>
    </w:tbl>
    <w:p w14:paraId="30FC0ADF" w14:textId="77777777" w:rsidR="00AF3FE2" w:rsidRPr="00096655" w:rsidRDefault="00AF3FE2" w:rsidP="00AF3FE2">
      <w:pPr>
        <w:rPr>
          <w:bCs/>
          <w:color w:val="000000"/>
          <w:sz w:val="22"/>
          <w:szCs w:val="22"/>
        </w:rPr>
      </w:pPr>
      <w:r w:rsidRPr="00096655">
        <w:rPr>
          <w:b/>
          <w:i/>
          <w:color w:val="000000"/>
          <w:sz w:val="22"/>
          <w:szCs w:val="22"/>
        </w:rPr>
        <w:t>Comisiones de estudio del UIT-R interesadas: CE 5</w:t>
      </w:r>
    </w:p>
    <w:p w14:paraId="5039C882" w14:textId="77777777" w:rsidR="00AF3FE2" w:rsidRPr="00096655" w:rsidRDefault="00AF3FE2" w:rsidP="00AF3FE2">
      <w:pPr>
        <w:pBdr>
          <w:bottom w:val="single" w:sz="12" w:space="1" w:color="auto"/>
        </w:pBdr>
        <w:rPr>
          <w:color w:val="000000"/>
          <w:sz w:val="22"/>
          <w:szCs w:val="22"/>
        </w:rPr>
      </w:pPr>
    </w:p>
    <w:p w14:paraId="53CDF63F" w14:textId="77777777" w:rsidR="00AF3FE2" w:rsidRPr="00096655" w:rsidRDefault="00AF3FE2" w:rsidP="00AF3FE2">
      <w:pPr>
        <w:tabs>
          <w:tab w:val="left" w:pos="360"/>
          <w:tab w:val="left" w:pos="900"/>
        </w:tabs>
        <w:rPr>
          <w:i/>
          <w:iCs/>
          <w:color w:val="000000"/>
          <w:sz w:val="22"/>
          <w:szCs w:val="22"/>
        </w:rPr>
      </w:pPr>
      <w:r w:rsidRPr="00096655">
        <w:rPr>
          <w:i/>
          <w:iCs/>
          <w:color w:val="000000"/>
          <w:sz w:val="22"/>
          <w:szCs w:val="22"/>
        </w:rPr>
        <w:t xml:space="preserve">Consecuencias en los recursos de la UIT, incluidas las implicaciones financieras (véase el CV126): </w:t>
      </w:r>
      <w:r w:rsidRPr="00096655">
        <w:rPr>
          <w:b/>
          <w:iCs/>
          <w:color w:val="000000"/>
          <w:sz w:val="22"/>
          <w:szCs w:val="22"/>
        </w:rPr>
        <w:t>Mínimas</w:t>
      </w:r>
    </w:p>
    <w:p w14:paraId="1F6CB29E" w14:textId="77777777" w:rsidR="00AF3FE2" w:rsidRPr="00096655" w:rsidRDefault="00AF3FE2" w:rsidP="00AF3FE2">
      <w:pPr>
        <w:pBdr>
          <w:bottom w:val="single" w:sz="12" w:space="1" w:color="auto"/>
        </w:pBdr>
        <w:rPr>
          <w:color w:val="000000"/>
          <w:sz w:val="22"/>
          <w:szCs w:val="22"/>
        </w:rPr>
      </w:pPr>
    </w:p>
    <w:p w14:paraId="280D282C" w14:textId="77777777" w:rsidR="00AF3FE2" w:rsidRPr="00096655" w:rsidRDefault="00AF3FE2" w:rsidP="00AF3FE2">
      <w:pPr>
        <w:tabs>
          <w:tab w:val="left" w:pos="4366"/>
        </w:tabs>
        <w:rPr>
          <w:color w:val="000000"/>
          <w:sz w:val="22"/>
          <w:szCs w:val="22"/>
        </w:rPr>
      </w:pPr>
      <w:r w:rsidRPr="00096655">
        <w:rPr>
          <w:b/>
          <w:i/>
          <w:color w:val="000000"/>
          <w:sz w:val="22"/>
          <w:szCs w:val="22"/>
        </w:rPr>
        <w:t>Propuesta regional común</w:t>
      </w:r>
      <w:r w:rsidRPr="00096655">
        <w:rPr>
          <w:bCs/>
          <w:iCs/>
          <w:color w:val="000000"/>
          <w:sz w:val="22"/>
          <w:szCs w:val="22"/>
        </w:rPr>
        <w:t>:</w:t>
      </w:r>
      <w:r w:rsidR="008207CA" w:rsidRPr="00096655">
        <w:rPr>
          <w:bCs/>
          <w:iCs/>
          <w:color w:val="000000"/>
          <w:sz w:val="22"/>
          <w:szCs w:val="22"/>
        </w:rPr>
        <w:t xml:space="preserve"> </w:t>
      </w:r>
      <w:r w:rsidRPr="00096655">
        <w:rPr>
          <w:color w:val="000000"/>
          <w:sz w:val="22"/>
          <w:szCs w:val="22"/>
        </w:rPr>
        <w:t>Sí/No</w:t>
      </w:r>
      <w:r w:rsidRPr="00096655">
        <w:rPr>
          <w:color w:val="000000"/>
          <w:sz w:val="22"/>
          <w:szCs w:val="22"/>
        </w:rPr>
        <w:tab/>
      </w:r>
      <w:r w:rsidRPr="00096655">
        <w:rPr>
          <w:b/>
          <w:i/>
          <w:color w:val="000000"/>
          <w:sz w:val="22"/>
          <w:szCs w:val="22"/>
        </w:rPr>
        <w:t>Propuesta multipaís</w:t>
      </w:r>
      <w:r w:rsidRPr="00096655">
        <w:rPr>
          <w:bCs/>
          <w:iCs/>
          <w:color w:val="000000"/>
          <w:sz w:val="22"/>
          <w:szCs w:val="22"/>
        </w:rPr>
        <w:t xml:space="preserve">: </w:t>
      </w:r>
      <w:r w:rsidRPr="00096655">
        <w:rPr>
          <w:color w:val="000000"/>
          <w:sz w:val="22"/>
          <w:szCs w:val="22"/>
        </w:rPr>
        <w:t>Sí/No</w:t>
      </w:r>
    </w:p>
    <w:p w14:paraId="1BCAF27C" w14:textId="77777777" w:rsidR="00AF3FE2" w:rsidRPr="00096655" w:rsidRDefault="00AF3FE2" w:rsidP="00AF3FE2">
      <w:pPr>
        <w:tabs>
          <w:tab w:val="left" w:pos="360"/>
          <w:tab w:val="left" w:pos="900"/>
          <w:tab w:val="left" w:pos="4366"/>
        </w:tabs>
        <w:rPr>
          <w:color w:val="000000"/>
          <w:sz w:val="22"/>
          <w:szCs w:val="22"/>
        </w:rPr>
      </w:pPr>
      <w:r w:rsidRPr="00096655">
        <w:rPr>
          <w:i/>
          <w:iCs/>
          <w:color w:val="000000"/>
          <w:sz w:val="22"/>
          <w:szCs w:val="22"/>
        </w:rPr>
        <w:tab/>
        <w:t>Número de países</w:t>
      </w:r>
      <w:r w:rsidRPr="00096655">
        <w:rPr>
          <w:color w:val="000000"/>
          <w:sz w:val="22"/>
          <w:szCs w:val="22"/>
        </w:rPr>
        <w:t>:</w:t>
      </w:r>
    </w:p>
    <w:p w14:paraId="53C531FF" w14:textId="77777777" w:rsidR="00AF3FE2" w:rsidRPr="00096655" w:rsidRDefault="00AF3FE2" w:rsidP="00AF3FE2">
      <w:pPr>
        <w:pBdr>
          <w:bottom w:val="single" w:sz="12" w:space="1" w:color="auto"/>
        </w:pBdr>
        <w:rPr>
          <w:color w:val="000000"/>
          <w:sz w:val="22"/>
          <w:szCs w:val="22"/>
        </w:rPr>
      </w:pPr>
    </w:p>
    <w:p w14:paraId="4F1BF142" w14:textId="77777777" w:rsidR="00AF3FE2" w:rsidRPr="00096655" w:rsidRDefault="00AF3FE2" w:rsidP="00AF3FE2">
      <w:pPr>
        <w:rPr>
          <w:color w:val="000000"/>
          <w:sz w:val="22"/>
          <w:szCs w:val="22"/>
        </w:rPr>
      </w:pPr>
      <w:r w:rsidRPr="00096655">
        <w:rPr>
          <w:b/>
          <w:i/>
          <w:color w:val="000000"/>
          <w:sz w:val="22"/>
          <w:szCs w:val="22"/>
        </w:rPr>
        <w:t>Observaciones</w:t>
      </w:r>
    </w:p>
    <w:p w14:paraId="5DDBB6CC" w14:textId="77777777" w:rsidR="00C73812" w:rsidRPr="00096655" w:rsidRDefault="00C73812">
      <w:pPr>
        <w:jc w:val="center"/>
      </w:pPr>
      <w:r w:rsidRPr="00096655">
        <w:t>______________</w:t>
      </w:r>
    </w:p>
    <w:sectPr w:rsidR="00C73812" w:rsidRPr="00096655">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F666C" w14:textId="77777777" w:rsidR="00FD03C4" w:rsidRDefault="00FD03C4">
      <w:r>
        <w:separator/>
      </w:r>
    </w:p>
  </w:endnote>
  <w:endnote w:type="continuationSeparator" w:id="0">
    <w:p w14:paraId="6FE663D5"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AEE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ED706C" w14:textId="0688923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35748">
      <w:rPr>
        <w:noProof/>
      </w:rPr>
      <w:t>26.09.19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5D423" w14:textId="77777777" w:rsidR="0077084A" w:rsidRDefault="00B64FF6" w:rsidP="00B64FF6">
    <w:pPr>
      <w:pStyle w:val="Footer"/>
      <w:rPr>
        <w:lang w:val="en-US"/>
      </w:rPr>
    </w:pPr>
    <w:r>
      <w:fldChar w:fldCharType="begin"/>
    </w:r>
    <w:r w:rsidRPr="00B64FF6">
      <w:rPr>
        <w:lang w:val="en-US"/>
      </w:rPr>
      <w:instrText xml:space="preserve"> FILENAME \p  \* MERGEFORMAT </w:instrText>
    </w:r>
    <w:r>
      <w:fldChar w:fldCharType="separate"/>
    </w:r>
    <w:r w:rsidRPr="00B64FF6">
      <w:rPr>
        <w:lang w:val="en-US"/>
      </w:rPr>
      <w:t>P:\ESP\ITU-R\CONF-R\CMR19\000\011ADD24ADD12S.docx</w:t>
    </w:r>
    <w:r>
      <w:fldChar w:fldCharType="end"/>
    </w:r>
    <w:r w:rsidRPr="00B64FF6">
      <w:rPr>
        <w:lang w:val="en-US"/>
      </w:rPr>
      <w:t xml:space="preserve"> (460777)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E0BB" w14:textId="77777777" w:rsidR="0077084A" w:rsidRPr="00B64FF6" w:rsidRDefault="00B64FF6" w:rsidP="00B64FF6">
    <w:pPr>
      <w:pStyle w:val="Footer"/>
      <w:rPr>
        <w:lang w:val="en-US"/>
      </w:rPr>
    </w:pPr>
    <w:r>
      <w:fldChar w:fldCharType="begin"/>
    </w:r>
    <w:r w:rsidRPr="00B64FF6">
      <w:rPr>
        <w:lang w:val="en-US"/>
      </w:rPr>
      <w:instrText xml:space="preserve"> FILENAME \p  \* MERGEFORMAT </w:instrText>
    </w:r>
    <w:r>
      <w:fldChar w:fldCharType="separate"/>
    </w:r>
    <w:r w:rsidRPr="00B64FF6">
      <w:rPr>
        <w:lang w:val="en-US"/>
      </w:rPr>
      <w:t>P:\ESP\ITU-R\CONF-R\CMR19\000\011ADD24ADD12S.docx</w:t>
    </w:r>
    <w:r>
      <w:fldChar w:fldCharType="end"/>
    </w:r>
    <w:r w:rsidRPr="00B64FF6">
      <w:rPr>
        <w:lang w:val="en-US"/>
      </w:rPr>
      <w:t xml:space="preserve"> (460777)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4224" w14:textId="77777777" w:rsidR="00FD03C4" w:rsidRDefault="00FD03C4">
      <w:r>
        <w:rPr>
          <w:b/>
        </w:rPr>
        <w:t>_______________</w:t>
      </w:r>
    </w:p>
  </w:footnote>
  <w:footnote w:type="continuationSeparator" w:id="0">
    <w:p w14:paraId="5F0D3BAF"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379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AA6CDCF"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48EE"/>
    <w:rsid w:val="00087AE8"/>
    <w:rsid w:val="00096655"/>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02F1"/>
    <w:rsid w:val="0045384C"/>
    <w:rsid w:val="00454553"/>
    <w:rsid w:val="00472A86"/>
    <w:rsid w:val="004B124A"/>
    <w:rsid w:val="004B3095"/>
    <w:rsid w:val="004D2C7C"/>
    <w:rsid w:val="005133B5"/>
    <w:rsid w:val="00524392"/>
    <w:rsid w:val="00532097"/>
    <w:rsid w:val="00543E9C"/>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B2286"/>
    <w:rsid w:val="007C0B95"/>
    <w:rsid w:val="007C2317"/>
    <w:rsid w:val="007D330A"/>
    <w:rsid w:val="008207CA"/>
    <w:rsid w:val="00835748"/>
    <w:rsid w:val="00866AE6"/>
    <w:rsid w:val="008750A8"/>
    <w:rsid w:val="008E5AF2"/>
    <w:rsid w:val="0090121B"/>
    <w:rsid w:val="009144C9"/>
    <w:rsid w:val="0094091F"/>
    <w:rsid w:val="00962171"/>
    <w:rsid w:val="00971124"/>
    <w:rsid w:val="00973754"/>
    <w:rsid w:val="009C0BED"/>
    <w:rsid w:val="009E11EC"/>
    <w:rsid w:val="00A021CC"/>
    <w:rsid w:val="00A118DB"/>
    <w:rsid w:val="00A4450C"/>
    <w:rsid w:val="00A86839"/>
    <w:rsid w:val="00AA5E41"/>
    <w:rsid w:val="00AA5E6C"/>
    <w:rsid w:val="00AE5677"/>
    <w:rsid w:val="00AE658F"/>
    <w:rsid w:val="00AF2F78"/>
    <w:rsid w:val="00AF3FE2"/>
    <w:rsid w:val="00B239FA"/>
    <w:rsid w:val="00B47331"/>
    <w:rsid w:val="00B50746"/>
    <w:rsid w:val="00B52D55"/>
    <w:rsid w:val="00B64FF6"/>
    <w:rsid w:val="00B8288C"/>
    <w:rsid w:val="00B86034"/>
    <w:rsid w:val="00BE2E80"/>
    <w:rsid w:val="00BE5EDD"/>
    <w:rsid w:val="00BE6A1F"/>
    <w:rsid w:val="00C126C4"/>
    <w:rsid w:val="00C44E9E"/>
    <w:rsid w:val="00C63EB5"/>
    <w:rsid w:val="00C73812"/>
    <w:rsid w:val="00C87DA7"/>
    <w:rsid w:val="00CC01E0"/>
    <w:rsid w:val="00CD5FEE"/>
    <w:rsid w:val="00CE60D2"/>
    <w:rsid w:val="00CE7431"/>
    <w:rsid w:val="00D0288A"/>
    <w:rsid w:val="00D72A5D"/>
    <w:rsid w:val="00D82070"/>
    <w:rsid w:val="00DA38E4"/>
    <w:rsid w:val="00DA71A3"/>
    <w:rsid w:val="00DC629B"/>
    <w:rsid w:val="00DE1C31"/>
    <w:rsid w:val="00E05BFF"/>
    <w:rsid w:val="00E262F1"/>
    <w:rsid w:val="00E3176A"/>
    <w:rsid w:val="00E54754"/>
    <w:rsid w:val="00E56BD3"/>
    <w:rsid w:val="00E71D14"/>
    <w:rsid w:val="00EA77F0"/>
    <w:rsid w:val="00F24011"/>
    <w:rsid w:val="00F32316"/>
    <w:rsid w:val="00F5494D"/>
    <w:rsid w:val="00F66597"/>
    <w:rsid w:val="00F675D0"/>
    <w:rsid w:val="00F8150C"/>
    <w:rsid w:val="00FD03C4"/>
    <w:rsid w:val="00FE4574"/>
    <w:rsid w:val="00FE69ED"/>
    <w:rsid w:val="00FF13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02226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D820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207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793AC-43EF-44E0-8E3A-46734AC025A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A90444EC-98B4-4100-872C-660AE235812D}">
  <ds:schemaRefs>
    <ds:schemaRef ds:uri="http://schemas.microsoft.com/sharepoint/events"/>
  </ds:schemaRefs>
</ds:datastoreItem>
</file>

<file path=customXml/itemProps3.xml><?xml version="1.0" encoding="utf-8"?>
<ds:datastoreItem xmlns:ds="http://schemas.openxmlformats.org/officeDocument/2006/customXml" ds:itemID="{39360481-D62F-4827-A154-0F9B719EDE43}">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0E5AF1-6539-4F87-A51D-DE1C5B68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1161</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R16-WRC19-C-0011!A24-A12!MSW-S</vt:lpstr>
    </vt:vector>
  </TitlesOfParts>
  <Manager>Secretaría General - Pool</Manager>
  <Company>Unión Internacional de Telecomunicaciones (UIT)</Company>
  <LinksUpToDate>false</LinksUpToDate>
  <CharactersWithSpaces>7623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R16-WRC19-C-0011!A24-A12!MSW-S</dc:title>
  <dc:subject>Conferencia Mundial de Radiocomunicaciones - 2019</dc:subject>
  <dc:creator>Documents Proposals Manager (DPM)</dc:creator>
  <cp:keywords>DPM_v2019.9.25.1_prod</cp:keywords>
  <dc:description/>
  <cp:lastModifiedBy>Spanish</cp:lastModifiedBy>
  <cp:revision>14</cp:revision>
  <cp:lastPrinted>2003-02-19T20:20:00Z</cp:lastPrinted>
  <dcterms:created xsi:type="dcterms:W3CDTF">2019-09-26T07:02:00Z</dcterms:created>
  <dcterms:modified xsi:type="dcterms:W3CDTF">2019-09-27T12:29:00Z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