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8133B" w14:paraId="151DDDD0" w14:textId="77777777" w:rsidTr="00E6683A">
        <w:trPr>
          <w:cantSplit/>
        </w:trPr>
        <w:tc>
          <w:tcPr>
            <w:tcW w:w="6804" w:type="dxa"/>
          </w:tcPr>
          <w:p w14:paraId="2808DC33" w14:textId="77777777" w:rsidR="0090121B" w:rsidRPr="00C8133B" w:rsidRDefault="005D46FB" w:rsidP="00C44E9E">
            <w:pPr>
              <w:spacing w:before="400" w:after="48" w:line="240" w:lineRule="atLeast"/>
              <w:rPr>
                <w:rFonts w:ascii="Verdana" w:hAnsi="Verdana"/>
                <w:position w:val="6"/>
                <w:lang w:val="es-ES"/>
              </w:rPr>
            </w:pPr>
            <w:r w:rsidRPr="00C8133B">
              <w:rPr>
                <w:rFonts w:ascii="Verdana" w:hAnsi="Verdana" w:cs="Times"/>
                <w:b/>
                <w:position w:val="6"/>
                <w:sz w:val="20"/>
                <w:lang w:val="es-ES"/>
              </w:rPr>
              <w:t>Conferencia Mundial de Radiocomunicaciones (CMR-1</w:t>
            </w:r>
            <w:r w:rsidR="00C44E9E" w:rsidRPr="00C8133B">
              <w:rPr>
                <w:rFonts w:ascii="Verdana" w:hAnsi="Verdana" w:cs="Times"/>
                <w:b/>
                <w:position w:val="6"/>
                <w:sz w:val="20"/>
                <w:lang w:val="es-ES"/>
              </w:rPr>
              <w:t>9</w:t>
            </w:r>
            <w:r w:rsidRPr="00C8133B">
              <w:rPr>
                <w:rFonts w:ascii="Verdana" w:hAnsi="Verdana" w:cs="Times"/>
                <w:b/>
                <w:position w:val="6"/>
                <w:sz w:val="20"/>
                <w:lang w:val="es-ES"/>
              </w:rPr>
              <w:t>)</w:t>
            </w:r>
            <w:r w:rsidRPr="00C8133B">
              <w:rPr>
                <w:rFonts w:ascii="Verdana" w:hAnsi="Verdana" w:cs="Times"/>
                <w:b/>
                <w:position w:val="6"/>
                <w:sz w:val="20"/>
                <w:lang w:val="es-ES"/>
              </w:rPr>
              <w:br/>
            </w:r>
            <w:r w:rsidR="006124AD" w:rsidRPr="00C8133B">
              <w:rPr>
                <w:rFonts w:ascii="Verdana" w:hAnsi="Verdana"/>
                <w:b/>
                <w:bCs/>
                <w:position w:val="6"/>
                <w:sz w:val="17"/>
                <w:szCs w:val="17"/>
                <w:lang w:val="es-ES"/>
              </w:rPr>
              <w:t>Sharm el-Sheikh (Egipto)</w:t>
            </w:r>
            <w:r w:rsidRPr="00C8133B">
              <w:rPr>
                <w:rFonts w:ascii="Verdana" w:hAnsi="Verdana"/>
                <w:b/>
                <w:bCs/>
                <w:position w:val="6"/>
                <w:sz w:val="17"/>
                <w:szCs w:val="17"/>
                <w:lang w:val="es-ES"/>
              </w:rPr>
              <w:t>, 2</w:t>
            </w:r>
            <w:r w:rsidR="00C44E9E" w:rsidRPr="00C8133B">
              <w:rPr>
                <w:rFonts w:ascii="Verdana" w:hAnsi="Verdana"/>
                <w:b/>
                <w:bCs/>
                <w:position w:val="6"/>
                <w:sz w:val="17"/>
                <w:szCs w:val="17"/>
                <w:lang w:val="es-ES"/>
              </w:rPr>
              <w:t xml:space="preserve">8 de octubre </w:t>
            </w:r>
            <w:r w:rsidR="00DE1C31" w:rsidRPr="00C8133B">
              <w:rPr>
                <w:rFonts w:ascii="Verdana" w:hAnsi="Verdana"/>
                <w:b/>
                <w:bCs/>
                <w:position w:val="6"/>
                <w:sz w:val="17"/>
                <w:szCs w:val="17"/>
                <w:lang w:val="es-ES"/>
              </w:rPr>
              <w:t>–</w:t>
            </w:r>
            <w:r w:rsidR="00C44E9E" w:rsidRPr="00C8133B">
              <w:rPr>
                <w:rFonts w:ascii="Verdana" w:hAnsi="Verdana"/>
                <w:b/>
                <w:bCs/>
                <w:position w:val="6"/>
                <w:sz w:val="17"/>
                <w:szCs w:val="17"/>
                <w:lang w:val="es-ES"/>
              </w:rPr>
              <w:t xml:space="preserve"> </w:t>
            </w:r>
            <w:r w:rsidRPr="00C8133B">
              <w:rPr>
                <w:rFonts w:ascii="Verdana" w:hAnsi="Verdana"/>
                <w:b/>
                <w:bCs/>
                <w:position w:val="6"/>
                <w:sz w:val="17"/>
                <w:szCs w:val="17"/>
                <w:lang w:val="es-ES"/>
              </w:rPr>
              <w:t>2</w:t>
            </w:r>
            <w:r w:rsidR="00C44E9E" w:rsidRPr="00C8133B">
              <w:rPr>
                <w:rFonts w:ascii="Verdana" w:hAnsi="Verdana"/>
                <w:b/>
                <w:bCs/>
                <w:position w:val="6"/>
                <w:sz w:val="17"/>
                <w:szCs w:val="17"/>
                <w:lang w:val="es-ES"/>
              </w:rPr>
              <w:t>2</w:t>
            </w:r>
            <w:r w:rsidRPr="00C8133B">
              <w:rPr>
                <w:rFonts w:ascii="Verdana" w:hAnsi="Verdana"/>
                <w:b/>
                <w:bCs/>
                <w:position w:val="6"/>
                <w:sz w:val="17"/>
                <w:szCs w:val="17"/>
                <w:lang w:val="es-ES"/>
              </w:rPr>
              <w:t xml:space="preserve"> de noviembre de 201</w:t>
            </w:r>
            <w:r w:rsidR="00C44E9E" w:rsidRPr="00C8133B">
              <w:rPr>
                <w:rFonts w:ascii="Verdana" w:hAnsi="Verdana"/>
                <w:b/>
                <w:bCs/>
                <w:position w:val="6"/>
                <w:sz w:val="17"/>
                <w:szCs w:val="17"/>
                <w:lang w:val="es-ES"/>
              </w:rPr>
              <w:t>9</w:t>
            </w:r>
          </w:p>
        </w:tc>
        <w:tc>
          <w:tcPr>
            <w:tcW w:w="3227" w:type="dxa"/>
          </w:tcPr>
          <w:p w14:paraId="76F44C3E" w14:textId="77777777" w:rsidR="0090121B" w:rsidRPr="00C8133B" w:rsidRDefault="00DA71A3" w:rsidP="00CE7431">
            <w:pPr>
              <w:spacing w:before="0" w:line="240" w:lineRule="atLeast"/>
              <w:jc w:val="right"/>
              <w:rPr>
                <w:lang w:val="es-ES"/>
              </w:rPr>
            </w:pPr>
            <w:bookmarkStart w:id="0" w:name="ditulogo"/>
            <w:bookmarkEnd w:id="0"/>
            <w:r w:rsidRPr="00C8133B">
              <w:rPr>
                <w:rFonts w:ascii="Verdana" w:hAnsi="Verdana"/>
                <w:b/>
                <w:bCs/>
                <w:noProof/>
                <w:szCs w:val="24"/>
                <w:lang w:val="es-ES" w:eastAsia="zh-CN"/>
              </w:rPr>
              <w:drawing>
                <wp:inline distT="0" distB="0" distL="0" distR="0" wp14:anchorId="1DC68936" wp14:editId="648AA6F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8133B" w14:paraId="76D8C51A" w14:textId="77777777" w:rsidTr="00E6683A">
        <w:trPr>
          <w:cantSplit/>
        </w:trPr>
        <w:tc>
          <w:tcPr>
            <w:tcW w:w="6804" w:type="dxa"/>
            <w:tcBorders>
              <w:bottom w:val="single" w:sz="12" w:space="0" w:color="auto"/>
            </w:tcBorders>
          </w:tcPr>
          <w:p w14:paraId="35D32EA2" w14:textId="77777777" w:rsidR="0090121B" w:rsidRPr="00C8133B" w:rsidRDefault="0090121B" w:rsidP="0090121B">
            <w:pPr>
              <w:spacing w:before="0" w:after="48" w:line="240" w:lineRule="atLeast"/>
              <w:rPr>
                <w:b/>
                <w:smallCaps/>
                <w:szCs w:val="24"/>
                <w:lang w:val="es-ES"/>
              </w:rPr>
            </w:pPr>
            <w:bookmarkStart w:id="1" w:name="dhead"/>
          </w:p>
        </w:tc>
        <w:tc>
          <w:tcPr>
            <w:tcW w:w="3227" w:type="dxa"/>
            <w:tcBorders>
              <w:bottom w:val="single" w:sz="12" w:space="0" w:color="auto"/>
            </w:tcBorders>
          </w:tcPr>
          <w:p w14:paraId="01B0CDEE" w14:textId="77777777" w:rsidR="0090121B" w:rsidRPr="00C8133B" w:rsidRDefault="0090121B" w:rsidP="0090121B">
            <w:pPr>
              <w:spacing w:before="0" w:line="240" w:lineRule="atLeast"/>
              <w:rPr>
                <w:rFonts w:ascii="Verdana" w:hAnsi="Verdana"/>
                <w:szCs w:val="24"/>
                <w:lang w:val="es-ES"/>
              </w:rPr>
            </w:pPr>
          </w:p>
        </w:tc>
      </w:tr>
      <w:tr w:rsidR="0090121B" w:rsidRPr="00C8133B" w14:paraId="6AA7B645" w14:textId="77777777" w:rsidTr="00E6683A">
        <w:trPr>
          <w:cantSplit/>
        </w:trPr>
        <w:tc>
          <w:tcPr>
            <w:tcW w:w="6804" w:type="dxa"/>
            <w:tcBorders>
              <w:top w:val="single" w:sz="12" w:space="0" w:color="auto"/>
            </w:tcBorders>
          </w:tcPr>
          <w:p w14:paraId="750E65A3" w14:textId="77777777" w:rsidR="0090121B" w:rsidRPr="00C8133B" w:rsidRDefault="0090121B" w:rsidP="0090121B">
            <w:pPr>
              <w:spacing w:before="0" w:after="48" w:line="240" w:lineRule="atLeast"/>
              <w:rPr>
                <w:rFonts w:ascii="Verdana" w:hAnsi="Verdana"/>
                <w:b/>
                <w:smallCaps/>
                <w:sz w:val="20"/>
                <w:lang w:val="es-ES"/>
              </w:rPr>
            </w:pPr>
          </w:p>
        </w:tc>
        <w:tc>
          <w:tcPr>
            <w:tcW w:w="3227" w:type="dxa"/>
            <w:tcBorders>
              <w:top w:val="single" w:sz="12" w:space="0" w:color="auto"/>
            </w:tcBorders>
          </w:tcPr>
          <w:p w14:paraId="445E2469" w14:textId="77777777" w:rsidR="0090121B" w:rsidRPr="00C8133B" w:rsidRDefault="0090121B" w:rsidP="0090121B">
            <w:pPr>
              <w:spacing w:before="0" w:line="240" w:lineRule="atLeast"/>
              <w:rPr>
                <w:rFonts w:ascii="Verdana" w:hAnsi="Verdana"/>
                <w:sz w:val="20"/>
                <w:lang w:val="es-ES"/>
              </w:rPr>
            </w:pPr>
          </w:p>
        </w:tc>
      </w:tr>
      <w:tr w:rsidR="0090121B" w:rsidRPr="00C8133B" w14:paraId="6FD7CEC6" w14:textId="77777777" w:rsidTr="00E6683A">
        <w:trPr>
          <w:cantSplit/>
        </w:trPr>
        <w:tc>
          <w:tcPr>
            <w:tcW w:w="6804" w:type="dxa"/>
          </w:tcPr>
          <w:p w14:paraId="3F086502" w14:textId="77777777" w:rsidR="0090121B" w:rsidRPr="00C8133B" w:rsidRDefault="001E7D42" w:rsidP="00EA77F0">
            <w:pPr>
              <w:pStyle w:val="Committee"/>
              <w:framePr w:hSpace="0" w:wrap="auto" w:hAnchor="text" w:yAlign="inline"/>
              <w:rPr>
                <w:lang w:val="es-ES"/>
              </w:rPr>
            </w:pPr>
            <w:r w:rsidRPr="00C8133B">
              <w:rPr>
                <w:lang w:val="es-ES"/>
              </w:rPr>
              <w:t>SESIÓN PLENARIA</w:t>
            </w:r>
          </w:p>
        </w:tc>
        <w:tc>
          <w:tcPr>
            <w:tcW w:w="3227" w:type="dxa"/>
          </w:tcPr>
          <w:p w14:paraId="4017E5CD" w14:textId="77777777" w:rsidR="0090121B" w:rsidRPr="00C8133B" w:rsidRDefault="00AE658F" w:rsidP="0045384C">
            <w:pPr>
              <w:spacing w:before="0"/>
              <w:rPr>
                <w:rFonts w:ascii="Verdana" w:hAnsi="Verdana"/>
                <w:sz w:val="20"/>
                <w:lang w:val="es-ES"/>
              </w:rPr>
            </w:pPr>
            <w:r w:rsidRPr="00C8133B">
              <w:rPr>
                <w:rFonts w:ascii="Verdana" w:hAnsi="Verdana"/>
                <w:b/>
                <w:sz w:val="20"/>
                <w:lang w:val="es-ES"/>
              </w:rPr>
              <w:t>Addéndum 11 al</w:t>
            </w:r>
            <w:r w:rsidRPr="00C8133B">
              <w:rPr>
                <w:rFonts w:ascii="Verdana" w:hAnsi="Verdana"/>
                <w:b/>
                <w:sz w:val="20"/>
                <w:lang w:val="es-ES"/>
              </w:rPr>
              <w:br/>
              <w:t>Documento 11(Add.24)</w:t>
            </w:r>
            <w:r w:rsidR="0090121B" w:rsidRPr="00C8133B">
              <w:rPr>
                <w:rFonts w:ascii="Verdana" w:hAnsi="Verdana"/>
                <w:b/>
                <w:sz w:val="20"/>
                <w:lang w:val="es-ES"/>
              </w:rPr>
              <w:t>-</w:t>
            </w:r>
            <w:r w:rsidRPr="00C8133B">
              <w:rPr>
                <w:rFonts w:ascii="Verdana" w:hAnsi="Verdana"/>
                <w:b/>
                <w:sz w:val="20"/>
                <w:lang w:val="es-ES"/>
              </w:rPr>
              <w:t>S</w:t>
            </w:r>
          </w:p>
        </w:tc>
      </w:tr>
      <w:bookmarkEnd w:id="1"/>
      <w:tr w:rsidR="000A5B9A" w:rsidRPr="00C8133B" w14:paraId="49895B0E" w14:textId="77777777" w:rsidTr="00E6683A">
        <w:trPr>
          <w:cantSplit/>
        </w:trPr>
        <w:tc>
          <w:tcPr>
            <w:tcW w:w="6804" w:type="dxa"/>
          </w:tcPr>
          <w:p w14:paraId="452471F3" w14:textId="77777777" w:rsidR="000A5B9A" w:rsidRPr="00C8133B" w:rsidRDefault="000A5B9A" w:rsidP="0045384C">
            <w:pPr>
              <w:spacing w:before="0" w:after="48"/>
              <w:rPr>
                <w:rFonts w:ascii="Verdana" w:hAnsi="Verdana"/>
                <w:b/>
                <w:smallCaps/>
                <w:sz w:val="20"/>
                <w:lang w:val="es-ES"/>
              </w:rPr>
            </w:pPr>
          </w:p>
        </w:tc>
        <w:tc>
          <w:tcPr>
            <w:tcW w:w="3227" w:type="dxa"/>
          </w:tcPr>
          <w:p w14:paraId="22344009" w14:textId="79A0F24F" w:rsidR="000A5B9A" w:rsidRPr="00C8133B" w:rsidRDefault="00E6683A" w:rsidP="0045384C">
            <w:pPr>
              <w:spacing w:before="0"/>
              <w:rPr>
                <w:rFonts w:ascii="Verdana" w:hAnsi="Verdana"/>
                <w:b/>
                <w:sz w:val="20"/>
                <w:lang w:val="es-ES"/>
              </w:rPr>
            </w:pPr>
            <w:r w:rsidRPr="00C8133B">
              <w:rPr>
                <w:rFonts w:ascii="Verdana" w:hAnsi="Verdana"/>
                <w:b/>
                <w:sz w:val="20"/>
                <w:lang w:val="es-ES"/>
              </w:rPr>
              <w:t>13</w:t>
            </w:r>
            <w:r w:rsidR="000A5B9A" w:rsidRPr="00C8133B">
              <w:rPr>
                <w:rFonts w:ascii="Verdana" w:hAnsi="Verdana"/>
                <w:b/>
                <w:sz w:val="20"/>
                <w:lang w:val="es-ES"/>
              </w:rPr>
              <w:t xml:space="preserve"> de septiembre de 2019</w:t>
            </w:r>
          </w:p>
        </w:tc>
      </w:tr>
      <w:tr w:rsidR="000A5B9A" w:rsidRPr="00C8133B" w14:paraId="352DCA0F" w14:textId="77777777" w:rsidTr="00E6683A">
        <w:trPr>
          <w:cantSplit/>
        </w:trPr>
        <w:tc>
          <w:tcPr>
            <w:tcW w:w="6804" w:type="dxa"/>
          </w:tcPr>
          <w:p w14:paraId="3577145C" w14:textId="77777777" w:rsidR="000A5B9A" w:rsidRPr="00C8133B" w:rsidRDefault="000A5B9A" w:rsidP="0045384C">
            <w:pPr>
              <w:spacing w:before="0" w:after="48"/>
              <w:rPr>
                <w:rFonts w:ascii="Verdana" w:hAnsi="Verdana"/>
                <w:b/>
                <w:smallCaps/>
                <w:sz w:val="20"/>
                <w:lang w:val="es-ES"/>
              </w:rPr>
            </w:pPr>
          </w:p>
        </w:tc>
        <w:tc>
          <w:tcPr>
            <w:tcW w:w="3227" w:type="dxa"/>
          </w:tcPr>
          <w:p w14:paraId="3454D2F5" w14:textId="14BCAA79" w:rsidR="000A5B9A" w:rsidRPr="00C8133B" w:rsidRDefault="000A5B9A" w:rsidP="0045384C">
            <w:pPr>
              <w:spacing w:before="0"/>
              <w:rPr>
                <w:rFonts w:ascii="Verdana" w:hAnsi="Verdana"/>
                <w:b/>
                <w:sz w:val="20"/>
                <w:lang w:val="es-ES"/>
              </w:rPr>
            </w:pPr>
            <w:r w:rsidRPr="00C8133B">
              <w:rPr>
                <w:rFonts w:ascii="Verdana" w:hAnsi="Verdana"/>
                <w:b/>
                <w:sz w:val="20"/>
                <w:lang w:val="es-ES"/>
              </w:rPr>
              <w:t>Original: inglés</w:t>
            </w:r>
            <w:r w:rsidR="00E6683A" w:rsidRPr="00C8133B">
              <w:rPr>
                <w:rFonts w:ascii="Verdana" w:hAnsi="Verdana"/>
                <w:b/>
                <w:sz w:val="20"/>
                <w:lang w:val="es-ES"/>
              </w:rPr>
              <w:t>/español</w:t>
            </w:r>
          </w:p>
        </w:tc>
      </w:tr>
      <w:tr w:rsidR="000A5B9A" w:rsidRPr="00C8133B" w14:paraId="72F230F5" w14:textId="77777777" w:rsidTr="006744FC">
        <w:trPr>
          <w:cantSplit/>
        </w:trPr>
        <w:tc>
          <w:tcPr>
            <w:tcW w:w="10031" w:type="dxa"/>
            <w:gridSpan w:val="2"/>
          </w:tcPr>
          <w:p w14:paraId="38AD7F1C" w14:textId="77777777" w:rsidR="000A5B9A" w:rsidRPr="00C8133B" w:rsidRDefault="000A5B9A" w:rsidP="0045384C">
            <w:pPr>
              <w:spacing w:before="0"/>
              <w:rPr>
                <w:rFonts w:ascii="Verdana" w:hAnsi="Verdana"/>
                <w:b/>
                <w:sz w:val="20"/>
                <w:lang w:val="es-ES"/>
              </w:rPr>
            </w:pPr>
          </w:p>
        </w:tc>
      </w:tr>
      <w:tr w:rsidR="000A5B9A" w:rsidRPr="00C8133B" w14:paraId="38146E63" w14:textId="77777777" w:rsidTr="0050008E">
        <w:trPr>
          <w:cantSplit/>
        </w:trPr>
        <w:tc>
          <w:tcPr>
            <w:tcW w:w="10031" w:type="dxa"/>
            <w:gridSpan w:val="2"/>
          </w:tcPr>
          <w:p w14:paraId="504D1466" w14:textId="77777777" w:rsidR="000A5B9A" w:rsidRPr="00C8133B" w:rsidRDefault="000A5B9A" w:rsidP="000A5B9A">
            <w:pPr>
              <w:pStyle w:val="Source"/>
              <w:rPr>
                <w:lang w:val="es-ES"/>
              </w:rPr>
            </w:pPr>
            <w:bookmarkStart w:id="2" w:name="dsource" w:colFirst="0" w:colLast="0"/>
            <w:r w:rsidRPr="00C8133B">
              <w:rPr>
                <w:lang w:val="es-ES"/>
              </w:rPr>
              <w:t>Estados Miembros de la Comisión Interamericana de Telecomunicaciones (CITEL)</w:t>
            </w:r>
          </w:p>
        </w:tc>
      </w:tr>
      <w:tr w:rsidR="000A5B9A" w:rsidRPr="00C8133B" w14:paraId="3F2CC4BE" w14:textId="77777777" w:rsidTr="0050008E">
        <w:trPr>
          <w:cantSplit/>
        </w:trPr>
        <w:tc>
          <w:tcPr>
            <w:tcW w:w="10031" w:type="dxa"/>
            <w:gridSpan w:val="2"/>
          </w:tcPr>
          <w:p w14:paraId="02DBA3EF" w14:textId="4C9508FC" w:rsidR="000A5B9A" w:rsidRPr="00C8133B" w:rsidRDefault="00335627" w:rsidP="000A5B9A">
            <w:pPr>
              <w:pStyle w:val="Title1"/>
              <w:rPr>
                <w:lang w:val="es-ES"/>
              </w:rPr>
            </w:pPr>
            <w:bookmarkStart w:id="3" w:name="dtitle1" w:colFirst="0" w:colLast="0"/>
            <w:bookmarkEnd w:id="2"/>
            <w:r w:rsidRPr="00C8133B">
              <w:rPr>
                <w:lang w:val="es-ES"/>
              </w:rPr>
              <w:t>PROPUESTAS PARA LOS TRABAJOS DE LA CONFERENCIA</w:t>
            </w:r>
          </w:p>
        </w:tc>
      </w:tr>
      <w:tr w:rsidR="000A5B9A" w:rsidRPr="00C8133B" w14:paraId="7C56AA8E" w14:textId="77777777" w:rsidTr="0050008E">
        <w:trPr>
          <w:cantSplit/>
        </w:trPr>
        <w:tc>
          <w:tcPr>
            <w:tcW w:w="10031" w:type="dxa"/>
            <w:gridSpan w:val="2"/>
          </w:tcPr>
          <w:p w14:paraId="33847A5A" w14:textId="77777777" w:rsidR="000A5B9A" w:rsidRPr="00C8133B" w:rsidRDefault="000A5B9A" w:rsidP="000A5B9A">
            <w:pPr>
              <w:pStyle w:val="Title2"/>
              <w:rPr>
                <w:lang w:val="es-ES"/>
              </w:rPr>
            </w:pPr>
            <w:bookmarkStart w:id="4" w:name="dtitle2" w:colFirst="0" w:colLast="0"/>
            <w:bookmarkEnd w:id="3"/>
          </w:p>
        </w:tc>
      </w:tr>
      <w:tr w:rsidR="000A5B9A" w:rsidRPr="00C8133B" w14:paraId="7CF0308F" w14:textId="77777777" w:rsidTr="0050008E">
        <w:trPr>
          <w:cantSplit/>
        </w:trPr>
        <w:tc>
          <w:tcPr>
            <w:tcW w:w="10031" w:type="dxa"/>
            <w:gridSpan w:val="2"/>
          </w:tcPr>
          <w:p w14:paraId="23D9FDF4" w14:textId="77777777" w:rsidR="000A5B9A" w:rsidRPr="00C8133B" w:rsidRDefault="000A5B9A" w:rsidP="000A5B9A">
            <w:pPr>
              <w:pStyle w:val="Agendaitem"/>
              <w:rPr>
                <w:lang w:val="es-ES"/>
              </w:rPr>
            </w:pPr>
            <w:bookmarkStart w:id="5" w:name="dtitle3" w:colFirst="0" w:colLast="0"/>
            <w:bookmarkEnd w:id="4"/>
            <w:r w:rsidRPr="00C8133B">
              <w:rPr>
                <w:lang w:val="es-ES"/>
              </w:rPr>
              <w:t>Punto 10 del orden del día</w:t>
            </w:r>
          </w:p>
        </w:tc>
      </w:tr>
    </w:tbl>
    <w:bookmarkEnd w:id="5"/>
    <w:p w14:paraId="339BC77A" w14:textId="6B13EFAE" w:rsidR="00363A65" w:rsidRPr="00C8133B" w:rsidRDefault="00335627" w:rsidP="00EE3535">
      <w:pPr>
        <w:pStyle w:val="Normalaftertitle"/>
        <w:rPr>
          <w:lang w:val="es-ES"/>
        </w:rPr>
      </w:pPr>
      <w:r w:rsidRPr="00C8133B">
        <w:rPr>
          <w:lang w:val="es-ES"/>
        </w:rPr>
        <w:t>10</w:t>
      </w:r>
      <w:r w:rsidRPr="00C8133B">
        <w:rPr>
          <w:lang w:val="es-ES"/>
        </w:rPr>
        <w:tab/>
        <w:t>recomendar al Consejo los puntos que han de incluirse en el orden del día de la próxima CMR, y formular opiniones sobre el orden del día preliminar de la conferencia subsiguiente y sobre los posibles órdenes del día de futuras conferencias,</w:t>
      </w:r>
    </w:p>
    <w:p w14:paraId="3BE3A55B" w14:textId="4FD916EF" w:rsidR="00EE3535" w:rsidRPr="00C8133B" w:rsidRDefault="00EE3535" w:rsidP="00EE3535">
      <w:pPr>
        <w:pStyle w:val="Headingb"/>
        <w:rPr>
          <w:lang w:val="es-ES"/>
        </w:rPr>
      </w:pPr>
      <w:r w:rsidRPr="00C8133B">
        <w:rPr>
          <w:lang w:val="es-ES"/>
        </w:rPr>
        <w:t>Antecedentes</w:t>
      </w:r>
    </w:p>
    <w:p w14:paraId="14C0D6D9" w14:textId="05DA0FB9" w:rsidR="00EE3535" w:rsidRPr="00C8133B" w:rsidRDefault="00EE3535" w:rsidP="00EE3535">
      <w:pPr>
        <w:rPr>
          <w:lang w:val="es-ES"/>
        </w:rPr>
      </w:pPr>
      <w:r w:rsidRPr="00C8133B">
        <w:rPr>
          <w:lang w:val="es-ES"/>
        </w:rPr>
        <w:t>La necesidad de servicios de banda ancha para pasajeros de aeronaves y embarcaciones sigue creciendo con el alza en la demanda de aplicaciones basadas en internet para el sector de la aviación y naviero y sus pasajeros. Esta necesidad se puede suplir con estaciones terrenas en movimiento (ETEM) aeronáuticas y marítimas, que se comunican con estaciones espaciales OSG en el servicio fijo por satélite (SFS). La disponibilidad de las bandas 10,7-10,95 GHz, 11,2-11,45 GHz y 12,75</w:t>
      </w:r>
      <w:r w:rsidR="00783234" w:rsidRPr="00C8133B">
        <w:rPr>
          <w:lang w:val="es-ES"/>
        </w:rPr>
        <w:noBreakHyphen/>
      </w:r>
      <w:r w:rsidRPr="00C8133B">
        <w:rPr>
          <w:lang w:val="es-ES"/>
        </w:rPr>
        <w:t>13,25</w:t>
      </w:r>
      <w:r w:rsidR="00783234" w:rsidRPr="00C8133B">
        <w:rPr>
          <w:lang w:val="es-ES"/>
        </w:rPr>
        <w:t> </w:t>
      </w:r>
      <w:r w:rsidRPr="00C8133B">
        <w:rPr>
          <w:lang w:val="es-ES"/>
        </w:rPr>
        <w:t xml:space="preserve">GHz, atribuidas al SFS, para la utilización de las ETEM aeronáuticas y marítimas permitiría a los operadores de redes de satélites ofrecer capacidad adicional para las necesidades crecientes de este sector. </w:t>
      </w:r>
    </w:p>
    <w:p w14:paraId="44FF0AD7" w14:textId="6E5C2D73" w:rsidR="00EE3535" w:rsidRPr="00C8133B" w:rsidRDefault="00EE3535" w:rsidP="00EE3535">
      <w:pPr>
        <w:rPr>
          <w:lang w:val="es-ES"/>
        </w:rPr>
      </w:pPr>
      <w:r w:rsidRPr="00C8133B">
        <w:rPr>
          <w:lang w:val="es-ES"/>
        </w:rPr>
        <w:t>La banda de frecuencias 12,75-13,25 GHz está atribuida a título primario a los servicios fijos, fijos por satélite (Tierra-espacio)</w:t>
      </w:r>
      <w:r w:rsidRPr="00C8133B">
        <w:rPr>
          <w:vertAlign w:val="superscript"/>
          <w:lang w:val="es-ES"/>
        </w:rPr>
        <w:footnoteReference w:id="1"/>
      </w:r>
      <w:r w:rsidRPr="00C8133B">
        <w:rPr>
          <w:lang w:val="es-ES"/>
        </w:rPr>
        <w:t xml:space="preserve"> y a los servicios móviles y, a título secundario, a los servicios de investigación espacial (espacio profundo) (espacio-Tierra). Las bandas de frecuencias 10,7</w:t>
      </w:r>
      <w:r w:rsidR="00783234" w:rsidRPr="00C8133B">
        <w:rPr>
          <w:lang w:val="es-ES"/>
        </w:rPr>
        <w:noBreakHyphen/>
      </w:r>
      <w:r w:rsidRPr="00C8133B">
        <w:rPr>
          <w:lang w:val="es-ES"/>
        </w:rPr>
        <w:t>10,95</w:t>
      </w:r>
      <w:r w:rsidR="00783234" w:rsidRPr="00C8133B">
        <w:rPr>
          <w:lang w:val="es-ES"/>
        </w:rPr>
        <w:t> </w:t>
      </w:r>
      <w:r w:rsidRPr="00C8133B">
        <w:rPr>
          <w:lang w:val="es-ES"/>
        </w:rPr>
        <w:t>GHz (espacio-Tierra) y 11,2-11,45 GHz (espacio-Tierra) están atribuidas a título primario a los servicios fijos, fijos por satélite (espacio-Tierra)</w:t>
      </w:r>
      <w:r w:rsidRPr="00C8133B">
        <w:rPr>
          <w:vertAlign w:val="superscript"/>
          <w:lang w:val="es-ES"/>
        </w:rPr>
        <w:footnoteReference w:id="2"/>
      </w:r>
      <w:r w:rsidRPr="00C8133B">
        <w:rPr>
          <w:lang w:val="es-ES"/>
        </w:rPr>
        <w:t xml:space="preserve"> y móviles, excepto los servicios móviles aeronáuticos.</w:t>
      </w:r>
    </w:p>
    <w:p w14:paraId="074FA2F1" w14:textId="77777777" w:rsidR="00EE3535" w:rsidRPr="00C8133B" w:rsidRDefault="00EE3535" w:rsidP="007C6342">
      <w:pPr>
        <w:rPr>
          <w:lang w:val="es-ES"/>
        </w:rPr>
      </w:pPr>
      <w:r w:rsidRPr="00C8133B">
        <w:rPr>
          <w:lang w:val="es-ES"/>
        </w:rPr>
        <w:lastRenderedPageBreak/>
        <w:t xml:space="preserve">En la actualidad, las redes de satélites que funcionan en esta banda de frecuencias pueden suministrar servicios con ETEM aeronáuticas y marítimas, solo conforme al número </w:t>
      </w:r>
      <w:r w:rsidRPr="00C8133B">
        <w:rPr>
          <w:b/>
          <w:lang w:val="es-ES"/>
        </w:rPr>
        <w:t>4.4</w:t>
      </w:r>
      <w:r w:rsidRPr="00C8133B">
        <w:rPr>
          <w:lang w:val="es-ES"/>
        </w:rPr>
        <w:t>, que exige que las transmisiones conexas no ocasionen interferencia perjudicial ni reclamen protección contra la interferencia perjudicial provocada por una estación que funciona de acuerdo con el Reglamento de Radiocomunicaciones.</w:t>
      </w:r>
    </w:p>
    <w:p w14:paraId="1E609AB4" w14:textId="77777777" w:rsidR="00EE3535" w:rsidRPr="00C8133B" w:rsidRDefault="00EE3535" w:rsidP="007C6342">
      <w:pPr>
        <w:pStyle w:val="Headingb"/>
        <w:rPr>
          <w:lang w:val="es-ES"/>
        </w:rPr>
      </w:pPr>
      <w:r w:rsidRPr="00C8133B">
        <w:rPr>
          <w:lang w:val="es-ES"/>
        </w:rPr>
        <w:t>Propuesta:</w:t>
      </w:r>
    </w:p>
    <w:p w14:paraId="76DECDFC" w14:textId="216BB408" w:rsidR="00EE3535" w:rsidRPr="00C8133B" w:rsidRDefault="00EE3535" w:rsidP="002C1A52">
      <w:pPr>
        <w:rPr>
          <w:lang w:val="es-ES"/>
        </w:rPr>
      </w:pPr>
      <w:r w:rsidRPr="00C8133B">
        <w:rPr>
          <w:lang w:val="es-ES"/>
        </w:rPr>
        <w:t>A la luz de la necesidad creciente de conectividad para la aviación y el sector marítimo, se propone estudiar la viabilidad de la operación de ETEM aeronáuticas y marítimas en comunicación con estaciones espaciales OSG en el SFS en las bandas de frecuencias 10,7-10,95 GHz (espacio-Tierra), 11,2-11,45 GHz (espacio-Tierra) y 12,75-13,25 GHz (Tierra-espacio), con miras a formular medios regulatorios y condiciones conexas para este tipo de aplicación.</w:t>
      </w:r>
    </w:p>
    <w:p w14:paraId="7A405747" w14:textId="77777777" w:rsidR="008750A8" w:rsidRPr="00C8133B" w:rsidRDefault="008750A8" w:rsidP="008750A8">
      <w:pPr>
        <w:tabs>
          <w:tab w:val="clear" w:pos="1134"/>
          <w:tab w:val="clear" w:pos="1871"/>
          <w:tab w:val="clear" w:pos="2268"/>
        </w:tabs>
        <w:overflowPunct/>
        <w:autoSpaceDE/>
        <w:autoSpaceDN/>
        <w:adjustRightInd/>
        <w:spacing w:before="0"/>
        <w:textAlignment w:val="auto"/>
        <w:rPr>
          <w:lang w:val="es-ES"/>
        </w:rPr>
      </w:pPr>
      <w:r w:rsidRPr="00C8133B">
        <w:rPr>
          <w:lang w:val="es-ES"/>
        </w:rPr>
        <w:br w:type="page"/>
      </w:r>
    </w:p>
    <w:p w14:paraId="11613555" w14:textId="77777777" w:rsidR="007670B5" w:rsidRPr="00C8133B" w:rsidRDefault="00335627">
      <w:pPr>
        <w:pStyle w:val="Proposal"/>
        <w:rPr>
          <w:lang w:val="es-ES"/>
        </w:rPr>
      </w:pPr>
      <w:r w:rsidRPr="00C8133B">
        <w:rPr>
          <w:lang w:val="es-ES"/>
        </w:rPr>
        <w:lastRenderedPageBreak/>
        <w:t>ADD</w:t>
      </w:r>
      <w:r w:rsidRPr="00C8133B">
        <w:rPr>
          <w:lang w:val="es-ES"/>
        </w:rPr>
        <w:tab/>
        <w:t>IAP/11A24A11/1</w:t>
      </w:r>
    </w:p>
    <w:p w14:paraId="5947BF24" w14:textId="0F54ABF4" w:rsidR="007670B5" w:rsidRPr="00C8133B" w:rsidRDefault="00335627" w:rsidP="004951A4">
      <w:pPr>
        <w:pStyle w:val="ResNo"/>
        <w:rPr>
          <w:lang w:val="es-ES"/>
        </w:rPr>
      </w:pPr>
      <w:r w:rsidRPr="00C8133B">
        <w:rPr>
          <w:lang w:val="es-ES"/>
        </w:rPr>
        <w:t>Proyecto de nueva Resolución [IAP-1</w:t>
      </w:r>
      <w:r w:rsidR="002824D4" w:rsidRPr="00C8133B">
        <w:rPr>
          <w:lang w:val="es-ES"/>
        </w:rPr>
        <w:t>0(K)</w:t>
      </w:r>
      <w:r w:rsidR="002824D4" w:rsidRPr="00C8133B">
        <w:rPr>
          <w:lang w:val="es-ES"/>
        </w:rPr>
        <w:noBreakHyphen/>
        <w:t>2023</w:t>
      </w:r>
      <w:r w:rsidRPr="00C8133B">
        <w:rPr>
          <w:lang w:val="es-ES"/>
        </w:rPr>
        <w:t>]</w:t>
      </w:r>
      <w:r w:rsidR="004951A4" w:rsidRPr="00C8133B">
        <w:rPr>
          <w:lang w:val="es-ES"/>
        </w:rPr>
        <w:t xml:space="preserve"> (CMR-19)</w:t>
      </w:r>
    </w:p>
    <w:p w14:paraId="307CA9F0" w14:textId="3831A9BD" w:rsidR="007670B5" w:rsidRPr="00C8133B" w:rsidRDefault="002824D4" w:rsidP="002824D4">
      <w:pPr>
        <w:pStyle w:val="Restitle"/>
        <w:rPr>
          <w:lang w:val="es-ES"/>
        </w:rPr>
      </w:pPr>
      <w:r w:rsidRPr="00C8133B">
        <w:rPr>
          <w:lang w:val="es-ES"/>
        </w:rPr>
        <w:t>Orden del día de la Conferencia Mundial de Radiocomunicaciones de 2023</w:t>
      </w:r>
    </w:p>
    <w:p w14:paraId="4C8ADA51" w14:textId="3DC0F018" w:rsidR="002824D4" w:rsidRPr="00C8133B" w:rsidRDefault="002824D4" w:rsidP="002824D4">
      <w:pPr>
        <w:pStyle w:val="Normalaftertitle"/>
        <w:rPr>
          <w:lang w:val="es-ES"/>
        </w:rPr>
      </w:pPr>
      <w:r w:rsidRPr="00C8133B">
        <w:rPr>
          <w:lang w:val="es-ES"/>
        </w:rPr>
        <w:t>La Conferencia Mundial de Radiocomunicaciones (</w:t>
      </w:r>
      <w:r w:rsidR="00E262E0" w:rsidRPr="00C8133B">
        <w:rPr>
          <w:lang w:val="es-ES"/>
        </w:rPr>
        <w:t>Sharm el-Sheikh, 2019</w:t>
      </w:r>
      <w:r w:rsidRPr="00C8133B">
        <w:rPr>
          <w:lang w:val="es-ES"/>
        </w:rPr>
        <w:t>),</w:t>
      </w:r>
    </w:p>
    <w:p w14:paraId="05E63F9A" w14:textId="77777777" w:rsidR="002824D4" w:rsidRPr="00C8133B" w:rsidRDefault="002824D4" w:rsidP="002824D4">
      <w:pPr>
        <w:pStyle w:val="Call"/>
        <w:rPr>
          <w:lang w:val="es-ES"/>
        </w:rPr>
      </w:pPr>
      <w:r w:rsidRPr="00C8133B">
        <w:rPr>
          <w:lang w:val="es-ES"/>
        </w:rPr>
        <w:t>considerando</w:t>
      </w:r>
    </w:p>
    <w:p w14:paraId="6D22B92E" w14:textId="77777777" w:rsidR="002824D4" w:rsidRPr="00C8133B" w:rsidRDefault="002824D4" w:rsidP="002824D4">
      <w:pPr>
        <w:rPr>
          <w:lang w:val="es-ES"/>
        </w:rPr>
      </w:pPr>
      <w:r w:rsidRPr="00C8133B">
        <w:rPr>
          <w:i/>
          <w:iCs/>
          <w:lang w:val="es-ES"/>
        </w:rPr>
        <w:t>a)</w:t>
      </w:r>
      <w:r w:rsidRPr="00C8133B">
        <w:rPr>
          <w:lang w:val="es-ES"/>
        </w:rPr>
        <w:tab/>
        <w:t>que, de acuerdo con el número 118 del Convenio de la UIT, el ámbito general del orden del día de una conferencia mundial de radiocomunicaciones debería establecerse con una antelación de cuatro a seis años, y que un orden del día definitivo será establecido por el Consejo dos años antes de la conferencia;</w:t>
      </w:r>
    </w:p>
    <w:p w14:paraId="6827096D" w14:textId="779DB94B" w:rsidR="002824D4" w:rsidRPr="00C8133B" w:rsidRDefault="00BF1474" w:rsidP="002824D4">
      <w:pPr>
        <w:rPr>
          <w:szCs w:val="24"/>
          <w:lang w:val="es-ES"/>
        </w:rPr>
      </w:pPr>
      <w:r w:rsidRPr="00C8133B">
        <w:rPr>
          <w:i/>
          <w:iCs/>
          <w:szCs w:val="24"/>
          <w:lang w:val="es-ES"/>
        </w:rPr>
        <w:t>b)</w:t>
      </w:r>
      <w:r w:rsidRPr="00C8133B">
        <w:rPr>
          <w:i/>
          <w:iCs/>
          <w:szCs w:val="24"/>
          <w:lang w:val="es-ES"/>
        </w:rPr>
        <w:tab/>
      </w:r>
      <w:r w:rsidRPr="00C8133B">
        <w:rPr>
          <w:szCs w:val="24"/>
          <w:lang w:val="es-ES"/>
        </w:rPr>
        <w:t>el Artículo 13 de la Constitución de la UIT, sobre competencia y calendario de las conferencias mundiales de radiocomunicaciones, y el Artículo 7 del Convenio, relativo a sus órdenes del día;</w:t>
      </w:r>
    </w:p>
    <w:p w14:paraId="3CA19435" w14:textId="220E4EA8" w:rsidR="002824D4" w:rsidRPr="00C8133B" w:rsidRDefault="002824D4" w:rsidP="002824D4">
      <w:pPr>
        <w:rPr>
          <w:szCs w:val="24"/>
          <w:lang w:val="es-ES"/>
        </w:rPr>
      </w:pPr>
      <w:r w:rsidRPr="00C8133B">
        <w:rPr>
          <w:i/>
          <w:iCs/>
          <w:szCs w:val="24"/>
          <w:lang w:val="es-ES"/>
        </w:rPr>
        <w:t>c)</w:t>
      </w:r>
      <w:r w:rsidRPr="00C8133B">
        <w:rPr>
          <w:szCs w:val="24"/>
          <w:lang w:val="es-ES"/>
        </w:rPr>
        <w:tab/>
      </w:r>
      <w:r w:rsidR="00BF1474" w:rsidRPr="00C8133B">
        <w:rPr>
          <w:szCs w:val="24"/>
          <w:lang w:val="es-ES"/>
        </w:rPr>
        <w:t>las Resoluciones y Recomendaciones pertinentes de las anteriores Conferencias Administrativas Mundiales de Radiocomunicaciones (CAMR) y Conferencias Mundiales de Radiocomunicaciones (CMR)</w:t>
      </w:r>
      <w:r w:rsidRPr="00C8133B">
        <w:rPr>
          <w:szCs w:val="24"/>
          <w:lang w:val="es-ES"/>
        </w:rPr>
        <w:t>,</w:t>
      </w:r>
    </w:p>
    <w:p w14:paraId="1DBF8787" w14:textId="77777777" w:rsidR="002824D4" w:rsidRPr="00C8133B" w:rsidRDefault="002824D4" w:rsidP="00AC11E1">
      <w:pPr>
        <w:pStyle w:val="Call"/>
        <w:rPr>
          <w:lang w:val="es-ES"/>
        </w:rPr>
      </w:pPr>
      <w:r w:rsidRPr="00C8133B">
        <w:rPr>
          <w:lang w:val="es-ES"/>
        </w:rPr>
        <w:t>resuelve</w:t>
      </w:r>
    </w:p>
    <w:p w14:paraId="57BF0A74" w14:textId="157B7DDC" w:rsidR="002824D4" w:rsidRPr="00C8133B" w:rsidRDefault="002824D4" w:rsidP="004951A4">
      <w:pPr>
        <w:rPr>
          <w:lang w:val="es-ES"/>
        </w:rPr>
      </w:pPr>
      <w:r w:rsidRPr="00C8133B">
        <w:rPr>
          <w:lang w:val="es-ES"/>
        </w:rPr>
        <w:t xml:space="preserve">recomendar al Consejo que se celebre una Conferencia Mundial de Radiocomunicaciones en 2023 por un </w:t>
      </w:r>
      <w:r w:rsidR="0001645B" w:rsidRPr="00C8133B">
        <w:rPr>
          <w:lang w:val="es-ES"/>
        </w:rPr>
        <w:t>periodo</w:t>
      </w:r>
      <w:r w:rsidRPr="00C8133B">
        <w:rPr>
          <w:lang w:val="es-ES"/>
        </w:rPr>
        <w:t xml:space="preserve"> máximo de cuatro semanas, con el siguiente orden del día:</w:t>
      </w:r>
    </w:p>
    <w:p w14:paraId="5700D7C2" w14:textId="2E8287DB" w:rsidR="002824D4" w:rsidRPr="00C8133B" w:rsidRDefault="002824D4" w:rsidP="00C532A3">
      <w:pPr>
        <w:rPr>
          <w:lang w:val="es-ES"/>
        </w:rPr>
      </w:pPr>
      <w:r w:rsidRPr="00C8133B">
        <w:rPr>
          <w:lang w:val="es-ES"/>
        </w:rPr>
        <w:t>1</w:t>
      </w:r>
      <w:r w:rsidRPr="00C8133B">
        <w:rPr>
          <w:lang w:val="es-ES"/>
        </w:rPr>
        <w:tab/>
        <w:t>sobre la base de las propuestas de las administraciones, considerando los resultados de la CMR</w:t>
      </w:r>
      <w:r w:rsidRPr="00C8133B">
        <w:rPr>
          <w:lang w:val="es-ES"/>
        </w:rPr>
        <w:noBreakHyphen/>
        <w:t>19 y el Informe de la Reunión Preparatoria de la Conferencia, y con la debida consideración de los requisitos de los servicios existentes y futuros en las bandas bajo estudio, analizar y tomar las medidas apropiadas con respecto a los siguientes puntos</w:t>
      </w:r>
      <w:r w:rsidR="006837B7" w:rsidRPr="00C8133B">
        <w:rPr>
          <w:lang w:val="es-ES"/>
        </w:rPr>
        <w:t>:</w:t>
      </w:r>
    </w:p>
    <w:p w14:paraId="56622297" w14:textId="300F4163" w:rsidR="002824D4" w:rsidRPr="00C8133B" w:rsidRDefault="002824D4" w:rsidP="00C532A3">
      <w:pPr>
        <w:rPr>
          <w:lang w:val="es-ES"/>
        </w:rPr>
      </w:pPr>
      <w:r w:rsidRPr="00C8133B">
        <w:rPr>
          <w:lang w:val="es-ES"/>
        </w:rPr>
        <w:t>1.[SFS-12,75-13,25 GHZ]</w:t>
      </w:r>
      <w:r w:rsidRPr="00C8133B">
        <w:rPr>
          <w:lang w:val="es-ES"/>
        </w:rPr>
        <w:tab/>
        <w:t xml:space="preserve">considerar, sobre la base de los estudios del UIT-R de acuerdo con la Resolución </w:t>
      </w:r>
      <w:r w:rsidRPr="00C8133B">
        <w:rPr>
          <w:b/>
          <w:lang w:val="es-ES"/>
        </w:rPr>
        <w:t>[IAP/10(K)/ETEM-AERO-MAR] (CMR-19)</w:t>
      </w:r>
      <w:r w:rsidRPr="00C8133B">
        <w:rPr>
          <w:lang w:val="es-ES"/>
        </w:rPr>
        <w:t xml:space="preserve">, </w:t>
      </w:r>
      <w:bookmarkStart w:id="6" w:name="_Hlk535313265"/>
      <w:r w:rsidRPr="00C8133B">
        <w:rPr>
          <w:lang w:val="es-ES"/>
        </w:rPr>
        <w:t>disposiciones reglamentarias y técnicas adecuadas, para el uso de las bandas de frecuencias 10,7-10,95 GHz (espacio-Tierra), 11,2</w:t>
      </w:r>
      <w:r w:rsidR="00F54E1C" w:rsidRPr="00C8133B">
        <w:rPr>
          <w:lang w:val="es-ES"/>
        </w:rPr>
        <w:noBreakHyphen/>
      </w:r>
      <w:r w:rsidRPr="00C8133B">
        <w:rPr>
          <w:lang w:val="es-ES"/>
        </w:rPr>
        <w:t>11,45</w:t>
      </w:r>
      <w:r w:rsidR="00F54E1C" w:rsidRPr="00C8133B">
        <w:rPr>
          <w:lang w:val="es-ES"/>
        </w:rPr>
        <w:t> </w:t>
      </w:r>
      <w:r w:rsidRPr="00C8133B">
        <w:rPr>
          <w:lang w:val="es-ES"/>
        </w:rPr>
        <w:t>GHz (espacio-Tierra) y 12,75-13,25 GHz (Tierra-espacio), por ETEM aeronáuticas y marítimas que se comunican con estaciones espaciales geoestacionarias en el servicio fijo por satélite</w:t>
      </w:r>
      <w:bookmarkEnd w:id="6"/>
      <w:r w:rsidR="004319AE" w:rsidRPr="00C8133B">
        <w:rPr>
          <w:lang w:val="es-ES"/>
        </w:rPr>
        <w:t>,</w:t>
      </w:r>
    </w:p>
    <w:p w14:paraId="0DD5D107" w14:textId="77777777" w:rsidR="002824D4" w:rsidRPr="00C8133B" w:rsidRDefault="002824D4" w:rsidP="00C532A3">
      <w:pPr>
        <w:pStyle w:val="Call"/>
        <w:rPr>
          <w:lang w:val="es-ES"/>
        </w:rPr>
      </w:pPr>
      <w:r w:rsidRPr="00C8133B">
        <w:rPr>
          <w:lang w:val="es-ES"/>
        </w:rPr>
        <w:t>resuelve además</w:t>
      </w:r>
    </w:p>
    <w:p w14:paraId="5EC0A8AC" w14:textId="54750135" w:rsidR="002824D4" w:rsidRPr="00C8133B" w:rsidRDefault="00BF1474" w:rsidP="00C532A3">
      <w:pPr>
        <w:rPr>
          <w:lang w:val="es-ES"/>
        </w:rPr>
      </w:pPr>
      <w:r w:rsidRPr="00C8133B">
        <w:rPr>
          <w:lang w:val="es-ES"/>
        </w:rPr>
        <w:t>poner en funcionamiento la Reunión Preparatoria de la Conferencia</w:t>
      </w:r>
      <w:r w:rsidRPr="00C8133B">
        <w:rPr>
          <w:lang w:val="es-ES"/>
        </w:rPr>
        <w:t>,</w:t>
      </w:r>
    </w:p>
    <w:p w14:paraId="2013B1FE" w14:textId="77777777" w:rsidR="002824D4" w:rsidRPr="00C8133B" w:rsidRDefault="002824D4" w:rsidP="00C532A3">
      <w:pPr>
        <w:pStyle w:val="Call"/>
        <w:rPr>
          <w:lang w:val="es-ES"/>
        </w:rPr>
      </w:pPr>
      <w:r w:rsidRPr="00C8133B">
        <w:rPr>
          <w:lang w:val="es-ES"/>
        </w:rPr>
        <w:t>invita al Consejo</w:t>
      </w:r>
    </w:p>
    <w:p w14:paraId="2EA01924" w14:textId="77777777" w:rsidR="002824D4" w:rsidRPr="00C8133B" w:rsidRDefault="002824D4" w:rsidP="004957DF">
      <w:pPr>
        <w:rPr>
          <w:lang w:val="es-ES"/>
        </w:rPr>
      </w:pPr>
      <w:r w:rsidRPr="00C8133B">
        <w:rPr>
          <w:lang w:val="es-ES"/>
        </w:rPr>
        <w:t>a que complete el orden del día y organice la convocatoria de la CMR</w:t>
      </w:r>
      <w:r w:rsidRPr="00C8133B">
        <w:rPr>
          <w:lang w:val="es-ES"/>
        </w:rPr>
        <w:noBreakHyphen/>
        <w:t>23, y que inicie lo antes posible las consultas necesarias con los Estados Miembros,</w:t>
      </w:r>
    </w:p>
    <w:p w14:paraId="4EF158F0" w14:textId="77777777" w:rsidR="002824D4" w:rsidRPr="00C8133B" w:rsidRDefault="002824D4" w:rsidP="00FB16BB">
      <w:pPr>
        <w:pStyle w:val="Call"/>
        <w:rPr>
          <w:lang w:val="es-ES"/>
        </w:rPr>
      </w:pPr>
      <w:r w:rsidRPr="00C8133B">
        <w:rPr>
          <w:lang w:val="es-ES"/>
        </w:rPr>
        <w:t>encarga al Director de la Oficina de Radiocomunicaciones</w:t>
      </w:r>
    </w:p>
    <w:p w14:paraId="1BEDC761" w14:textId="77777777" w:rsidR="002824D4" w:rsidRPr="00C8133B" w:rsidRDefault="002824D4" w:rsidP="00FB16BB">
      <w:pPr>
        <w:rPr>
          <w:lang w:val="es-ES"/>
        </w:rPr>
      </w:pPr>
      <w:r w:rsidRPr="00C8133B">
        <w:rPr>
          <w:lang w:val="es-ES"/>
        </w:rPr>
        <w:t>realizar los arreglos necesarios para convocar a sesiones de la Reunión Preparatoria de la Conferencia y preparar un informe para la CMR</w:t>
      </w:r>
      <w:r w:rsidRPr="00C8133B">
        <w:rPr>
          <w:lang w:val="es-ES"/>
        </w:rPr>
        <w:noBreakHyphen/>
        <w:t>23,</w:t>
      </w:r>
    </w:p>
    <w:p w14:paraId="1A46BCE3" w14:textId="77777777" w:rsidR="00B11E7C" w:rsidRPr="00C8133B" w:rsidRDefault="00B11E7C" w:rsidP="00B44C78">
      <w:pPr>
        <w:pStyle w:val="Call"/>
        <w:rPr>
          <w:lang w:val="es-ES"/>
        </w:rPr>
      </w:pPr>
      <w:r w:rsidRPr="00C8133B">
        <w:rPr>
          <w:lang w:val="es-ES"/>
        </w:rPr>
        <w:t>encarga al Secretario General</w:t>
      </w:r>
    </w:p>
    <w:p w14:paraId="39901835" w14:textId="67839DB8" w:rsidR="007670B5" w:rsidRPr="00C8133B" w:rsidRDefault="00BF1474" w:rsidP="00AC11E1">
      <w:pPr>
        <w:rPr>
          <w:lang w:val="es-ES"/>
        </w:rPr>
      </w:pPr>
      <w:r w:rsidRPr="00C8133B">
        <w:rPr>
          <w:szCs w:val="24"/>
          <w:lang w:val="es-ES"/>
        </w:rPr>
        <w:t>que comunique la presente Resolución a las organizaciones internacionales y regionales interesadas.</w:t>
      </w:r>
    </w:p>
    <w:p w14:paraId="67FD6FAF" w14:textId="61AA16DA" w:rsidR="007670B5" w:rsidRPr="00C8133B" w:rsidRDefault="00335627">
      <w:pPr>
        <w:pStyle w:val="Reasons"/>
        <w:rPr>
          <w:lang w:val="es-ES"/>
        </w:rPr>
      </w:pPr>
      <w:r w:rsidRPr="00C8133B">
        <w:rPr>
          <w:b/>
          <w:lang w:val="es-ES"/>
        </w:rPr>
        <w:lastRenderedPageBreak/>
        <w:t>Motivos:</w:t>
      </w:r>
      <w:r w:rsidRPr="00C8133B">
        <w:rPr>
          <w:lang w:val="es-ES"/>
        </w:rPr>
        <w:tab/>
      </w:r>
      <w:r w:rsidR="00B11E7C" w:rsidRPr="00C8133B">
        <w:rPr>
          <w:lang w:val="es-ES"/>
        </w:rPr>
        <w:t>Considerar otros usos de las bandas de frecuencias del SFS 10,7-10,95 GHz, 11,2</w:t>
      </w:r>
      <w:r w:rsidR="00B0712B" w:rsidRPr="00C8133B">
        <w:rPr>
          <w:lang w:val="es-ES"/>
        </w:rPr>
        <w:noBreakHyphen/>
      </w:r>
      <w:r w:rsidR="00B11E7C" w:rsidRPr="00C8133B">
        <w:rPr>
          <w:lang w:val="es-ES"/>
        </w:rPr>
        <w:t>11,45</w:t>
      </w:r>
      <w:r w:rsidR="00B0712B" w:rsidRPr="00C8133B">
        <w:rPr>
          <w:lang w:val="es-ES"/>
        </w:rPr>
        <w:t> </w:t>
      </w:r>
      <w:r w:rsidR="00B11E7C" w:rsidRPr="00C8133B">
        <w:rPr>
          <w:lang w:val="es-ES"/>
        </w:rPr>
        <w:t>GHz y 12,75-13,25 GHz para satisfacer la demanda creciente de espectro para ETEM aeronáuticas y marítimas.</w:t>
      </w:r>
    </w:p>
    <w:p w14:paraId="00B282E4" w14:textId="77777777" w:rsidR="007670B5" w:rsidRPr="00C8133B" w:rsidRDefault="00335627">
      <w:pPr>
        <w:pStyle w:val="Proposal"/>
        <w:rPr>
          <w:lang w:val="es-ES"/>
        </w:rPr>
      </w:pPr>
      <w:r w:rsidRPr="00C8133B">
        <w:rPr>
          <w:lang w:val="es-ES"/>
        </w:rPr>
        <w:t>ADD</w:t>
      </w:r>
      <w:r w:rsidRPr="00C8133B">
        <w:rPr>
          <w:lang w:val="es-ES"/>
        </w:rPr>
        <w:tab/>
        <w:t>IAP/11A24A11/2</w:t>
      </w:r>
    </w:p>
    <w:p w14:paraId="5B541109" w14:textId="3AA434C9" w:rsidR="007670B5" w:rsidRPr="00C8133B" w:rsidRDefault="00335627" w:rsidP="0074677D">
      <w:pPr>
        <w:pStyle w:val="ResNo"/>
        <w:rPr>
          <w:lang w:val="es-ES"/>
        </w:rPr>
      </w:pPr>
      <w:r w:rsidRPr="00C8133B">
        <w:rPr>
          <w:lang w:val="es-ES"/>
        </w:rPr>
        <w:t>Proyecto de nueva Resolución [IAP-2</w:t>
      </w:r>
      <w:r w:rsidR="00B11E7C" w:rsidRPr="00C8133B">
        <w:rPr>
          <w:lang w:val="es-ES"/>
        </w:rPr>
        <w:t>/10(K)/ETEM-AERO-MAR</w:t>
      </w:r>
      <w:r w:rsidRPr="00C8133B">
        <w:rPr>
          <w:lang w:val="es-ES"/>
        </w:rPr>
        <w:t>]</w:t>
      </w:r>
      <w:r w:rsidR="004951A4" w:rsidRPr="00C8133B">
        <w:rPr>
          <w:lang w:val="es-ES"/>
        </w:rPr>
        <w:t xml:space="preserve"> (CMR-19)</w:t>
      </w:r>
    </w:p>
    <w:p w14:paraId="431E668E" w14:textId="4D5AEDB5" w:rsidR="007670B5" w:rsidRPr="00C8133B" w:rsidRDefault="0074677D" w:rsidP="00E56603">
      <w:pPr>
        <w:pStyle w:val="Restitle"/>
        <w:rPr>
          <w:lang w:val="es-ES"/>
        </w:rPr>
      </w:pPr>
      <w:r w:rsidRPr="00C8133B">
        <w:rPr>
          <w:lang w:val="es-ES"/>
        </w:rPr>
        <w:t xml:space="preserve">Operación de estaciones terrenas en movimiento aeronáuticas y marítimas </w:t>
      </w:r>
      <w:r w:rsidRPr="00C8133B">
        <w:rPr>
          <w:lang w:val="es-ES"/>
        </w:rPr>
        <w:br/>
        <w:t xml:space="preserve">que se comunican con estaciones espaciales geoestacionarias en el servicio fijo por satélite en las bandas de frecuencias 10,7-10,95 GHz (espacio-Tierra), </w:t>
      </w:r>
      <w:r w:rsidRPr="00C8133B">
        <w:rPr>
          <w:lang w:val="es-ES"/>
        </w:rPr>
        <w:br/>
        <w:t>11,2-11,45 GHz (espacio-Tierra) y 12,75-13,25 GHz (Tierra-espacio)</w:t>
      </w:r>
    </w:p>
    <w:p w14:paraId="3FA5F122" w14:textId="77777777" w:rsidR="004951A4" w:rsidRPr="00C8133B" w:rsidRDefault="004951A4" w:rsidP="00773F6A">
      <w:pPr>
        <w:pStyle w:val="Normalaftertitle"/>
        <w:rPr>
          <w:lang w:val="es-ES"/>
        </w:rPr>
      </w:pPr>
      <w:r w:rsidRPr="00C8133B">
        <w:rPr>
          <w:lang w:val="es-ES"/>
        </w:rPr>
        <w:t>La Conferencia Mundial de Radiocomunicaciones (Sharm el-Sheikh, 2019),</w:t>
      </w:r>
    </w:p>
    <w:p w14:paraId="5C2085EF" w14:textId="77777777" w:rsidR="004951A4" w:rsidRPr="00C8133B" w:rsidRDefault="004951A4" w:rsidP="003201A0">
      <w:pPr>
        <w:pStyle w:val="Call"/>
        <w:rPr>
          <w:lang w:val="es-ES"/>
        </w:rPr>
      </w:pPr>
      <w:r w:rsidRPr="00C8133B">
        <w:rPr>
          <w:lang w:val="es-ES"/>
        </w:rPr>
        <w:t>considerando</w:t>
      </w:r>
    </w:p>
    <w:p w14:paraId="66BF00D5" w14:textId="23B39738" w:rsidR="004951A4" w:rsidRPr="00C8133B" w:rsidRDefault="004951A4" w:rsidP="00FE5F5E">
      <w:pPr>
        <w:rPr>
          <w:lang w:val="es-ES"/>
        </w:rPr>
      </w:pPr>
      <w:r w:rsidRPr="00C8133B">
        <w:rPr>
          <w:i/>
          <w:iCs/>
          <w:lang w:val="es-ES"/>
        </w:rPr>
        <w:t>a)</w:t>
      </w:r>
      <w:r w:rsidRPr="00C8133B">
        <w:rPr>
          <w:i/>
          <w:iCs/>
          <w:lang w:val="es-ES"/>
        </w:rPr>
        <w:tab/>
      </w:r>
      <w:r w:rsidRPr="00C8133B">
        <w:rPr>
          <w:lang w:val="es-ES"/>
        </w:rPr>
        <w:t>que la banda de frecuencias 12,75-13,25 GHz está atribuida a título primario a los servicios fijos, móviles y fijos por satélite (Tierra-espacio) y, a título secundario a los servicios de investigación espacial (espacio profundo) (espacio-Tierra) a nivel mundial;</w:t>
      </w:r>
    </w:p>
    <w:p w14:paraId="488FD182" w14:textId="721EBA04" w:rsidR="004951A4" w:rsidRPr="00C8133B" w:rsidRDefault="004951A4" w:rsidP="00D626E7">
      <w:pPr>
        <w:rPr>
          <w:lang w:val="es-ES"/>
        </w:rPr>
      </w:pPr>
      <w:r w:rsidRPr="00C8133B">
        <w:rPr>
          <w:i/>
          <w:iCs/>
          <w:lang w:val="es-ES"/>
        </w:rPr>
        <w:t>b)</w:t>
      </w:r>
      <w:r w:rsidRPr="00C8133B">
        <w:rPr>
          <w:lang w:val="es-ES"/>
        </w:rPr>
        <w:tab/>
        <w:t>que las bandas de frecuencias 10,7-10,95 GHz y 11,2-11,45 GHz están atribuidas a título primario a los servicios fijos, fijos por satélite (espacio-Tierra) y móviles, excepto los servicios móviles aeronáuticos, a nivel mundial;</w:t>
      </w:r>
    </w:p>
    <w:p w14:paraId="506531CE" w14:textId="77777777" w:rsidR="004951A4" w:rsidRPr="00C8133B" w:rsidRDefault="004951A4" w:rsidP="009E35B9">
      <w:pPr>
        <w:rPr>
          <w:lang w:val="es-ES"/>
        </w:rPr>
      </w:pPr>
      <w:r w:rsidRPr="00C8133B">
        <w:rPr>
          <w:i/>
          <w:lang w:val="es-ES"/>
        </w:rPr>
        <w:t>c)</w:t>
      </w:r>
      <w:r w:rsidRPr="00C8133B">
        <w:rPr>
          <w:lang w:val="es-ES"/>
        </w:rPr>
        <w:tab/>
        <w:t xml:space="preserve">que el uso del servicio fijo por satélites (SFS) en esta banda está sujeto al Apéndice </w:t>
      </w:r>
      <w:r w:rsidRPr="00C8133B">
        <w:rPr>
          <w:b/>
          <w:lang w:val="es-ES"/>
        </w:rPr>
        <w:t>30B</w:t>
      </w:r>
      <w:r w:rsidRPr="00C8133B">
        <w:rPr>
          <w:lang w:val="es-ES"/>
        </w:rPr>
        <w:t xml:space="preserve"> y que toda acción en el marco del presente punto del orden del día no debería afectar la integridad del Plan del Apéndice </w:t>
      </w:r>
      <w:r w:rsidRPr="00C8133B">
        <w:rPr>
          <w:b/>
          <w:lang w:val="es-ES"/>
        </w:rPr>
        <w:t>30B</w:t>
      </w:r>
      <w:r w:rsidRPr="00C8133B">
        <w:rPr>
          <w:lang w:val="es-ES"/>
        </w:rPr>
        <w:t>;</w:t>
      </w:r>
    </w:p>
    <w:p w14:paraId="553493E9" w14:textId="77777777" w:rsidR="004951A4" w:rsidRPr="00C8133B" w:rsidRDefault="004951A4" w:rsidP="009E35B9">
      <w:pPr>
        <w:rPr>
          <w:lang w:val="es-ES"/>
        </w:rPr>
      </w:pPr>
      <w:r w:rsidRPr="00C8133B">
        <w:rPr>
          <w:i/>
          <w:lang w:val="es-ES"/>
        </w:rPr>
        <w:t>d)</w:t>
      </w:r>
      <w:r w:rsidRPr="00C8133B">
        <w:rPr>
          <w:i/>
          <w:lang w:val="es-ES"/>
        </w:rPr>
        <w:tab/>
      </w:r>
      <w:r w:rsidRPr="00C8133B">
        <w:rPr>
          <w:lang w:val="es-ES"/>
        </w:rPr>
        <w:t xml:space="preserve">que a fin de satisfacer el crecimiento de la demanda de conectividad en aeronaves y embarcaciones, las redes que funcionan en esta frecuencia ya podrían estar suministrando servicios a estaciones terrenas en aeronaves y embarcaciones, conforme al número </w:t>
      </w:r>
      <w:r w:rsidRPr="00C8133B">
        <w:rPr>
          <w:b/>
          <w:lang w:val="es-ES"/>
        </w:rPr>
        <w:t>4.4</w:t>
      </w:r>
      <w:r w:rsidRPr="00C8133B">
        <w:rPr>
          <w:lang w:val="es-ES"/>
        </w:rPr>
        <w:t>;</w:t>
      </w:r>
    </w:p>
    <w:p w14:paraId="5D1B36F2" w14:textId="0F83BB78" w:rsidR="004951A4" w:rsidRPr="00C8133B" w:rsidRDefault="004951A4" w:rsidP="009E35B9">
      <w:pPr>
        <w:rPr>
          <w:lang w:val="es-ES"/>
        </w:rPr>
      </w:pPr>
      <w:r w:rsidRPr="00C8133B">
        <w:rPr>
          <w:i/>
          <w:iCs/>
          <w:lang w:val="es-ES"/>
        </w:rPr>
        <w:t>e)</w:t>
      </w:r>
      <w:r w:rsidRPr="00C8133B">
        <w:rPr>
          <w:lang w:val="es-ES"/>
        </w:rPr>
        <w:tab/>
        <w:t>que los avances realizados en la tecnología de las estaciones terrenas, incluso en el uso de técnicas de seguimiento, permiten a las estaciones terrenas aeronáuticas y marítimas operar dentro de la envolvente de transmisión establecida para las estaciones terrenas en el SFS;</w:t>
      </w:r>
    </w:p>
    <w:p w14:paraId="7817D1EE" w14:textId="41BD6076" w:rsidR="004951A4" w:rsidRPr="00C8133B" w:rsidRDefault="004951A4" w:rsidP="009E35B9">
      <w:pPr>
        <w:rPr>
          <w:lang w:val="es-ES"/>
        </w:rPr>
      </w:pPr>
      <w:r w:rsidRPr="00C8133B">
        <w:rPr>
          <w:i/>
          <w:lang w:val="es-ES"/>
        </w:rPr>
        <w:t>f)</w:t>
      </w:r>
      <w:r w:rsidRPr="00C8133B">
        <w:rPr>
          <w:lang w:val="es-ES"/>
        </w:rPr>
        <w:tab/>
        <w:t>que la disponibilidad de la banda 10,7-10,95 GHz (espacio-Tierra), 11,2-11,45 GHz (espacio-Tierra) y 12,75-13,25 GHz (Tierra-espacio) para ETEM aeronáuticas y marítimas aumentará la flexibilidad de las administraciones para usar sus atribuciones en el Plan del Apéndice</w:t>
      </w:r>
      <w:r w:rsidR="000055C0" w:rsidRPr="00C8133B">
        <w:rPr>
          <w:lang w:val="es-ES"/>
        </w:rPr>
        <w:t> </w:t>
      </w:r>
      <w:r w:rsidRPr="00C8133B">
        <w:rPr>
          <w:b/>
          <w:lang w:val="es-ES"/>
        </w:rPr>
        <w:t>30B</w:t>
      </w:r>
      <w:r w:rsidRPr="00C8133B">
        <w:rPr>
          <w:lang w:val="es-ES"/>
        </w:rPr>
        <w:t>;</w:t>
      </w:r>
    </w:p>
    <w:p w14:paraId="44DD8681" w14:textId="77777777" w:rsidR="004951A4" w:rsidRPr="00C8133B" w:rsidRDefault="004951A4" w:rsidP="009E35B9">
      <w:pPr>
        <w:rPr>
          <w:lang w:val="es-ES"/>
        </w:rPr>
      </w:pPr>
      <w:r w:rsidRPr="00C8133B">
        <w:rPr>
          <w:i/>
          <w:lang w:val="es-ES"/>
        </w:rPr>
        <w:t>g)</w:t>
      </w:r>
      <w:r w:rsidRPr="00C8133B">
        <w:rPr>
          <w:lang w:val="es-ES"/>
        </w:rPr>
        <w:tab/>
        <w:t>que las operaciones de las ETEM aeronáuticas y marítimas deberían proteger las estaciones de servicios atribuidos y no limitar su expansión futura;</w:t>
      </w:r>
    </w:p>
    <w:p w14:paraId="017DE433" w14:textId="400EFA7C" w:rsidR="004951A4" w:rsidRPr="00C8133B" w:rsidRDefault="004951A4" w:rsidP="009E35B9">
      <w:pPr>
        <w:rPr>
          <w:lang w:val="es-ES"/>
        </w:rPr>
      </w:pPr>
      <w:r w:rsidRPr="00C8133B">
        <w:rPr>
          <w:i/>
          <w:lang w:val="es-ES"/>
        </w:rPr>
        <w:t>h)</w:t>
      </w:r>
      <w:r w:rsidRPr="00C8133B">
        <w:rPr>
          <w:lang w:val="es-ES"/>
        </w:rPr>
        <w:tab/>
        <w:t>que un enfoque coherente a la utilización de las bandas 10,7-10,95 GHz (espacio</w:t>
      </w:r>
      <w:r w:rsidR="009E35B9" w:rsidRPr="00C8133B">
        <w:rPr>
          <w:lang w:val="es-ES"/>
        </w:rPr>
        <w:noBreakHyphen/>
      </w:r>
      <w:r w:rsidRPr="00C8133B">
        <w:rPr>
          <w:lang w:val="es-ES"/>
        </w:rPr>
        <w:t xml:space="preserve">Tierra), 11,2-11,45 GHz (espacio-Tierra) y 12,75-13,25 GHz (Tierra-espacio) por ETEM aeronáuticas y marítimas en una situación que no sea la contemplada en el número </w:t>
      </w:r>
      <w:r w:rsidRPr="00C8133B">
        <w:rPr>
          <w:b/>
          <w:lang w:val="es-ES"/>
        </w:rPr>
        <w:t>4.4</w:t>
      </w:r>
      <w:r w:rsidRPr="00C8133B">
        <w:rPr>
          <w:lang w:val="es-ES"/>
        </w:rPr>
        <w:t xml:space="preserve"> puede responder a la necesidad creciente de conectividad a bordo de aeronaves y marítima a nivel mundial;</w:t>
      </w:r>
    </w:p>
    <w:p w14:paraId="55A82A21" w14:textId="77777777" w:rsidR="004951A4" w:rsidRPr="00C8133B" w:rsidRDefault="004951A4" w:rsidP="009E35B9">
      <w:pPr>
        <w:rPr>
          <w:lang w:val="es-ES"/>
        </w:rPr>
      </w:pPr>
      <w:r w:rsidRPr="00C8133B">
        <w:rPr>
          <w:i/>
          <w:iCs/>
          <w:lang w:val="es-ES"/>
        </w:rPr>
        <w:t>i)</w:t>
      </w:r>
      <w:r w:rsidRPr="00C8133B">
        <w:rPr>
          <w:i/>
          <w:iCs/>
          <w:lang w:val="es-ES"/>
        </w:rPr>
        <w:tab/>
      </w:r>
      <w:r w:rsidRPr="00C8133B">
        <w:rPr>
          <w:lang w:val="es-ES"/>
        </w:rPr>
        <w:t>que las ETEM aeronáuticas y marítimas deben satisfacer y operar en la envolvente de las características de emisión de las estaciones terrenas conexas en la red de satélites OSG,</w:t>
      </w:r>
    </w:p>
    <w:p w14:paraId="2F651745" w14:textId="77777777" w:rsidR="004951A4" w:rsidRPr="00C8133B" w:rsidRDefault="004951A4" w:rsidP="003201A0">
      <w:pPr>
        <w:pStyle w:val="Call"/>
        <w:rPr>
          <w:lang w:val="es-ES"/>
        </w:rPr>
      </w:pPr>
      <w:r w:rsidRPr="00C8133B">
        <w:rPr>
          <w:lang w:val="es-ES"/>
        </w:rPr>
        <w:lastRenderedPageBreak/>
        <w:t>reconociendo</w:t>
      </w:r>
    </w:p>
    <w:p w14:paraId="543A8ADB" w14:textId="3B30D516" w:rsidR="004951A4" w:rsidRPr="00C8133B" w:rsidRDefault="004951A4" w:rsidP="000F7941">
      <w:pPr>
        <w:rPr>
          <w:lang w:val="es-ES"/>
        </w:rPr>
      </w:pPr>
      <w:r w:rsidRPr="00C8133B">
        <w:rPr>
          <w:i/>
          <w:lang w:val="es-ES"/>
        </w:rPr>
        <w:t>a)</w:t>
      </w:r>
      <w:r w:rsidRPr="00C8133B">
        <w:rPr>
          <w:lang w:val="es-ES"/>
        </w:rPr>
        <w:tab/>
        <w:t>que la utilización de las bandas 10,7-10,95 GHz (espacio-Tierra), 11,2-11,45 GHz (espacio-Tierra) y 12,75-13,25 GHz (Tierra-espacio) por las redes de satélites</w:t>
      </w:r>
      <w:r w:rsidR="000F7941" w:rsidRPr="00C8133B">
        <w:rPr>
          <w:lang w:val="es-ES"/>
        </w:rPr>
        <w:t xml:space="preserve"> </w:t>
      </w:r>
      <w:r w:rsidRPr="00C8133B">
        <w:rPr>
          <w:lang w:val="es-ES"/>
        </w:rPr>
        <w:t xml:space="preserve">geoestacionarios del servicio fijo por satélite se ajusta a las disposiciones del Apéndice </w:t>
      </w:r>
      <w:r w:rsidRPr="00C8133B">
        <w:rPr>
          <w:b/>
          <w:bCs/>
          <w:lang w:val="es-ES"/>
        </w:rPr>
        <w:t>30B</w:t>
      </w:r>
      <w:r w:rsidRPr="00C8133B">
        <w:rPr>
          <w:lang w:val="es-ES"/>
        </w:rPr>
        <w:t xml:space="preserve">, conforme al número </w:t>
      </w:r>
      <w:r w:rsidRPr="00C8133B">
        <w:rPr>
          <w:b/>
          <w:lang w:val="es-ES"/>
        </w:rPr>
        <w:t>5.441</w:t>
      </w:r>
      <w:r w:rsidRPr="00C8133B">
        <w:rPr>
          <w:lang w:val="es-ES"/>
        </w:rPr>
        <w:t>;</w:t>
      </w:r>
    </w:p>
    <w:p w14:paraId="64EDD6C3" w14:textId="77777777" w:rsidR="004951A4" w:rsidRPr="00C8133B" w:rsidRDefault="004951A4" w:rsidP="000F7941">
      <w:pPr>
        <w:rPr>
          <w:lang w:val="es-ES"/>
        </w:rPr>
      </w:pPr>
      <w:r w:rsidRPr="00C8133B">
        <w:rPr>
          <w:i/>
          <w:lang w:val="es-ES"/>
        </w:rPr>
        <w:t>b</w:t>
      </w:r>
      <w:r w:rsidRPr="00C8133B">
        <w:rPr>
          <w:i/>
          <w:iCs/>
          <w:lang w:val="es-ES"/>
        </w:rPr>
        <w:t>)</w:t>
      </w:r>
      <w:r w:rsidRPr="00C8133B">
        <w:rPr>
          <w:lang w:val="es-ES"/>
        </w:rPr>
        <w:tab/>
        <w:t>que las ETEM aeronáuticas y marítimas en las bandas de frecuencias 10,7-10,95 GHz (espacio-Tierra) y 11,2-11,45 GHz (espacio-Tierra) recibirían pero no transmitirían;</w:t>
      </w:r>
      <w:bookmarkStart w:id="7" w:name="_GoBack"/>
      <w:bookmarkEnd w:id="7"/>
    </w:p>
    <w:p w14:paraId="3AAAD44B" w14:textId="59F63D4D" w:rsidR="004951A4" w:rsidRPr="00C8133B" w:rsidRDefault="004951A4" w:rsidP="000F7941">
      <w:pPr>
        <w:rPr>
          <w:lang w:val="es-ES"/>
        </w:rPr>
      </w:pPr>
      <w:r w:rsidRPr="00C8133B">
        <w:rPr>
          <w:i/>
          <w:iCs/>
          <w:lang w:val="es-ES"/>
        </w:rPr>
        <w:t>c)</w:t>
      </w:r>
      <w:r w:rsidR="000F7941" w:rsidRPr="00C8133B">
        <w:rPr>
          <w:lang w:val="es-ES"/>
        </w:rPr>
        <w:tab/>
      </w:r>
      <w:r w:rsidRPr="00C8133B">
        <w:rPr>
          <w:lang w:val="es-ES"/>
        </w:rPr>
        <w:t xml:space="preserve">que para las bandas en </w:t>
      </w:r>
      <w:r w:rsidRPr="00C8133B">
        <w:rPr>
          <w:i/>
          <w:iCs/>
          <w:lang w:val="es-ES"/>
        </w:rPr>
        <w:t>reconociendo b)</w:t>
      </w:r>
      <w:r w:rsidRPr="00C8133B">
        <w:rPr>
          <w:lang w:val="es-ES"/>
        </w:rPr>
        <w:t xml:space="preserve"> las ETEM aeronáuticas y marítimas no deben imponer limitaciones a otros servicios atribuidos o reclamar protección contra servicios atribuidos que operan de acuerdo con el Reglamento de Radiocomunicaciones;</w:t>
      </w:r>
    </w:p>
    <w:p w14:paraId="469F17F0" w14:textId="3905F661" w:rsidR="004951A4" w:rsidRPr="00C8133B" w:rsidRDefault="00C02437" w:rsidP="000F7941">
      <w:pPr>
        <w:rPr>
          <w:lang w:val="es-ES"/>
        </w:rPr>
      </w:pPr>
      <w:r w:rsidRPr="00C8133B">
        <w:rPr>
          <w:i/>
          <w:lang w:val="es-ES"/>
        </w:rPr>
        <w:t>d</w:t>
      </w:r>
      <w:r w:rsidR="004951A4" w:rsidRPr="00C8133B">
        <w:rPr>
          <w:i/>
          <w:lang w:val="es-ES"/>
        </w:rPr>
        <w:t>)</w:t>
      </w:r>
      <w:r w:rsidR="004951A4" w:rsidRPr="00C8133B">
        <w:rPr>
          <w:i/>
          <w:lang w:val="es-ES"/>
        </w:rPr>
        <w:tab/>
      </w:r>
      <w:r w:rsidR="004951A4" w:rsidRPr="00C8133B">
        <w:rPr>
          <w:lang w:val="es-ES"/>
        </w:rPr>
        <w:t>que Conferencias de Radiocomunicaciones Mundiales anteriores han aprobado medidas para que las ETEM aeronáuticas y marítimas se comuniquen con estaciones espaciales OSG en los SFS en ciertas atribuciones de frecuencias, conforme a ciertos requisitos técnicos y disposiciones reglamentarias conexas;</w:t>
      </w:r>
    </w:p>
    <w:p w14:paraId="60663218" w14:textId="38C207CE" w:rsidR="004951A4" w:rsidRPr="00C8133B" w:rsidRDefault="00C02437" w:rsidP="000F7941">
      <w:pPr>
        <w:rPr>
          <w:lang w:val="es-ES"/>
        </w:rPr>
      </w:pPr>
      <w:r w:rsidRPr="00C8133B">
        <w:rPr>
          <w:i/>
          <w:lang w:val="es-ES"/>
        </w:rPr>
        <w:t>e</w:t>
      </w:r>
      <w:r w:rsidR="004951A4" w:rsidRPr="00C8133B">
        <w:rPr>
          <w:i/>
          <w:iCs/>
          <w:lang w:val="es-ES"/>
        </w:rPr>
        <w:t>)</w:t>
      </w:r>
      <w:r w:rsidR="004951A4" w:rsidRPr="00C8133B">
        <w:rPr>
          <w:lang w:val="es-ES"/>
        </w:rPr>
        <w:tab/>
        <w:t>que estas ETEM no se utilizarán ni se basarán en las aplicaciones de seguridad de la vida humana;</w:t>
      </w:r>
    </w:p>
    <w:p w14:paraId="4B9CAFBD" w14:textId="7CD2F86F" w:rsidR="004951A4" w:rsidRPr="00C8133B" w:rsidRDefault="00C02437" w:rsidP="000F7941">
      <w:pPr>
        <w:rPr>
          <w:lang w:val="es-ES"/>
        </w:rPr>
      </w:pPr>
      <w:r w:rsidRPr="00C8133B">
        <w:rPr>
          <w:i/>
          <w:lang w:val="es-ES"/>
        </w:rPr>
        <w:t>f</w:t>
      </w:r>
      <w:r w:rsidR="004951A4" w:rsidRPr="00C8133B">
        <w:rPr>
          <w:i/>
          <w:iCs/>
          <w:lang w:val="es-ES"/>
        </w:rPr>
        <w:t>)</w:t>
      </w:r>
      <w:r w:rsidR="004951A4" w:rsidRPr="00C8133B">
        <w:rPr>
          <w:lang w:val="es-ES"/>
        </w:rPr>
        <w:tab/>
        <w:t>que el uso de la banda 12,75-13,25 GHz (Tierra-espacio) por sistemas de satélites no geoestacionarios del servicio fijo por satélite no reclamará protección contra redes de satélites geoestacionarios que funcionan de acuerdo con el Reglamento de Radiocomunicaciones,</w:t>
      </w:r>
    </w:p>
    <w:p w14:paraId="337BF029" w14:textId="77777777" w:rsidR="004951A4" w:rsidRPr="00C8133B" w:rsidRDefault="004951A4" w:rsidP="0041473B">
      <w:pPr>
        <w:pStyle w:val="Call"/>
        <w:rPr>
          <w:lang w:val="es-ES"/>
        </w:rPr>
      </w:pPr>
      <w:bookmarkStart w:id="8" w:name="RESOLUTION_650_(WRC-12)_–_Allocation_for"/>
      <w:bookmarkEnd w:id="8"/>
      <w:r w:rsidRPr="00C8133B">
        <w:rPr>
          <w:lang w:val="es-ES"/>
        </w:rPr>
        <w:t>resuelve invitar a la UIT-R</w:t>
      </w:r>
    </w:p>
    <w:p w14:paraId="34B9364D" w14:textId="41991FBD" w:rsidR="004951A4" w:rsidRPr="00C8133B" w:rsidRDefault="004951A4" w:rsidP="0041473B">
      <w:pPr>
        <w:rPr>
          <w:lang w:val="es-ES"/>
        </w:rPr>
      </w:pPr>
      <w:r w:rsidRPr="00C8133B">
        <w:rPr>
          <w:lang w:val="es-ES"/>
        </w:rPr>
        <w:t>1</w:t>
      </w:r>
      <w:r w:rsidRPr="00C8133B">
        <w:rPr>
          <w:lang w:val="es-ES"/>
        </w:rPr>
        <w:tab/>
        <w:t>a llevar adelante los estudios sobre características técnicas y operativas de las ETEM aeronáuticas y marítimas que se comunican o que planean comunicarse con estaciones espaciales OSG dentro de la atribución al SFS existentes en las bandas de frecuencias 10,7-10,95 GHz, 11,2</w:t>
      </w:r>
      <w:r w:rsidR="00520662" w:rsidRPr="00C8133B">
        <w:rPr>
          <w:lang w:val="es-ES"/>
        </w:rPr>
        <w:noBreakHyphen/>
      </w:r>
      <w:r w:rsidRPr="00C8133B">
        <w:rPr>
          <w:lang w:val="es-ES"/>
        </w:rPr>
        <w:t>11,45 GHz y 12,75-13,25 GHz;</w:t>
      </w:r>
    </w:p>
    <w:p w14:paraId="406506E8" w14:textId="5313BFE9" w:rsidR="004951A4" w:rsidRPr="00C8133B" w:rsidRDefault="004951A4" w:rsidP="0041473B">
      <w:pPr>
        <w:rPr>
          <w:lang w:val="es-ES"/>
        </w:rPr>
      </w:pPr>
      <w:r w:rsidRPr="00C8133B">
        <w:rPr>
          <w:lang w:val="es-ES"/>
        </w:rPr>
        <w:t>2</w:t>
      </w:r>
      <w:r w:rsidRPr="00C8133B">
        <w:rPr>
          <w:lang w:val="es-ES"/>
        </w:rPr>
        <w:tab/>
        <w:t>a estudiar compartición y compatibilidad entre ETEM aeronáuticas y marítimas que se comunican con estaciones espaciales OSG del SFS y estaciones actuales y planificadas de servicios existentes atribuidos en la banda de frecuencias 12,75-13,25 GHz para garantizar la protección de esos servicios sin imponer limitaciones indebidas;</w:t>
      </w:r>
    </w:p>
    <w:p w14:paraId="7EC6D170" w14:textId="77777777" w:rsidR="004951A4" w:rsidRPr="00C8133B" w:rsidRDefault="004951A4" w:rsidP="0041473B">
      <w:pPr>
        <w:rPr>
          <w:lang w:val="es-ES"/>
        </w:rPr>
      </w:pPr>
      <w:r w:rsidRPr="00C8133B">
        <w:rPr>
          <w:lang w:val="es-ES"/>
        </w:rPr>
        <w:t>3</w:t>
      </w:r>
      <w:r w:rsidRPr="00C8133B">
        <w:rPr>
          <w:lang w:val="es-ES"/>
        </w:rPr>
        <w:tab/>
        <w:t xml:space="preserve">a formular condiciones técnicas y disposiciones reglamentarias para la operación de las ETEM aeronáuticas y marítimas que se comunican con las estaciones espaciales OSG del SFS en las bandas de frecuencias 10,7-10,95 GHz (espacio-Tierra), 11,2-11,45 GHz (espacio-Tierra) y 12,75-13,25 GHz (Tierra-espacio) tomando en consideración el resultado de los estudios indicados en </w:t>
      </w:r>
      <w:r w:rsidRPr="00C8133B">
        <w:rPr>
          <w:i/>
          <w:iCs/>
          <w:lang w:val="es-ES"/>
        </w:rPr>
        <w:t>resuelve 1)</w:t>
      </w:r>
      <w:r w:rsidRPr="00C8133B">
        <w:rPr>
          <w:lang w:val="es-ES"/>
        </w:rPr>
        <w:t xml:space="preserve"> y </w:t>
      </w:r>
      <w:r w:rsidRPr="00C8133B">
        <w:rPr>
          <w:i/>
          <w:iCs/>
          <w:lang w:val="es-ES"/>
        </w:rPr>
        <w:t>2)</w:t>
      </w:r>
      <w:r w:rsidRPr="00C8133B">
        <w:rPr>
          <w:lang w:val="es-ES"/>
        </w:rPr>
        <w:t xml:space="preserve"> anterior y, en particular, sin afectar a ninguna disposición del Apéndice </w:t>
      </w:r>
      <w:r w:rsidRPr="00C8133B">
        <w:rPr>
          <w:b/>
          <w:lang w:val="es-ES"/>
        </w:rPr>
        <w:t>30B</w:t>
      </w:r>
      <w:r w:rsidRPr="00C8133B">
        <w:rPr>
          <w:lang w:val="es-ES"/>
        </w:rPr>
        <w:t>;</w:t>
      </w:r>
    </w:p>
    <w:p w14:paraId="2C5DA9C1" w14:textId="2A63780B" w:rsidR="004951A4" w:rsidRPr="00C8133B" w:rsidRDefault="004951A4" w:rsidP="0041473B">
      <w:pPr>
        <w:rPr>
          <w:color w:val="000000"/>
          <w:lang w:val="es-ES"/>
        </w:rPr>
      </w:pPr>
      <w:r w:rsidRPr="00C8133B">
        <w:rPr>
          <w:lang w:val="es-ES"/>
        </w:rPr>
        <w:t>4</w:t>
      </w:r>
      <w:r w:rsidRPr="00C8133B">
        <w:rPr>
          <w:lang w:val="es-ES"/>
        </w:rPr>
        <w:tab/>
        <w:t>a completar estudios a tiempo para la CMR-23,</w:t>
      </w:r>
    </w:p>
    <w:p w14:paraId="20461287" w14:textId="77777777" w:rsidR="004951A4" w:rsidRPr="00C8133B" w:rsidRDefault="004951A4" w:rsidP="00520662">
      <w:pPr>
        <w:pStyle w:val="Call"/>
        <w:rPr>
          <w:lang w:val="es-ES"/>
        </w:rPr>
      </w:pPr>
      <w:r w:rsidRPr="00C8133B">
        <w:rPr>
          <w:lang w:val="es-ES"/>
        </w:rPr>
        <w:t>resuelve además invitar a la CMR-23</w:t>
      </w:r>
    </w:p>
    <w:p w14:paraId="3B418E79" w14:textId="789BCCB7" w:rsidR="004951A4" w:rsidRPr="00C8133B" w:rsidRDefault="004951A4" w:rsidP="00520662">
      <w:pPr>
        <w:rPr>
          <w:lang w:val="es-ES"/>
        </w:rPr>
      </w:pPr>
      <w:r w:rsidRPr="00C8133B">
        <w:rPr>
          <w:lang w:val="es-ES"/>
        </w:rPr>
        <w:t xml:space="preserve">a considerar los resultados de los estudios antes mencionados en </w:t>
      </w:r>
      <w:r w:rsidRPr="00C8133B">
        <w:rPr>
          <w:i/>
          <w:iCs/>
          <w:lang w:val="es-ES"/>
        </w:rPr>
        <w:t>resuelve a invitar al UIT-R</w:t>
      </w:r>
      <w:r w:rsidRPr="00C8133B">
        <w:rPr>
          <w:lang w:val="es-ES"/>
        </w:rPr>
        <w:t xml:space="preserve"> y a tomar las medidas necesarias, según convenga,</w:t>
      </w:r>
    </w:p>
    <w:p w14:paraId="6D089043" w14:textId="77777777" w:rsidR="004951A4" w:rsidRPr="00C8133B" w:rsidRDefault="004951A4" w:rsidP="00520662">
      <w:pPr>
        <w:pStyle w:val="Call"/>
        <w:rPr>
          <w:lang w:val="es-ES"/>
        </w:rPr>
      </w:pPr>
      <w:r w:rsidRPr="00C8133B">
        <w:rPr>
          <w:lang w:val="es-ES"/>
        </w:rPr>
        <w:t>invita a las administraciones</w:t>
      </w:r>
    </w:p>
    <w:p w14:paraId="7C93499B" w14:textId="0DB92DE1" w:rsidR="004951A4" w:rsidRPr="00C8133B" w:rsidRDefault="004951A4" w:rsidP="00780AF0">
      <w:pPr>
        <w:rPr>
          <w:lang w:val="es-ES"/>
        </w:rPr>
      </w:pPr>
      <w:r w:rsidRPr="00C8133B">
        <w:rPr>
          <w:lang w:val="es-ES"/>
        </w:rPr>
        <w:t>a participar activamente en los estudios presentando contribuciones al UIT-R.</w:t>
      </w:r>
    </w:p>
    <w:p w14:paraId="1421CC76" w14:textId="77777777" w:rsidR="00641269" w:rsidRPr="00C8133B" w:rsidRDefault="00641269" w:rsidP="00641269">
      <w:pPr>
        <w:pStyle w:val="Reasons"/>
        <w:rPr>
          <w:lang w:val="es-ES"/>
        </w:rPr>
      </w:pPr>
    </w:p>
    <w:p w14:paraId="6BA736DB" w14:textId="77777777" w:rsidR="007670B5" w:rsidRPr="00C8133B" w:rsidRDefault="00335627">
      <w:pPr>
        <w:pStyle w:val="Proposal"/>
        <w:rPr>
          <w:lang w:val="es-ES"/>
        </w:rPr>
      </w:pPr>
      <w:r w:rsidRPr="00C8133B">
        <w:rPr>
          <w:lang w:val="es-ES"/>
        </w:rPr>
        <w:lastRenderedPageBreak/>
        <w:t>SUP</w:t>
      </w:r>
      <w:r w:rsidRPr="00C8133B">
        <w:rPr>
          <w:lang w:val="es-ES"/>
        </w:rPr>
        <w:tab/>
        <w:t>IAP/11A24A11/3</w:t>
      </w:r>
    </w:p>
    <w:p w14:paraId="08F060B4" w14:textId="77777777" w:rsidR="007B7DBC" w:rsidRPr="00C8133B" w:rsidRDefault="00335627" w:rsidP="00420087">
      <w:pPr>
        <w:pStyle w:val="ResNo"/>
        <w:rPr>
          <w:lang w:val="es-ES"/>
        </w:rPr>
      </w:pPr>
      <w:r w:rsidRPr="00C8133B">
        <w:rPr>
          <w:lang w:val="es-ES"/>
        </w:rPr>
        <w:t xml:space="preserve">RESOLUCIÓN </w:t>
      </w:r>
      <w:r w:rsidRPr="00C8133B">
        <w:rPr>
          <w:rStyle w:val="href"/>
          <w:lang w:val="es-ES"/>
        </w:rPr>
        <w:t>810</w:t>
      </w:r>
      <w:r w:rsidRPr="00C8133B">
        <w:rPr>
          <w:lang w:val="es-ES"/>
        </w:rPr>
        <w:t xml:space="preserve"> (CMR-15)</w:t>
      </w:r>
    </w:p>
    <w:p w14:paraId="08BA97A9" w14:textId="77777777" w:rsidR="007B7DBC" w:rsidRPr="00C8133B" w:rsidRDefault="00335627" w:rsidP="00144164">
      <w:pPr>
        <w:pStyle w:val="Restitle"/>
        <w:rPr>
          <w:lang w:val="es-ES"/>
        </w:rPr>
      </w:pPr>
      <w:bookmarkStart w:id="9" w:name="_Toc320536610"/>
      <w:r w:rsidRPr="00C8133B">
        <w:rPr>
          <w:lang w:val="es-ES"/>
        </w:rPr>
        <w:t>Orden del día preliminar de la Conferencia Mundial</w:t>
      </w:r>
      <w:r w:rsidRPr="00C8133B">
        <w:rPr>
          <w:lang w:val="es-ES"/>
        </w:rPr>
        <w:br/>
        <w:t>de Radiocomunicaciones de 20</w:t>
      </w:r>
      <w:bookmarkEnd w:id="9"/>
      <w:r w:rsidRPr="00C8133B">
        <w:rPr>
          <w:lang w:val="es-ES"/>
        </w:rPr>
        <w:t>23</w:t>
      </w:r>
    </w:p>
    <w:p w14:paraId="618A9D6F" w14:textId="18E3D9E2" w:rsidR="007670B5" w:rsidRPr="00C8133B" w:rsidRDefault="00335627">
      <w:pPr>
        <w:pStyle w:val="Reasons"/>
        <w:rPr>
          <w:lang w:val="es-ES"/>
        </w:rPr>
      </w:pPr>
      <w:r w:rsidRPr="00C8133B">
        <w:rPr>
          <w:b/>
          <w:lang w:val="es-ES"/>
        </w:rPr>
        <w:t>Motivos:</w:t>
      </w:r>
      <w:r w:rsidRPr="00C8133B">
        <w:rPr>
          <w:lang w:val="es-ES"/>
        </w:rPr>
        <w:tab/>
      </w:r>
      <w:r w:rsidR="004951A4" w:rsidRPr="00C8133B">
        <w:rPr>
          <w:lang w:val="es-ES"/>
        </w:rPr>
        <w:t>Esta Resolución debe suprimirse, ya que la CMR-19 establecerá una nueva Resolución que incorporará el orden del día de la CMR-23.</w:t>
      </w:r>
    </w:p>
    <w:p w14:paraId="782A752F" w14:textId="0FDE9439" w:rsidR="004951A4" w:rsidRPr="00C8133B" w:rsidRDefault="004951A4" w:rsidP="00F67C1A">
      <w:pPr>
        <w:rPr>
          <w:lang w:val="es-ES"/>
        </w:rPr>
      </w:pPr>
      <w:r w:rsidRPr="00C8133B">
        <w:rPr>
          <w:lang w:val="es-ES"/>
        </w:rPr>
        <w:br w:type="page"/>
      </w:r>
    </w:p>
    <w:p w14:paraId="02BA8619" w14:textId="77777777" w:rsidR="004951A4" w:rsidRPr="00C8133B" w:rsidRDefault="004951A4" w:rsidP="00D556DD">
      <w:pPr>
        <w:pStyle w:val="Annextitle"/>
        <w:rPr>
          <w:sz w:val="22"/>
          <w:szCs w:val="22"/>
          <w:lang w:val="es-ES"/>
        </w:rPr>
      </w:pPr>
      <w:r w:rsidRPr="00C8133B">
        <w:rPr>
          <w:sz w:val="22"/>
          <w:szCs w:val="22"/>
          <w:lang w:val="es-ES"/>
        </w:rPr>
        <w:lastRenderedPageBreak/>
        <w:t>ADJUNTO</w:t>
      </w:r>
    </w:p>
    <w:p w14:paraId="34ED19AD" w14:textId="1632BD38" w:rsidR="004951A4" w:rsidRPr="00C8133B" w:rsidRDefault="004951A4" w:rsidP="00DE6478">
      <w:pPr>
        <w:jc w:val="both"/>
        <w:rPr>
          <w:b/>
          <w:sz w:val="22"/>
          <w:szCs w:val="22"/>
          <w:lang w:val="es-ES"/>
        </w:rPr>
      </w:pPr>
      <w:bookmarkStart w:id="10" w:name="_Hlk535486023"/>
      <w:r w:rsidRPr="00C8133B">
        <w:rPr>
          <w:b/>
          <w:sz w:val="22"/>
          <w:szCs w:val="22"/>
          <w:lang w:val="es-ES"/>
        </w:rPr>
        <w:t xml:space="preserve">Asunto: </w:t>
      </w:r>
      <w:bookmarkEnd w:id="10"/>
      <w:r w:rsidRPr="00C8133B">
        <w:rPr>
          <w:sz w:val="22"/>
          <w:szCs w:val="22"/>
          <w:lang w:val="es-ES"/>
        </w:rPr>
        <w:t>Consideración de la utilización de las bandas de frecuencias 10,7-10,95 GHz (espacio</w:t>
      </w:r>
      <w:r w:rsidR="00D556DD" w:rsidRPr="00C8133B">
        <w:rPr>
          <w:sz w:val="22"/>
          <w:szCs w:val="22"/>
          <w:lang w:val="es-ES"/>
        </w:rPr>
        <w:noBreakHyphen/>
      </w:r>
      <w:r w:rsidRPr="00C8133B">
        <w:rPr>
          <w:sz w:val="22"/>
          <w:szCs w:val="22"/>
          <w:lang w:val="es-ES"/>
        </w:rPr>
        <w:t>Tierra), 11,2</w:t>
      </w:r>
      <w:r w:rsidR="00DE6478" w:rsidRPr="00C8133B">
        <w:rPr>
          <w:sz w:val="22"/>
          <w:szCs w:val="22"/>
          <w:lang w:val="es-ES"/>
        </w:rPr>
        <w:noBreakHyphen/>
      </w:r>
      <w:r w:rsidRPr="00C8133B">
        <w:rPr>
          <w:sz w:val="22"/>
          <w:szCs w:val="22"/>
          <w:lang w:val="es-ES"/>
        </w:rPr>
        <w:t>11,45 GHz (espacio-Tierra) y 12,75-13,25 GHz (Tierra-espacio) por las ETEM aeronáuticas y marítimas que se comunican con estaciones espaciales geoestacionarias en el</w:t>
      </w:r>
      <w:r w:rsidR="00D556DD" w:rsidRPr="00C8133B">
        <w:rPr>
          <w:sz w:val="22"/>
          <w:szCs w:val="22"/>
          <w:lang w:val="es-ES"/>
        </w:rPr>
        <w:t> </w:t>
      </w:r>
      <w:r w:rsidRPr="00C8133B">
        <w:rPr>
          <w:sz w:val="22"/>
          <w:szCs w:val="22"/>
          <w:lang w:val="es-ES"/>
        </w:rPr>
        <w:t>SFS.</w:t>
      </w:r>
    </w:p>
    <w:p w14:paraId="78367804" w14:textId="2EE5ABFD" w:rsidR="004951A4" w:rsidRPr="00C8133B" w:rsidRDefault="004951A4" w:rsidP="00FE5B88">
      <w:pPr>
        <w:rPr>
          <w:b/>
          <w:bCs/>
          <w:lang w:val="es-ES"/>
        </w:rPr>
      </w:pPr>
      <w:r w:rsidRPr="00C8133B">
        <w:rPr>
          <w:b/>
          <w:bCs/>
          <w:lang w:val="es-ES"/>
        </w:rPr>
        <w:t>Origen:</w:t>
      </w:r>
      <w:r w:rsidRPr="00C8133B">
        <w:rPr>
          <w:lang w:val="es-ES"/>
        </w:rPr>
        <w:t xml:space="preserve"> Estados Miembros de la CITEL</w:t>
      </w:r>
    </w:p>
    <w:p w14:paraId="5CA71BDA" w14:textId="77777777" w:rsidR="004951A4" w:rsidRPr="00C8133B" w:rsidRDefault="004951A4" w:rsidP="004951A4">
      <w:pPr>
        <w:pBdr>
          <w:bottom w:val="single" w:sz="12" w:space="1" w:color="auto"/>
        </w:pBdr>
        <w:tabs>
          <w:tab w:val="left" w:pos="794"/>
          <w:tab w:val="left" w:pos="1191"/>
          <w:tab w:val="left" w:pos="1588"/>
          <w:tab w:val="left" w:pos="1985"/>
        </w:tabs>
        <w:jc w:val="both"/>
        <w:rPr>
          <w:color w:val="000000"/>
          <w:sz w:val="22"/>
          <w:lang w:val="es-ES"/>
        </w:rPr>
      </w:pPr>
    </w:p>
    <w:p w14:paraId="11E45157" w14:textId="47E04359" w:rsidR="004951A4" w:rsidRPr="00C8133B" w:rsidRDefault="004951A4" w:rsidP="00144164">
      <w:pPr>
        <w:jc w:val="both"/>
        <w:rPr>
          <w:b/>
          <w:i/>
          <w:iCs/>
          <w:color w:val="000000"/>
          <w:sz w:val="22"/>
          <w:szCs w:val="22"/>
          <w:lang w:val="es-ES"/>
        </w:rPr>
      </w:pPr>
      <w:r w:rsidRPr="00C8133B">
        <w:rPr>
          <w:b/>
          <w:bCs/>
          <w:i/>
          <w:iCs/>
          <w:color w:val="000000"/>
          <w:sz w:val="22"/>
          <w:szCs w:val="22"/>
          <w:lang w:val="es-ES"/>
        </w:rPr>
        <w:t>Propuesta</w:t>
      </w:r>
      <w:r w:rsidRPr="00C8133B">
        <w:rPr>
          <w:b/>
          <w:i/>
          <w:iCs/>
          <w:color w:val="000000"/>
          <w:sz w:val="22"/>
          <w:szCs w:val="22"/>
          <w:lang w:val="es-ES"/>
        </w:rPr>
        <w:t>:</w:t>
      </w:r>
      <w:r w:rsidRPr="00C8133B">
        <w:rPr>
          <w:i/>
          <w:iCs/>
          <w:color w:val="000000"/>
          <w:sz w:val="22"/>
          <w:szCs w:val="22"/>
          <w:lang w:val="es-ES"/>
        </w:rPr>
        <w:t xml:space="preserve"> </w:t>
      </w:r>
      <w:r w:rsidRPr="00C8133B">
        <w:rPr>
          <w:i/>
          <w:iCs/>
          <w:sz w:val="22"/>
          <w:szCs w:val="22"/>
          <w:lang w:val="es-ES"/>
        </w:rPr>
        <w:t>Considerar la utilización de las bandas de frecuencias 10,7-10,95 GHz (espacio</w:t>
      </w:r>
      <w:r w:rsidR="00E05016" w:rsidRPr="00C8133B">
        <w:rPr>
          <w:i/>
          <w:iCs/>
          <w:sz w:val="22"/>
          <w:szCs w:val="22"/>
          <w:lang w:val="es-ES"/>
        </w:rPr>
        <w:noBreakHyphen/>
      </w:r>
      <w:r w:rsidRPr="00C8133B">
        <w:rPr>
          <w:i/>
          <w:iCs/>
          <w:sz w:val="22"/>
          <w:szCs w:val="22"/>
          <w:lang w:val="es-ES"/>
        </w:rPr>
        <w:t>Tierra), 11,2</w:t>
      </w:r>
      <w:r w:rsidR="00144164" w:rsidRPr="00C8133B">
        <w:rPr>
          <w:i/>
          <w:iCs/>
          <w:sz w:val="22"/>
          <w:szCs w:val="22"/>
          <w:lang w:val="es-ES"/>
        </w:rPr>
        <w:noBreakHyphen/>
      </w:r>
      <w:r w:rsidRPr="00C8133B">
        <w:rPr>
          <w:i/>
          <w:iCs/>
          <w:sz w:val="22"/>
          <w:szCs w:val="22"/>
          <w:lang w:val="es-ES"/>
        </w:rPr>
        <w:t>11,45 GHz (espacio-Tierra) y 12,75-13,25 GHz (Tierra-espacio) por las ETEM aeronáuticas y marítimas que se comunican con estaciones espaciales geoestacionarias del servicio fijo por satélite, de acuerdo con la Resolución [</w:t>
      </w:r>
      <w:r w:rsidR="00ED75B9" w:rsidRPr="00C8133B">
        <w:rPr>
          <w:i/>
          <w:iCs/>
          <w:sz w:val="22"/>
          <w:szCs w:val="22"/>
          <w:lang w:val="es-ES"/>
        </w:rPr>
        <w:t>IAP-2/10(K)/ESIM-AERO-MAR</w:t>
      </w:r>
      <w:r w:rsidRPr="00C8133B">
        <w:rPr>
          <w:i/>
          <w:iCs/>
          <w:sz w:val="22"/>
          <w:szCs w:val="22"/>
          <w:lang w:val="es-ES"/>
        </w:rPr>
        <w:t>] (CMR-19).</w:t>
      </w:r>
    </w:p>
    <w:p w14:paraId="7F113398" w14:textId="77777777" w:rsidR="004951A4" w:rsidRPr="00C8133B" w:rsidRDefault="004951A4" w:rsidP="004951A4">
      <w:pPr>
        <w:pBdr>
          <w:bottom w:val="single" w:sz="12" w:space="1" w:color="auto"/>
        </w:pBdr>
        <w:tabs>
          <w:tab w:val="left" w:pos="794"/>
          <w:tab w:val="left" w:pos="1191"/>
          <w:tab w:val="left" w:pos="1588"/>
          <w:tab w:val="left" w:pos="1985"/>
        </w:tabs>
        <w:jc w:val="both"/>
        <w:rPr>
          <w:color w:val="000000"/>
          <w:sz w:val="22"/>
          <w:lang w:val="es-ES"/>
        </w:rPr>
      </w:pPr>
    </w:p>
    <w:p w14:paraId="49F9A08D" w14:textId="77777777" w:rsidR="004951A4" w:rsidRPr="00C8133B" w:rsidRDefault="004951A4" w:rsidP="004951A4">
      <w:pPr>
        <w:jc w:val="both"/>
        <w:rPr>
          <w:sz w:val="22"/>
          <w:lang w:val="es-ES"/>
        </w:rPr>
      </w:pPr>
      <w:r w:rsidRPr="00C8133B">
        <w:rPr>
          <w:b/>
          <w:i/>
          <w:color w:val="000000"/>
          <w:sz w:val="22"/>
          <w:lang w:val="es-ES"/>
        </w:rPr>
        <w:t>Antecedentes/motivos:</w:t>
      </w:r>
      <w:r w:rsidRPr="00C8133B">
        <w:rPr>
          <w:sz w:val="22"/>
          <w:lang w:val="es-ES"/>
        </w:rPr>
        <w:t xml:space="preserve"> Conforme a las disposiciones del Reglamento de Radiocomunicaciones, las redes satelitales del SFS que operan en el sentido Tierra-espacio en la banda de frecuencias 12,75-13,25 GHz solo pueden suministrar servicios a ETEM aeronáuticas y marítimas al amparo del número </w:t>
      </w:r>
      <w:r w:rsidRPr="00C8133B">
        <w:rPr>
          <w:b/>
          <w:sz w:val="22"/>
          <w:lang w:val="es-ES"/>
        </w:rPr>
        <w:t>4.4</w:t>
      </w:r>
      <w:r w:rsidRPr="00C8133B">
        <w:rPr>
          <w:sz w:val="22"/>
          <w:lang w:val="es-ES"/>
        </w:rPr>
        <w:t>.</w:t>
      </w:r>
      <w:r w:rsidRPr="00C8133B">
        <w:rPr>
          <w:bCs/>
          <w:sz w:val="22"/>
          <w:lang w:val="es-ES"/>
        </w:rPr>
        <w:t xml:space="preserve"> </w:t>
      </w:r>
      <w:r w:rsidRPr="00C8133B">
        <w:rPr>
          <w:sz w:val="22"/>
          <w:lang w:val="es-ES"/>
        </w:rPr>
        <w:t>Esta disposición exige que las transmisiones conexas no ocasionen interferencia perjudicial ni reclamen protección contra la interferencia perjudicial provocada por una estación que funciona de acuerdo con atribuciones de frecuencias a título primario o secundario. Conferencias de Radiocomunicaciones Mundiales anteriores han aprobado requisitos técnicos y otras disposiciones reglamentarias conexas para que las ETEM aeronáuticas y marítimas se comuniquen con estaciones espaciales OSG del SFS en ciertas atribuciones de frecuencias del SFS.</w:t>
      </w:r>
    </w:p>
    <w:p w14:paraId="42775E98" w14:textId="0081A2B7" w:rsidR="004951A4" w:rsidRPr="00C8133B" w:rsidRDefault="004951A4" w:rsidP="004951A4">
      <w:pPr>
        <w:jc w:val="both"/>
        <w:rPr>
          <w:sz w:val="22"/>
          <w:lang w:val="es-ES"/>
        </w:rPr>
      </w:pPr>
      <w:r w:rsidRPr="00C8133B">
        <w:rPr>
          <w:sz w:val="22"/>
          <w:lang w:val="es-ES"/>
        </w:rPr>
        <w:t>Por ende, sería viable permitir a ETEM aeronáuticas y marítimas comunicarse con estaciones espaciales geoestacionarias del SFS que operan en las bandas de frecuencias 10,7-10,95 GHz (espacio-Tierra), 11,2</w:t>
      </w:r>
      <w:r w:rsidR="007147C6" w:rsidRPr="00C8133B">
        <w:rPr>
          <w:sz w:val="22"/>
          <w:lang w:val="es-ES"/>
        </w:rPr>
        <w:noBreakHyphen/>
      </w:r>
      <w:r w:rsidRPr="00C8133B">
        <w:rPr>
          <w:sz w:val="22"/>
          <w:lang w:val="es-ES"/>
        </w:rPr>
        <w:t>11,45</w:t>
      </w:r>
      <w:r w:rsidR="007147C6" w:rsidRPr="00C8133B">
        <w:rPr>
          <w:sz w:val="22"/>
          <w:lang w:val="es-ES"/>
        </w:rPr>
        <w:t> </w:t>
      </w:r>
      <w:r w:rsidRPr="00C8133B">
        <w:rPr>
          <w:sz w:val="22"/>
          <w:lang w:val="es-ES"/>
        </w:rPr>
        <w:t xml:space="preserve">GHz (espacio-Tierra) y 12,75-13,25 GHz (Tierra-espacio), lo cual permitiría la provisión de tales servicios con condición reglamentaria en lugar del número </w:t>
      </w:r>
      <w:r w:rsidRPr="00C8133B">
        <w:rPr>
          <w:b/>
          <w:sz w:val="22"/>
          <w:lang w:val="es-ES"/>
        </w:rPr>
        <w:t>4.4</w:t>
      </w:r>
      <w:r w:rsidRPr="00C8133B">
        <w:rPr>
          <w:bCs/>
          <w:sz w:val="22"/>
          <w:lang w:val="es-ES"/>
        </w:rPr>
        <w:t>.</w:t>
      </w:r>
    </w:p>
    <w:p w14:paraId="35865F48" w14:textId="77777777" w:rsidR="004951A4" w:rsidRPr="00C8133B" w:rsidRDefault="004951A4" w:rsidP="004951A4">
      <w:pPr>
        <w:jc w:val="both"/>
        <w:rPr>
          <w:sz w:val="22"/>
          <w:lang w:val="es-ES"/>
        </w:rPr>
      </w:pPr>
      <w:r w:rsidRPr="00C8133B">
        <w:rPr>
          <w:sz w:val="22"/>
          <w:lang w:val="es-ES"/>
        </w:rPr>
        <w:t xml:space="preserve">Esta utilización adicional no incidirá en las atribuciones/asignaciones del Apéndice </w:t>
      </w:r>
      <w:r w:rsidRPr="00C8133B">
        <w:rPr>
          <w:b/>
          <w:sz w:val="22"/>
          <w:lang w:val="es-ES"/>
        </w:rPr>
        <w:t>30B</w:t>
      </w:r>
      <w:r w:rsidRPr="00C8133B">
        <w:rPr>
          <w:sz w:val="22"/>
          <w:lang w:val="es-ES"/>
        </w:rPr>
        <w:t xml:space="preserve">. </w:t>
      </w:r>
      <w:bookmarkStart w:id="11" w:name="_Hlk11696131"/>
      <w:r w:rsidRPr="00C8133B">
        <w:rPr>
          <w:sz w:val="22"/>
          <w:lang w:val="es-ES"/>
        </w:rPr>
        <w:t xml:space="preserve">Las estaciones terrenas en aeronaves y embarcaciones, de manera similar a cualquier otra estación terrena que opera en asignaciones de frecuencias del Apéndice </w:t>
      </w:r>
      <w:r w:rsidRPr="00C8133B">
        <w:rPr>
          <w:b/>
          <w:sz w:val="22"/>
          <w:lang w:val="es-ES"/>
        </w:rPr>
        <w:t>30B</w:t>
      </w:r>
      <w:r w:rsidRPr="00C8133B">
        <w:rPr>
          <w:sz w:val="22"/>
          <w:lang w:val="es-ES"/>
        </w:rPr>
        <w:t xml:space="preserve">, serán operadas dentro del área de servicio y con las características notificadas para cada estación terrena del sistema SFS OSG (es decir, dentro de la envolvente de interferencia establecida para las estaciones terrenas del sistema SFS OSG). Dicha operación, en consecuencia, no debería provocar interferencia a otras adjudicaciones/asignaciones del Apéndice </w:t>
      </w:r>
      <w:r w:rsidRPr="00C8133B">
        <w:rPr>
          <w:b/>
          <w:bCs/>
          <w:sz w:val="22"/>
          <w:lang w:val="es-ES"/>
        </w:rPr>
        <w:t>30B</w:t>
      </w:r>
      <w:r w:rsidRPr="00C8133B">
        <w:rPr>
          <w:sz w:val="22"/>
          <w:lang w:val="es-ES"/>
        </w:rPr>
        <w:t>.</w:t>
      </w:r>
    </w:p>
    <w:bookmarkEnd w:id="11"/>
    <w:p w14:paraId="7F022857" w14:textId="77777777" w:rsidR="004951A4" w:rsidRPr="00C8133B" w:rsidRDefault="004951A4" w:rsidP="004951A4">
      <w:pPr>
        <w:pBdr>
          <w:bottom w:val="single" w:sz="12" w:space="1" w:color="auto"/>
        </w:pBdr>
        <w:jc w:val="both"/>
        <w:rPr>
          <w:color w:val="000000"/>
          <w:sz w:val="22"/>
          <w:lang w:val="es-ES"/>
        </w:rPr>
      </w:pPr>
    </w:p>
    <w:p w14:paraId="10D293FC" w14:textId="77777777" w:rsidR="004951A4" w:rsidRPr="00C8133B" w:rsidRDefault="004951A4" w:rsidP="004951A4">
      <w:pPr>
        <w:jc w:val="both"/>
        <w:rPr>
          <w:bCs/>
          <w:color w:val="000000"/>
          <w:sz w:val="22"/>
          <w:lang w:val="es-ES"/>
        </w:rPr>
      </w:pPr>
      <w:r w:rsidRPr="00C8133B">
        <w:rPr>
          <w:b/>
          <w:i/>
          <w:color w:val="000000"/>
          <w:sz w:val="22"/>
          <w:lang w:val="es-ES"/>
        </w:rPr>
        <w:t>Servicios de radiocomunicaciones implicados:</w:t>
      </w:r>
      <w:r w:rsidRPr="00C8133B">
        <w:rPr>
          <w:b/>
          <w:bCs/>
          <w:i/>
          <w:iCs/>
          <w:color w:val="000000"/>
          <w:sz w:val="22"/>
          <w:lang w:val="es-ES"/>
        </w:rPr>
        <w:t xml:space="preserve"> </w:t>
      </w:r>
      <w:r w:rsidRPr="00C8133B">
        <w:rPr>
          <w:bCs/>
          <w:iCs/>
          <w:color w:val="000000"/>
          <w:sz w:val="22"/>
          <w:lang w:val="es-ES"/>
        </w:rPr>
        <w:t>SFS, FS, MS y SRS (espacio profundo)</w:t>
      </w:r>
    </w:p>
    <w:p w14:paraId="7983E01E" w14:textId="77777777" w:rsidR="004951A4" w:rsidRPr="00C8133B" w:rsidRDefault="004951A4" w:rsidP="004951A4">
      <w:pPr>
        <w:pBdr>
          <w:bottom w:val="single" w:sz="12" w:space="1" w:color="auto"/>
        </w:pBdr>
        <w:jc w:val="both"/>
        <w:rPr>
          <w:color w:val="000000"/>
          <w:sz w:val="22"/>
          <w:lang w:val="es-ES"/>
        </w:rPr>
      </w:pPr>
    </w:p>
    <w:p w14:paraId="5339DA3B" w14:textId="77777777" w:rsidR="004951A4" w:rsidRPr="00C8133B" w:rsidRDefault="004951A4" w:rsidP="004951A4">
      <w:pPr>
        <w:jc w:val="both"/>
        <w:rPr>
          <w:b/>
          <w:bCs/>
          <w:i/>
          <w:color w:val="000000"/>
          <w:sz w:val="22"/>
          <w:lang w:val="es-ES"/>
        </w:rPr>
      </w:pPr>
      <w:r w:rsidRPr="00C8133B">
        <w:rPr>
          <w:b/>
          <w:i/>
          <w:color w:val="000000"/>
          <w:sz w:val="22"/>
          <w:lang w:val="es-ES"/>
        </w:rPr>
        <w:t>Indicación de posibles dificultades:</w:t>
      </w:r>
      <w:r w:rsidRPr="00C8133B">
        <w:rPr>
          <w:bCs/>
          <w:iCs/>
          <w:color w:val="000000"/>
          <w:sz w:val="22"/>
          <w:lang w:val="es-ES"/>
        </w:rPr>
        <w:t xml:space="preserve"> No se prevé ninguna.</w:t>
      </w:r>
    </w:p>
    <w:p w14:paraId="6D75E2AC" w14:textId="77777777" w:rsidR="004951A4" w:rsidRPr="00C8133B" w:rsidRDefault="004951A4" w:rsidP="004951A4">
      <w:pPr>
        <w:pBdr>
          <w:bottom w:val="single" w:sz="12" w:space="1" w:color="auto"/>
        </w:pBdr>
        <w:jc w:val="both"/>
        <w:rPr>
          <w:color w:val="000000"/>
          <w:sz w:val="22"/>
          <w:lang w:val="es-ES"/>
        </w:rPr>
      </w:pPr>
    </w:p>
    <w:p w14:paraId="5E85C722" w14:textId="0442E8FE" w:rsidR="004951A4" w:rsidRPr="00C8133B" w:rsidRDefault="004951A4" w:rsidP="004951A4">
      <w:pPr>
        <w:jc w:val="both"/>
        <w:rPr>
          <w:bCs/>
          <w:iCs/>
          <w:color w:val="000000"/>
          <w:sz w:val="22"/>
          <w:lang w:val="es-ES"/>
        </w:rPr>
      </w:pPr>
      <w:r w:rsidRPr="00C8133B">
        <w:rPr>
          <w:b/>
          <w:i/>
          <w:color w:val="000000"/>
          <w:sz w:val="22"/>
          <w:lang w:val="es-ES"/>
        </w:rPr>
        <w:t>Estudios anteriores/en curso sobre el tema:</w:t>
      </w:r>
    </w:p>
    <w:p w14:paraId="4D355DDC" w14:textId="77777777" w:rsidR="004951A4" w:rsidRPr="00C8133B" w:rsidRDefault="004951A4" w:rsidP="004951A4">
      <w:pPr>
        <w:jc w:val="both"/>
        <w:rPr>
          <w:bCs/>
          <w:color w:val="000000"/>
          <w:sz w:val="22"/>
          <w:lang w:val="es-ES"/>
        </w:rPr>
      </w:pPr>
      <w:r w:rsidRPr="00C8133B">
        <w:rPr>
          <w:bCs/>
          <w:iCs/>
          <w:color w:val="000000"/>
          <w:sz w:val="22"/>
          <w:lang w:val="es-ES"/>
        </w:rPr>
        <w:t>CMR anteriores han aprobado disposiciones técnicas y reglamentarias para que las estaciones terrenas en aeronaves se comuniquen con estaciones espaciales OSG del SFS. Estas decisiones se basaron en estudios realizados por el UIT-R.</w:t>
      </w:r>
    </w:p>
    <w:p w14:paraId="135E9A17" w14:textId="1FAC0562" w:rsidR="004951A4" w:rsidRPr="00C8133B" w:rsidRDefault="004951A4" w:rsidP="004951A4">
      <w:pPr>
        <w:jc w:val="both"/>
        <w:rPr>
          <w:bCs/>
          <w:color w:val="000000"/>
          <w:sz w:val="22"/>
          <w:lang w:val="es-ES"/>
        </w:rPr>
      </w:pPr>
      <w:r w:rsidRPr="00C8133B">
        <w:rPr>
          <w:bCs/>
          <w:color w:val="000000"/>
          <w:sz w:val="22"/>
          <w:lang w:val="es-ES"/>
        </w:rPr>
        <w:t xml:space="preserve">Una de las organizaciones regionales del UIT-R de la Región 1 ha realizado estudios técnicos sobre la introducción de estaciones terrenas en aeronaves en la banda </w:t>
      </w:r>
      <w:r w:rsidRPr="00C8133B">
        <w:rPr>
          <w:sz w:val="22"/>
          <w:lang w:val="es-ES"/>
        </w:rPr>
        <w:t>12,75-13,25 GHz.</w:t>
      </w:r>
    </w:p>
    <w:p w14:paraId="2F4A1DAD" w14:textId="77777777" w:rsidR="004951A4" w:rsidRPr="00C8133B" w:rsidRDefault="004951A4" w:rsidP="004951A4">
      <w:pPr>
        <w:pBdr>
          <w:bottom w:val="single" w:sz="12" w:space="1" w:color="auto"/>
        </w:pBdr>
        <w:rPr>
          <w:color w:val="000000"/>
          <w:sz w:val="22"/>
          <w:lang w:val="es-ES"/>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819"/>
        <w:gridCol w:w="4820"/>
      </w:tblGrid>
      <w:tr w:rsidR="008E0B65" w:rsidRPr="00C8133B" w14:paraId="1B2C3B45" w14:textId="77777777" w:rsidTr="003F1D2B">
        <w:tc>
          <w:tcPr>
            <w:tcW w:w="4819" w:type="dxa"/>
          </w:tcPr>
          <w:p w14:paraId="3828F279" w14:textId="77777777" w:rsidR="008E0B65" w:rsidRPr="00C8133B" w:rsidRDefault="008E0B65" w:rsidP="00D360CE">
            <w:pPr>
              <w:keepNext/>
              <w:keepLines/>
              <w:tabs>
                <w:tab w:val="left" w:pos="4366"/>
              </w:tabs>
              <w:rPr>
                <w:b/>
                <w:bCs/>
                <w:i/>
                <w:iCs/>
                <w:color w:val="000000"/>
                <w:sz w:val="22"/>
                <w:lang w:val="es-ES"/>
              </w:rPr>
            </w:pPr>
            <w:r w:rsidRPr="00C8133B">
              <w:rPr>
                <w:b/>
                <w:i/>
                <w:color w:val="000000"/>
                <w:sz w:val="22"/>
                <w:lang w:val="es-ES"/>
              </w:rPr>
              <w:lastRenderedPageBreak/>
              <w:t>Estudios que han de efectuarse a cargo de:</w:t>
            </w:r>
            <w:r w:rsidRPr="00C8133B">
              <w:rPr>
                <w:b/>
                <w:bCs/>
                <w:i/>
                <w:iCs/>
                <w:color w:val="000000"/>
                <w:sz w:val="22"/>
                <w:lang w:val="es-ES"/>
              </w:rPr>
              <w:t xml:space="preserve"> </w:t>
            </w:r>
            <w:r w:rsidRPr="00C8133B">
              <w:rPr>
                <w:bCs/>
                <w:iCs/>
                <w:color w:val="000000"/>
                <w:sz w:val="22"/>
                <w:lang w:val="es-ES"/>
              </w:rPr>
              <w:t>SG4</w:t>
            </w:r>
          </w:p>
        </w:tc>
        <w:tc>
          <w:tcPr>
            <w:tcW w:w="4820" w:type="dxa"/>
          </w:tcPr>
          <w:p w14:paraId="7030CCC3" w14:textId="603AAAF2" w:rsidR="008E0B65" w:rsidRPr="00C8133B" w:rsidRDefault="008E0B65" w:rsidP="00D360CE">
            <w:pPr>
              <w:keepNext/>
              <w:keepLines/>
              <w:tabs>
                <w:tab w:val="left" w:pos="360"/>
                <w:tab w:val="left" w:pos="900"/>
                <w:tab w:val="left" w:pos="4366"/>
              </w:tabs>
              <w:spacing w:after="240"/>
              <w:ind w:left="113"/>
              <w:rPr>
                <w:b/>
                <w:bCs/>
                <w:i/>
                <w:iCs/>
                <w:color w:val="000000"/>
                <w:sz w:val="22"/>
                <w:lang w:val="es-ES"/>
              </w:rPr>
            </w:pPr>
            <w:r w:rsidRPr="00C8133B">
              <w:rPr>
                <w:b/>
                <w:i/>
                <w:iCs/>
                <w:color w:val="000000"/>
                <w:sz w:val="22"/>
                <w:lang w:val="es-ES"/>
              </w:rPr>
              <w:t>con participación de</w:t>
            </w:r>
            <w:r w:rsidRPr="00C8133B">
              <w:rPr>
                <w:b/>
                <w:i/>
                <w:color w:val="000000"/>
                <w:sz w:val="22"/>
                <w:lang w:val="es-ES"/>
              </w:rPr>
              <w:t>:</w:t>
            </w:r>
            <w:r w:rsidRPr="00C8133B">
              <w:rPr>
                <w:b/>
                <w:i/>
                <w:iCs/>
                <w:color w:val="000000"/>
                <w:sz w:val="22"/>
                <w:lang w:val="es-ES"/>
              </w:rPr>
              <w:t xml:space="preserve"> </w:t>
            </w:r>
            <w:r w:rsidRPr="00C8133B">
              <w:rPr>
                <w:b/>
                <w:iCs/>
                <w:color w:val="000000"/>
                <w:sz w:val="22"/>
                <w:lang w:val="es-ES"/>
              </w:rPr>
              <w:t>SG5 y SG7</w:t>
            </w:r>
          </w:p>
        </w:tc>
      </w:tr>
    </w:tbl>
    <w:p w14:paraId="6562D3E5" w14:textId="585904B9" w:rsidR="004951A4" w:rsidRPr="00C8133B" w:rsidRDefault="004951A4" w:rsidP="00D360CE">
      <w:pPr>
        <w:keepNext/>
        <w:keepLines/>
        <w:rPr>
          <w:bCs/>
          <w:color w:val="000000"/>
          <w:sz w:val="22"/>
          <w:lang w:val="es-ES"/>
        </w:rPr>
      </w:pPr>
      <w:r w:rsidRPr="00C8133B">
        <w:rPr>
          <w:b/>
          <w:i/>
          <w:color w:val="000000"/>
          <w:sz w:val="22"/>
          <w:lang w:val="es-ES"/>
        </w:rPr>
        <w:t xml:space="preserve">Comisiones de Estudio del UIT-R interesadas: </w:t>
      </w:r>
      <w:r w:rsidRPr="00C8133B">
        <w:rPr>
          <w:bCs/>
          <w:iCs/>
          <w:color w:val="000000"/>
          <w:sz w:val="22"/>
          <w:lang w:val="es-ES"/>
        </w:rPr>
        <w:t>SG5 y SG7</w:t>
      </w:r>
    </w:p>
    <w:p w14:paraId="1B67F819" w14:textId="77777777" w:rsidR="004951A4" w:rsidRPr="00C8133B" w:rsidRDefault="004951A4" w:rsidP="00D360CE">
      <w:pPr>
        <w:keepNext/>
        <w:keepLines/>
        <w:pBdr>
          <w:bottom w:val="single" w:sz="12" w:space="1" w:color="auto"/>
        </w:pBdr>
        <w:rPr>
          <w:color w:val="000000"/>
          <w:sz w:val="22"/>
          <w:lang w:val="es-ES"/>
        </w:rPr>
      </w:pPr>
    </w:p>
    <w:p w14:paraId="7EA58CE1" w14:textId="4017DFEF" w:rsidR="004951A4" w:rsidRPr="00C8133B" w:rsidRDefault="004951A4" w:rsidP="00D360CE">
      <w:pPr>
        <w:keepNext/>
        <w:keepLines/>
        <w:tabs>
          <w:tab w:val="left" w:pos="360"/>
          <w:tab w:val="left" w:pos="900"/>
        </w:tabs>
        <w:rPr>
          <w:i/>
          <w:iCs/>
          <w:color w:val="000000"/>
          <w:sz w:val="22"/>
          <w:lang w:val="es-ES"/>
        </w:rPr>
      </w:pPr>
      <w:r w:rsidRPr="00C8133B">
        <w:rPr>
          <w:b/>
          <w:i/>
          <w:iCs/>
          <w:color w:val="000000"/>
          <w:sz w:val="22"/>
          <w:lang w:val="es-ES"/>
        </w:rPr>
        <w:t>Consecuencias en los recursos de la UIT, incluidas las implicaciones financieras (véase el CV126)</w:t>
      </w:r>
      <w:r w:rsidRPr="00C8133B">
        <w:rPr>
          <w:b/>
          <w:i/>
          <w:color w:val="000000"/>
          <w:sz w:val="22"/>
          <w:lang w:val="es-ES"/>
        </w:rPr>
        <w:t>:</w:t>
      </w:r>
      <w:r w:rsidRPr="00C8133B">
        <w:rPr>
          <w:i/>
          <w:iCs/>
          <w:color w:val="000000"/>
          <w:sz w:val="22"/>
          <w:lang w:val="es-ES"/>
        </w:rPr>
        <w:t xml:space="preserve"> </w:t>
      </w:r>
      <w:r w:rsidRPr="00C8133B">
        <w:rPr>
          <w:iCs/>
          <w:color w:val="000000"/>
          <w:sz w:val="22"/>
          <w:lang w:val="es-ES"/>
        </w:rPr>
        <w:t>Mínimas</w:t>
      </w:r>
    </w:p>
    <w:p w14:paraId="301A7D9D" w14:textId="77777777" w:rsidR="004951A4" w:rsidRPr="00C8133B" w:rsidRDefault="004951A4" w:rsidP="004951A4">
      <w:pPr>
        <w:pBdr>
          <w:bottom w:val="single" w:sz="12" w:space="1" w:color="auto"/>
        </w:pBdr>
        <w:rPr>
          <w:color w:val="000000"/>
          <w:sz w:val="22"/>
          <w:lang w:val="es-ES"/>
        </w:rPr>
      </w:pPr>
    </w:p>
    <w:p w14:paraId="0351BCD7" w14:textId="3D495706" w:rsidR="004951A4" w:rsidRPr="00C8133B" w:rsidRDefault="004951A4" w:rsidP="00D360CE">
      <w:pPr>
        <w:tabs>
          <w:tab w:val="left" w:pos="4620"/>
        </w:tabs>
        <w:rPr>
          <w:color w:val="000000"/>
          <w:sz w:val="22"/>
          <w:lang w:val="es-ES"/>
        </w:rPr>
      </w:pPr>
      <w:r w:rsidRPr="00C8133B">
        <w:rPr>
          <w:b/>
          <w:i/>
          <w:color w:val="000000"/>
          <w:sz w:val="22"/>
          <w:lang w:val="es-ES"/>
        </w:rPr>
        <w:t xml:space="preserve">Propuesta regional común: </w:t>
      </w:r>
      <w:r w:rsidRPr="00C8133B">
        <w:rPr>
          <w:color w:val="000000"/>
          <w:sz w:val="22"/>
          <w:lang w:val="es-ES"/>
        </w:rPr>
        <w:t>Sí/No</w:t>
      </w:r>
      <w:r w:rsidRPr="00C8133B">
        <w:rPr>
          <w:color w:val="000000"/>
          <w:sz w:val="22"/>
          <w:lang w:val="es-ES"/>
        </w:rPr>
        <w:tab/>
      </w:r>
      <w:r w:rsidRPr="00C8133B">
        <w:rPr>
          <w:b/>
          <w:bCs/>
          <w:i/>
          <w:iCs/>
          <w:color w:val="000000"/>
          <w:sz w:val="22"/>
          <w:lang w:val="es-ES"/>
        </w:rPr>
        <w:t>Propuesta presentada por más de un país</w:t>
      </w:r>
      <w:r w:rsidRPr="00C8133B">
        <w:rPr>
          <w:bCs/>
          <w:iCs/>
          <w:color w:val="000000"/>
          <w:sz w:val="22"/>
          <w:lang w:val="es-ES"/>
        </w:rPr>
        <w:t xml:space="preserve">: </w:t>
      </w:r>
      <w:r w:rsidRPr="00C8133B">
        <w:rPr>
          <w:color w:val="000000"/>
          <w:sz w:val="22"/>
          <w:lang w:val="es-ES"/>
        </w:rPr>
        <w:t>Sí/No</w:t>
      </w:r>
    </w:p>
    <w:p w14:paraId="71C63E8C" w14:textId="05A55D89" w:rsidR="004951A4" w:rsidRPr="00C8133B" w:rsidRDefault="004951A4" w:rsidP="00D360CE">
      <w:pPr>
        <w:tabs>
          <w:tab w:val="clear" w:pos="1134"/>
          <w:tab w:val="clear" w:pos="1871"/>
          <w:tab w:val="clear" w:pos="2268"/>
          <w:tab w:val="left" w:pos="4366"/>
        </w:tabs>
        <w:ind w:firstLine="770"/>
        <w:rPr>
          <w:b/>
          <w:i/>
          <w:color w:val="000000"/>
          <w:sz w:val="22"/>
          <w:lang w:val="es-ES"/>
        </w:rPr>
      </w:pPr>
      <w:r w:rsidRPr="00C8133B">
        <w:rPr>
          <w:b/>
          <w:i/>
          <w:color w:val="000000"/>
          <w:sz w:val="22"/>
          <w:lang w:val="es-ES"/>
        </w:rPr>
        <w:t>Número de países:</w:t>
      </w:r>
    </w:p>
    <w:p w14:paraId="5D5A74C6" w14:textId="77777777" w:rsidR="004951A4" w:rsidRPr="00C8133B" w:rsidRDefault="004951A4" w:rsidP="004951A4">
      <w:pPr>
        <w:pBdr>
          <w:bottom w:val="single" w:sz="12" w:space="1" w:color="auto"/>
        </w:pBdr>
        <w:rPr>
          <w:color w:val="000000"/>
          <w:sz w:val="22"/>
          <w:lang w:val="es-ES"/>
        </w:rPr>
      </w:pPr>
    </w:p>
    <w:p w14:paraId="6C7354AA" w14:textId="26734397" w:rsidR="004951A4" w:rsidRPr="00C8133B" w:rsidRDefault="004951A4" w:rsidP="00997086">
      <w:pPr>
        <w:rPr>
          <w:lang w:val="es-ES"/>
        </w:rPr>
      </w:pPr>
      <w:r w:rsidRPr="00C8133B">
        <w:rPr>
          <w:b/>
          <w:bCs/>
          <w:i/>
          <w:iCs/>
          <w:color w:val="000000"/>
          <w:sz w:val="22"/>
          <w:lang w:val="es-ES"/>
        </w:rPr>
        <w:t>Observaciones</w:t>
      </w:r>
    </w:p>
    <w:p w14:paraId="3611EC50" w14:textId="77777777" w:rsidR="003F1D2B" w:rsidRPr="00C8133B" w:rsidRDefault="003F1D2B" w:rsidP="00320F9A">
      <w:pPr>
        <w:rPr>
          <w:lang w:val="es-ES"/>
        </w:rPr>
      </w:pPr>
    </w:p>
    <w:p w14:paraId="68E903D4" w14:textId="63451C3F" w:rsidR="004951A4" w:rsidRPr="00C8133B" w:rsidRDefault="003F1D2B" w:rsidP="003F1D2B">
      <w:pPr>
        <w:jc w:val="center"/>
        <w:rPr>
          <w:lang w:val="es-ES"/>
        </w:rPr>
      </w:pPr>
      <w:r w:rsidRPr="00C8133B">
        <w:rPr>
          <w:lang w:val="es-ES"/>
        </w:rPr>
        <w:t>______________</w:t>
      </w:r>
    </w:p>
    <w:sectPr w:rsidR="004951A4" w:rsidRPr="00C8133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F397" w14:textId="77777777" w:rsidR="00FD03C4" w:rsidRDefault="00FD03C4">
      <w:r>
        <w:separator/>
      </w:r>
    </w:p>
  </w:endnote>
  <w:endnote w:type="continuationSeparator" w:id="0">
    <w:p w14:paraId="206D2319"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895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F77B1" w14:textId="4869D9BD" w:rsidR="0077084A" w:rsidRPr="00BF1474" w:rsidRDefault="0077084A">
    <w:pPr>
      <w:ind w:right="360"/>
    </w:pPr>
    <w:r>
      <w:fldChar w:fldCharType="begin"/>
    </w:r>
    <w:r w:rsidRPr="00BF1474">
      <w:instrText xml:space="preserve"> FILENAME \p  \* MERGEFORMAT </w:instrText>
    </w:r>
    <w:r>
      <w:fldChar w:fldCharType="separate"/>
    </w:r>
    <w:r w:rsidR="00F320F5" w:rsidRPr="00BF1474">
      <w:rPr>
        <w:noProof/>
      </w:rPr>
      <w:t>P:\ESP\ITU-R\CONF-R\CMR19\000\011ADD24ADD11S.docx</w:t>
    </w:r>
    <w:r>
      <w:fldChar w:fldCharType="end"/>
    </w:r>
    <w:r w:rsidRPr="00BF1474">
      <w:tab/>
    </w:r>
    <w:r>
      <w:fldChar w:fldCharType="begin"/>
    </w:r>
    <w:r>
      <w:instrText xml:space="preserve"> SAVEDATE \@ DD.MM.YY </w:instrText>
    </w:r>
    <w:r>
      <w:fldChar w:fldCharType="separate"/>
    </w:r>
    <w:r w:rsidR="00BF1474">
      <w:rPr>
        <w:noProof/>
      </w:rPr>
      <w:t>26.09.19</w:t>
    </w:r>
    <w:r>
      <w:fldChar w:fldCharType="end"/>
    </w:r>
    <w:r w:rsidRPr="00BF1474">
      <w:tab/>
    </w:r>
    <w:r>
      <w:fldChar w:fldCharType="begin"/>
    </w:r>
    <w:r>
      <w:instrText xml:space="preserve"> PRINTDATE \@ DD.MM.YY </w:instrText>
    </w:r>
    <w:r>
      <w:fldChar w:fldCharType="separate"/>
    </w:r>
    <w:r w:rsidR="00F320F5">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15F4" w14:textId="1FA2E067" w:rsidR="0077084A" w:rsidRPr="00C67E65" w:rsidRDefault="00C67E65" w:rsidP="00C67E65">
    <w:pPr>
      <w:pStyle w:val="Footer"/>
      <w:rPr>
        <w:lang w:val="en-GB"/>
      </w:rPr>
    </w:pPr>
    <w:r>
      <w:fldChar w:fldCharType="begin"/>
    </w:r>
    <w:r w:rsidRPr="00C67E65">
      <w:rPr>
        <w:lang w:val="en-GB"/>
      </w:rPr>
      <w:instrText xml:space="preserve"> FILENAME \p  \* MERGEFORMAT </w:instrText>
    </w:r>
    <w:r>
      <w:fldChar w:fldCharType="separate"/>
    </w:r>
    <w:r w:rsidR="00F320F5">
      <w:rPr>
        <w:lang w:val="en-GB"/>
      </w:rPr>
      <w:t>P:\ESP\ITU-R\CONF-R\CMR19\000\011ADD24ADD11S.docx</w:t>
    </w:r>
    <w:r>
      <w:fldChar w:fldCharType="end"/>
    </w:r>
    <w:r w:rsidRPr="00C67E65">
      <w:rPr>
        <w:lang w:val="en-GB"/>
      </w:rPr>
      <w:t xml:space="preserve"> (</w:t>
    </w:r>
    <w:r>
      <w:rPr>
        <w:lang w:val="en-GB"/>
      </w:rPr>
      <w:t>460776</w:t>
    </w:r>
    <w:r w:rsidRPr="00C67E65">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B090" w14:textId="5861D51A" w:rsidR="0077084A" w:rsidRPr="00C67E65" w:rsidRDefault="00C67E65" w:rsidP="00C67E65">
    <w:pPr>
      <w:pStyle w:val="Footer"/>
      <w:rPr>
        <w:lang w:val="en-GB"/>
      </w:rPr>
    </w:pPr>
    <w:r>
      <w:fldChar w:fldCharType="begin"/>
    </w:r>
    <w:r w:rsidRPr="00C67E65">
      <w:rPr>
        <w:lang w:val="en-GB"/>
      </w:rPr>
      <w:instrText xml:space="preserve"> FILENAME \p  \* MERGEFORMAT </w:instrText>
    </w:r>
    <w:r>
      <w:fldChar w:fldCharType="separate"/>
    </w:r>
    <w:r w:rsidR="00F320F5">
      <w:rPr>
        <w:lang w:val="en-GB"/>
      </w:rPr>
      <w:t>P:\ESP\ITU-R\CONF-R\CMR19\000\011ADD24ADD11S.docx</w:t>
    </w:r>
    <w:r>
      <w:fldChar w:fldCharType="end"/>
    </w:r>
    <w:r w:rsidRPr="00C67E65">
      <w:rPr>
        <w:lang w:val="en-GB"/>
      </w:rPr>
      <w:t xml:space="preserve"> (</w:t>
    </w:r>
    <w:r>
      <w:rPr>
        <w:lang w:val="en-GB"/>
      </w:rPr>
      <w:t>460776</w:t>
    </w:r>
    <w:r w:rsidRPr="00C67E65">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905E" w14:textId="77777777" w:rsidR="00FD03C4" w:rsidRDefault="00FD03C4">
      <w:r>
        <w:rPr>
          <w:b/>
        </w:rPr>
        <w:t>_______________</w:t>
      </w:r>
    </w:p>
  </w:footnote>
  <w:footnote w:type="continuationSeparator" w:id="0">
    <w:p w14:paraId="2A0E31E9" w14:textId="77777777" w:rsidR="00FD03C4" w:rsidRDefault="00FD03C4">
      <w:r>
        <w:continuationSeparator/>
      </w:r>
    </w:p>
  </w:footnote>
  <w:footnote w:id="1">
    <w:p w14:paraId="706D9C81" w14:textId="1D5A0E55" w:rsidR="00EE3535" w:rsidRPr="00365B8C" w:rsidRDefault="00EE3535" w:rsidP="00EE3535">
      <w:pPr>
        <w:pStyle w:val="FootnoteText"/>
        <w:rPr>
          <w:lang w:val="es-ES"/>
        </w:rPr>
      </w:pPr>
      <w:r w:rsidRPr="002F0B29">
        <w:rPr>
          <w:sz w:val="18"/>
          <w:szCs w:val="18"/>
          <w:lang w:val="es-ES"/>
        </w:rPr>
        <w:footnoteRef/>
      </w:r>
      <w:r w:rsidR="002F0B29">
        <w:rPr>
          <w:lang w:val="es-ES"/>
        </w:rPr>
        <w:tab/>
      </w:r>
      <w:r w:rsidRPr="00365B8C">
        <w:rPr>
          <w:lang w:val="es-ES"/>
        </w:rPr>
        <w:t xml:space="preserve">La utilización de la banda 12,75-13,25 GHz (Tierra-espacio) por sistemas de satélites geoestacionarios del servicio fijo por satélite se ajusta a las disposiciones del Apéndice </w:t>
      </w:r>
      <w:r w:rsidRPr="002F0B29">
        <w:rPr>
          <w:b/>
          <w:bCs/>
          <w:lang w:val="es-ES"/>
        </w:rPr>
        <w:t>30B</w:t>
      </w:r>
      <w:r w:rsidRPr="00365B8C">
        <w:rPr>
          <w:lang w:val="es-ES"/>
        </w:rPr>
        <w:t xml:space="preserve">, conforme al número </w:t>
      </w:r>
      <w:r w:rsidRPr="002F0B29">
        <w:rPr>
          <w:b/>
          <w:bCs/>
          <w:lang w:val="es-ES"/>
        </w:rPr>
        <w:t>5.441</w:t>
      </w:r>
      <w:r w:rsidRPr="006837B7">
        <w:rPr>
          <w:lang w:val="es-ES"/>
        </w:rPr>
        <w:t>.</w:t>
      </w:r>
    </w:p>
  </w:footnote>
  <w:footnote w:id="2">
    <w:p w14:paraId="3819F048" w14:textId="35F74C3B" w:rsidR="00EE3535" w:rsidRPr="00365B8C" w:rsidRDefault="00EE3535" w:rsidP="00EE3535">
      <w:pPr>
        <w:pStyle w:val="FootnoteText"/>
        <w:rPr>
          <w:lang w:val="es-ES"/>
        </w:rPr>
      </w:pPr>
      <w:r w:rsidRPr="002F0B29">
        <w:rPr>
          <w:sz w:val="18"/>
          <w:szCs w:val="18"/>
          <w:lang w:val="es-ES"/>
        </w:rPr>
        <w:footnoteRef/>
      </w:r>
      <w:r w:rsidR="002F0B29">
        <w:rPr>
          <w:lang w:val="es-ES"/>
        </w:rPr>
        <w:tab/>
      </w:r>
      <w:r w:rsidRPr="00365B8C">
        <w:rPr>
          <w:lang w:val="es-ES"/>
        </w:rPr>
        <w:t xml:space="preserve">La utilización de las bandas 10,7-10,95 GHz (espacio-Tierra) y 11,2-11,45 GHz (espacio-Tierra) por los sistemas de satélites geoestacionarios del servicio fijo por satélite se ajusta a las disposiciones del Apéndice </w:t>
      </w:r>
      <w:r w:rsidRPr="00261FF8">
        <w:rPr>
          <w:b/>
          <w:bCs/>
          <w:lang w:val="es-ES"/>
        </w:rPr>
        <w:t>30B</w:t>
      </w:r>
      <w:r w:rsidRPr="00365B8C">
        <w:rPr>
          <w:lang w:val="es-ES"/>
        </w:rPr>
        <w:t xml:space="preserve">, conforme al número </w:t>
      </w:r>
      <w:r w:rsidRPr="00261FF8">
        <w:rPr>
          <w:b/>
          <w:bCs/>
          <w:lang w:val="es-ES"/>
        </w:rPr>
        <w:t>5.441</w:t>
      </w:r>
      <w:r w:rsidRPr="00365B8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47E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D8C94E0"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24)(</w:t>
    </w:r>
    <w:proofErr w:type="gramEnd"/>
    <w:r w:rsidR="00702F3D">
      <w:t>Add.11)-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746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C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381B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0CA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3B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F2C3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38E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18B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729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EC63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5C0"/>
    <w:rsid w:val="0001645B"/>
    <w:rsid w:val="0002785D"/>
    <w:rsid w:val="00087AE8"/>
    <w:rsid w:val="000A5B9A"/>
    <w:rsid w:val="000E5BF9"/>
    <w:rsid w:val="000F0E6D"/>
    <w:rsid w:val="000F7941"/>
    <w:rsid w:val="00121170"/>
    <w:rsid w:val="00123CC5"/>
    <w:rsid w:val="00144164"/>
    <w:rsid w:val="0015142D"/>
    <w:rsid w:val="001616DC"/>
    <w:rsid w:val="00163962"/>
    <w:rsid w:val="00191A97"/>
    <w:rsid w:val="0019729C"/>
    <w:rsid w:val="001A083F"/>
    <w:rsid w:val="001C41FA"/>
    <w:rsid w:val="001E2B52"/>
    <w:rsid w:val="001E3F27"/>
    <w:rsid w:val="001E7D42"/>
    <w:rsid w:val="001F6B49"/>
    <w:rsid w:val="00222A2A"/>
    <w:rsid w:val="00236D2A"/>
    <w:rsid w:val="0024569E"/>
    <w:rsid w:val="00255F12"/>
    <w:rsid w:val="00261FF8"/>
    <w:rsid w:val="00262C09"/>
    <w:rsid w:val="002824D4"/>
    <w:rsid w:val="002A791F"/>
    <w:rsid w:val="002C1A52"/>
    <w:rsid w:val="002C1B26"/>
    <w:rsid w:val="002C5D6C"/>
    <w:rsid w:val="002E701F"/>
    <w:rsid w:val="002F0B29"/>
    <w:rsid w:val="003201A0"/>
    <w:rsid w:val="00320F9A"/>
    <w:rsid w:val="003248A9"/>
    <w:rsid w:val="00324FFA"/>
    <w:rsid w:val="0032680B"/>
    <w:rsid w:val="00335627"/>
    <w:rsid w:val="0035699E"/>
    <w:rsid w:val="00363A65"/>
    <w:rsid w:val="00365B8C"/>
    <w:rsid w:val="003B1E8C"/>
    <w:rsid w:val="003C2508"/>
    <w:rsid w:val="003D0AA3"/>
    <w:rsid w:val="003E2086"/>
    <w:rsid w:val="003F1D2B"/>
    <w:rsid w:val="003F4956"/>
    <w:rsid w:val="003F7F66"/>
    <w:rsid w:val="0041473B"/>
    <w:rsid w:val="00420087"/>
    <w:rsid w:val="004319AE"/>
    <w:rsid w:val="00440B3A"/>
    <w:rsid w:val="0044375A"/>
    <w:rsid w:val="0045384C"/>
    <w:rsid w:val="00454553"/>
    <w:rsid w:val="00472A86"/>
    <w:rsid w:val="004951A4"/>
    <w:rsid w:val="004957DF"/>
    <w:rsid w:val="004B124A"/>
    <w:rsid w:val="004B3095"/>
    <w:rsid w:val="004D2C7C"/>
    <w:rsid w:val="005133B5"/>
    <w:rsid w:val="00520662"/>
    <w:rsid w:val="00522B9B"/>
    <w:rsid w:val="00524392"/>
    <w:rsid w:val="00532097"/>
    <w:rsid w:val="0058350F"/>
    <w:rsid w:val="00583C7E"/>
    <w:rsid w:val="0059098E"/>
    <w:rsid w:val="005D46FB"/>
    <w:rsid w:val="005F2605"/>
    <w:rsid w:val="005F3B0E"/>
    <w:rsid w:val="005F559C"/>
    <w:rsid w:val="00602857"/>
    <w:rsid w:val="006124AD"/>
    <w:rsid w:val="0062183C"/>
    <w:rsid w:val="00624009"/>
    <w:rsid w:val="00641269"/>
    <w:rsid w:val="00662BA0"/>
    <w:rsid w:val="00671C75"/>
    <w:rsid w:val="0067344B"/>
    <w:rsid w:val="006837B7"/>
    <w:rsid w:val="00684A94"/>
    <w:rsid w:val="00692AAE"/>
    <w:rsid w:val="006C0E38"/>
    <w:rsid w:val="006D6E67"/>
    <w:rsid w:val="006E1A13"/>
    <w:rsid w:val="00701C20"/>
    <w:rsid w:val="00702F3D"/>
    <w:rsid w:val="0070518E"/>
    <w:rsid w:val="007147C6"/>
    <w:rsid w:val="00733D54"/>
    <w:rsid w:val="007354E9"/>
    <w:rsid w:val="0074579D"/>
    <w:rsid w:val="0074677D"/>
    <w:rsid w:val="00765578"/>
    <w:rsid w:val="00766333"/>
    <w:rsid w:val="007670B5"/>
    <w:rsid w:val="0077084A"/>
    <w:rsid w:val="00773F6A"/>
    <w:rsid w:val="00780AF0"/>
    <w:rsid w:val="00783234"/>
    <w:rsid w:val="007952C7"/>
    <w:rsid w:val="007C0B95"/>
    <w:rsid w:val="007C2317"/>
    <w:rsid w:val="007C6342"/>
    <w:rsid w:val="007D330A"/>
    <w:rsid w:val="00866AE6"/>
    <w:rsid w:val="008750A8"/>
    <w:rsid w:val="008E0B65"/>
    <w:rsid w:val="008E5AF2"/>
    <w:rsid w:val="0090121B"/>
    <w:rsid w:val="009144C9"/>
    <w:rsid w:val="0094091F"/>
    <w:rsid w:val="00962171"/>
    <w:rsid w:val="00973754"/>
    <w:rsid w:val="00997086"/>
    <w:rsid w:val="009C0BED"/>
    <w:rsid w:val="009E11EC"/>
    <w:rsid w:val="009E35B9"/>
    <w:rsid w:val="00A021CC"/>
    <w:rsid w:val="00A118DB"/>
    <w:rsid w:val="00A4450C"/>
    <w:rsid w:val="00AA5E6C"/>
    <w:rsid w:val="00AC11E1"/>
    <w:rsid w:val="00AD32A6"/>
    <w:rsid w:val="00AE5677"/>
    <w:rsid w:val="00AE658F"/>
    <w:rsid w:val="00AF2F78"/>
    <w:rsid w:val="00B0712B"/>
    <w:rsid w:val="00B11E7C"/>
    <w:rsid w:val="00B239FA"/>
    <w:rsid w:val="00B44C78"/>
    <w:rsid w:val="00B47331"/>
    <w:rsid w:val="00B52D55"/>
    <w:rsid w:val="00B8288C"/>
    <w:rsid w:val="00B84E23"/>
    <w:rsid w:val="00B86034"/>
    <w:rsid w:val="00BE2E80"/>
    <w:rsid w:val="00BE5EDD"/>
    <w:rsid w:val="00BE6A1F"/>
    <w:rsid w:val="00BF1474"/>
    <w:rsid w:val="00C02437"/>
    <w:rsid w:val="00C126C4"/>
    <w:rsid w:val="00C44E9E"/>
    <w:rsid w:val="00C532A3"/>
    <w:rsid w:val="00C55D63"/>
    <w:rsid w:val="00C63EB5"/>
    <w:rsid w:val="00C67E65"/>
    <w:rsid w:val="00C8133B"/>
    <w:rsid w:val="00C87DA7"/>
    <w:rsid w:val="00CC01E0"/>
    <w:rsid w:val="00CD5FEE"/>
    <w:rsid w:val="00CE60D2"/>
    <w:rsid w:val="00CE7431"/>
    <w:rsid w:val="00D0288A"/>
    <w:rsid w:val="00D360CE"/>
    <w:rsid w:val="00D556DD"/>
    <w:rsid w:val="00D626E7"/>
    <w:rsid w:val="00D72A5D"/>
    <w:rsid w:val="00D8777D"/>
    <w:rsid w:val="00DA71A3"/>
    <w:rsid w:val="00DC629B"/>
    <w:rsid w:val="00DE1C31"/>
    <w:rsid w:val="00DE6478"/>
    <w:rsid w:val="00E05016"/>
    <w:rsid w:val="00E05BFF"/>
    <w:rsid w:val="00E262E0"/>
    <w:rsid w:val="00E262F1"/>
    <w:rsid w:val="00E3176A"/>
    <w:rsid w:val="00E54754"/>
    <w:rsid w:val="00E56603"/>
    <w:rsid w:val="00E56BD3"/>
    <w:rsid w:val="00E6683A"/>
    <w:rsid w:val="00E71D14"/>
    <w:rsid w:val="00EA77F0"/>
    <w:rsid w:val="00ED75B9"/>
    <w:rsid w:val="00EE3535"/>
    <w:rsid w:val="00F320F5"/>
    <w:rsid w:val="00F32316"/>
    <w:rsid w:val="00F54E1C"/>
    <w:rsid w:val="00F66597"/>
    <w:rsid w:val="00F675D0"/>
    <w:rsid w:val="00F67C1A"/>
    <w:rsid w:val="00F711A0"/>
    <w:rsid w:val="00F8150C"/>
    <w:rsid w:val="00FB16BB"/>
    <w:rsid w:val="00FD03C4"/>
    <w:rsid w:val="00FE4574"/>
    <w:rsid w:val="00FE5B88"/>
    <w:rsid w:val="00FE5F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EDC7D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locked/>
    <w:rsid w:val="002824D4"/>
    <w:rPr>
      <w:rFonts w:ascii="Times New Roman" w:hAnsi="Times New Roman"/>
      <w:i/>
      <w:sz w:val="24"/>
      <w:lang w:val="es-ES_tradnl" w:eastAsia="en-US"/>
    </w:rPr>
  </w:style>
  <w:style w:type="character" w:customStyle="1" w:styleId="NormalaftertitleChar">
    <w:name w:val="Normal after title Char"/>
    <w:link w:val="Normalaftertitle"/>
    <w:rsid w:val="002824D4"/>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4957DF"/>
    <w:rPr>
      <w:rFonts w:ascii="Times New Roman" w:hAnsi="Times New Roman"/>
      <w:lang w:val="es-ES_tradnl" w:eastAsia="en-US"/>
    </w:rPr>
  </w:style>
  <w:style w:type="paragraph" w:styleId="BalloonText">
    <w:name w:val="Balloon Text"/>
    <w:basedOn w:val="Normal"/>
    <w:link w:val="BalloonTextChar"/>
    <w:semiHidden/>
    <w:unhideWhenUsed/>
    <w:rsid w:val="00F320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20F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8E71-A45E-440E-B0A5-EBA03B30C9CF}">
  <ds:schemaRefs>
    <ds:schemaRef ds:uri="http://schemas.microsoft.com/office/2006/documentManagement/types"/>
    <ds:schemaRef ds:uri="32a1a8c5-2265-4ebc-b7a0-2071e2c5c9bb"/>
    <ds:schemaRef ds:uri="http://schemas.openxmlformats.org/package/2006/metadata/core-properties"/>
    <ds:schemaRef ds:uri="http://www.w3.org/XML/1998/namespace"/>
    <ds:schemaRef ds:uri="http://purl.org/dc/dcmitype/"/>
    <ds:schemaRef ds:uri="http://purl.org/dc/elements/1.1/"/>
    <ds:schemaRef ds:uri="996b2e75-67fd-4955-a3b0-5ab9934cb50b"/>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7008A77-4946-450F-9A88-626D04586A27}">
  <ds:schemaRefs>
    <ds:schemaRef ds:uri="http://schemas.microsoft.com/sharepoint/v3/contenttype/forms"/>
  </ds:schemaRefs>
</ds:datastoreItem>
</file>

<file path=customXml/itemProps3.xml><?xml version="1.0" encoding="utf-8"?>
<ds:datastoreItem xmlns:ds="http://schemas.openxmlformats.org/officeDocument/2006/customXml" ds:itemID="{E03D58C8-AB42-42D6-98E3-3D726090E908}">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3472F5-BEE6-4C28-A659-E32BEB1C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2120</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R16-WRC19-C-0011!A24-A11!MSW-S</vt:lpstr>
    </vt:vector>
  </TitlesOfParts>
  <Manager>Secretaría General - Pool</Manager>
  <Company>Unión Internacional de Telecomunicaciones (UIT)</Company>
  <LinksUpToDate>false</LinksUpToDate>
  <CharactersWithSpaces>14708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R16-WRC19-C-0011!A24-A11!MSW-S</dc:title>
  <dc:subject>Conferencia Mundial de Radiocomunicaciones - 2019</dc:subject>
  <dc:creator>Documents Proposals Manager (DPM)</dc:creator>
  <cp:keywords>DPM_v2019.9.25.1_prod</cp:keywords>
  <dc:description/>
  <cp:lastModifiedBy>Soriano, Manuel</cp:lastModifiedBy>
  <cp:revision>65</cp:revision>
  <cp:lastPrinted>2019-09-26T09:34:00Z</cp:lastPrinted>
  <dcterms:created xsi:type="dcterms:W3CDTF">2019-09-25T13:51:00Z</dcterms:created>
  <dcterms:modified xsi:type="dcterms:W3CDTF">2019-09-27T09:23:00Z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