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8C27D5" w14:paraId="73183811" w14:textId="77777777" w:rsidTr="00DD6F90">
        <w:trPr>
          <w:cantSplit/>
        </w:trPr>
        <w:tc>
          <w:tcPr>
            <w:tcW w:w="6804" w:type="dxa"/>
          </w:tcPr>
          <w:p w14:paraId="4E28C498" w14:textId="77777777" w:rsidR="00BB1D82" w:rsidRPr="008C27D5" w:rsidRDefault="00851625" w:rsidP="002F7BA5">
            <w:pPr>
              <w:spacing w:before="400" w:after="48"/>
              <w:rPr>
                <w:rFonts w:ascii="Verdana" w:hAnsi="Verdana"/>
                <w:b/>
                <w:bCs/>
                <w:sz w:val="20"/>
              </w:rPr>
            </w:pPr>
            <w:r w:rsidRPr="008C27D5">
              <w:rPr>
                <w:rFonts w:ascii="Verdana" w:hAnsi="Verdana"/>
                <w:b/>
                <w:bCs/>
                <w:sz w:val="20"/>
              </w:rPr>
              <w:t>Conférence mondiale des radiocommunications (CMR-1</w:t>
            </w:r>
            <w:r w:rsidR="00FD7AA3" w:rsidRPr="008C27D5">
              <w:rPr>
                <w:rFonts w:ascii="Verdana" w:hAnsi="Verdana"/>
                <w:b/>
                <w:bCs/>
                <w:sz w:val="20"/>
              </w:rPr>
              <w:t>9</w:t>
            </w:r>
            <w:r w:rsidRPr="008C27D5">
              <w:rPr>
                <w:rFonts w:ascii="Verdana" w:hAnsi="Verdana"/>
                <w:b/>
                <w:bCs/>
                <w:sz w:val="20"/>
              </w:rPr>
              <w:t>)</w:t>
            </w:r>
            <w:r w:rsidRPr="008C27D5">
              <w:rPr>
                <w:rFonts w:ascii="Verdana" w:hAnsi="Verdana"/>
                <w:b/>
                <w:bCs/>
                <w:sz w:val="20"/>
              </w:rPr>
              <w:br/>
            </w:r>
            <w:r w:rsidR="00063A1F" w:rsidRPr="008C27D5">
              <w:rPr>
                <w:rFonts w:ascii="Verdana" w:hAnsi="Verdana"/>
                <w:b/>
                <w:bCs/>
                <w:sz w:val="18"/>
                <w:szCs w:val="18"/>
              </w:rPr>
              <w:t xml:space="preserve">Charm el-Cheikh, </w:t>
            </w:r>
            <w:r w:rsidR="00081366" w:rsidRPr="008C27D5">
              <w:rPr>
                <w:rFonts w:ascii="Verdana" w:hAnsi="Verdana"/>
                <w:b/>
                <w:bCs/>
                <w:sz w:val="18"/>
                <w:szCs w:val="18"/>
              </w:rPr>
              <w:t>É</w:t>
            </w:r>
            <w:r w:rsidR="00063A1F" w:rsidRPr="008C27D5">
              <w:rPr>
                <w:rFonts w:ascii="Verdana" w:hAnsi="Verdana"/>
                <w:b/>
                <w:bCs/>
                <w:sz w:val="18"/>
                <w:szCs w:val="18"/>
              </w:rPr>
              <w:t>gypte</w:t>
            </w:r>
            <w:r w:rsidRPr="008C27D5">
              <w:rPr>
                <w:rFonts w:ascii="Verdana" w:hAnsi="Verdana"/>
                <w:b/>
                <w:bCs/>
                <w:sz w:val="18"/>
                <w:szCs w:val="18"/>
              </w:rPr>
              <w:t>,</w:t>
            </w:r>
            <w:r w:rsidR="00E537FF" w:rsidRPr="008C27D5">
              <w:rPr>
                <w:rFonts w:ascii="Verdana" w:hAnsi="Verdana"/>
                <w:b/>
                <w:bCs/>
                <w:sz w:val="18"/>
                <w:szCs w:val="18"/>
              </w:rPr>
              <w:t xml:space="preserve"> </w:t>
            </w:r>
            <w:r w:rsidRPr="008C27D5">
              <w:rPr>
                <w:rFonts w:ascii="Verdana" w:hAnsi="Verdana"/>
                <w:b/>
                <w:bCs/>
                <w:sz w:val="18"/>
                <w:szCs w:val="18"/>
              </w:rPr>
              <w:t>2</w:t>
            </w:r>
            <w:r w:rsidR="00FD7AA3" w:rsidRPr="008C27D5">
              <w:rPr>
                <w:rFonts w:ascii="Verdana" w:hAnsi="Verdana"/>
                <w:b/>
                <w:bCs/>
                <w:sz w:val="18"/>
                <w:szCs w:val="18"/>
              </w:rPr>
              <w:t xml:space="preserve">8 octobre </w:t>
            </w:r>
            <w:r w:rsidR="00F10064" w:rsidRPr="008C27D5">
              <w:rPr>
                <w:rFonts w:ascii="Verdana" w:hAnsi="Verdana"/>
                <w:b/>
                <w:bCs/>
                <w:sz w:val="18"/>
                <w:szCs w:val="18"/>
              </w:rPr>
              <w:t>–</w:t>
            </w:r>
            <w:r w:rsidR="00FD7AA3" w:rsidRPr="008C27D5">
              <w:rPr>
                <w:rFonts w:ascii="Verdana" w:hAnsi="Verdana"/>
                <w:b/>
                <w:bCs/>
                <w:sz w:val="18"/>
                <w:szCs w:val="18"/>
              </w:rPr>
              <w:t xml:space="preserve"> </w:t>
            </w:r>
            <w:r w:rsidRPr="008C27D5">
              <w:rPr>
                <w:rFonts w:ascii="Verdana" w:hAnsi="Verdana"/>
                <w:b/>
                <w:bCs/>
                <w:sz w:val="18"/>
                <w:szCs w:val="18"/>
              </w:rPr>
              <w:t>2</w:t>
            </w:r>
            <w:r w:rsidR="00FD7AA3" w:rsidRPr="008C27D5">
              <w:rPr>
                <w:rFonts w:ascii="Verdana" w:hAnsi="Verdana"/>
                <w:b/>
                <w:bCs/>
                <w:sz w:val="18"/>
                <w:szCs w:val="18"/>
              </w:rPr>
              <w:t>2</w:t>
            </w:r>
            <w:r w:rsidRPr="008C27D5">
              <w:rPr>
                <w:rFonts w:ascii="Verdana" w:hAnsi="Verdana"/>
                <w:b/>
                <w:bCs/>
                <w:sz w:val="18"/>
                <w:szCs w:val="18"/>
              </w:rPr>
              <w:t xml:space="preserve"> novembre 201</w:t>
            </w:r>
            <w:r w:rsidR="00FD7AA3" w:rsidRPr="008C27D5">
              <w:rPr>
                <w:rFonts w:ascii="Verdana" w:hAnsi="Verdana"/>
                <w:b/>
                <w:bCs/>
                <w:sz w:val="18"/>
                <w:szCs w:val="18"/>
              </w:rPr>
              <w:t>9</w:t>
            </w:r>
          </w:p>
        </w:tc>
        <w:tc>
          <w:tcPr>
            <w:tcW w:w="3227" w:type="dxa"/>
          </w:tcPr>
          <w:p w14:paraId="0D0AD19D" w14:textId="77777777" w:rsidR="00BB1D82" w:rsidRPr="008C27D5" w:rsidRDefault="000A55AE" w:rsidP="002F7BA5">
            <w:pPr>
              <w:spacing w:before="0"/>
              <w:jc w:val="right"/>
            </w:pPr>
            <w:r w:rsidRPr="008C27D5">
              <w:rPr>
                <w:rFonts w:ascii="Verdana" w:hAnsi="Verdana"/>
                <w:b/>
                <w:bCs/>
                <w:noProof/>
                <w:lang w:eastAsia="zh-CN"/>
              </w:rPr>
              <w:drawing>
                <wp:inline distT="0" distB="0" distL="0" distR="0" wp14:anchorId="2E205C62" wp14:editId="2A84E97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C27D5" w14:paraId="026175D9" w14:textId="77777777" w:rsidTr="00DD6F90">
        <w:trPr>
          <w:cantSplit/>
        </w:trPr>
        <w:tc>
          <w:tcPr>
            <w:tcW w:w="6804" w:type="dxa"/>
            <w:tcBorders>
              <w:bottom w:val="single" w:sz="12" w:space="0" w:color="auto"/>
            </w:tcBorders>
          </w:tcPr>
          <w:p w14:paraId="032BE1AF" w14:textId="77777777" w:rsidR="00BB1D82" w:rsidRPr="008C27D5" w:rsidRDefault="00BB1D82" w:rsidP="002F7BA5">
            <w:pPr>
              <w:spacing w:before="0" w:after="48"/>
              <w:rPr>
                <w:b/>
                <w:smallCaps/>
                <w:szCs w:val="24"/>
              </w:rPr>
            </w:pPr>
            <w:bookmarkStart w:id="0" w:name="dhead"/>
          </w:p>
        </w:tc>
        <w:tc>
          <w:tcPr>
            <w:tcW w:w="3227" w:type="dxa"/>
            <w:tcBorders>
              <w:bottom w:val="single" w:sz="12" w:space="0" w:color="auto"/>
            </w:tcBorders>
          </w:tcPr>
          <w:p w14:paraId="457DB3A4" w14:textId="77777777" w:rsidR="00BB1D82" w:rsidRPr="008C27D5" w:rsidRDefault="00BB1D82" w:rsidP="002F7BA5">
            <w:pPr>
              <w:spacing w:before="0"/>
              <w:rPr>
                <w:rFonts w:ascii="Verdana" w:hAnsi="Verdana"/>
                <w:szCs w:val="24"/>
              </w:rPr>
            </w:pPr>
          </w:p>
        </w:tc>
      </w:tr>
      <w:tr w:rsidR="00BB1D82" w:rsidRPr="008C27D5" w14:paraId="7A5420FA" w14:textId="77777777" w:rsidTr="00DD6F90">
        <w:trPr>
          <w:cantSplit/>
        </w:trPr>
        <w:tc>
          <w:tcPr>
            <w:tcW w:w="6804" w:type="dxa"/>
            <w:tcBorders>
              <w:top w:val="single" w:sz="12" w:space="0" w:color="auto"/>
            </w:tcBorders>
          </w:tcPr>
          <w:p w14:paraId="6FF2B316" w14:textId="77777777" w:rsidR="00BB1D82" w:rsidRPr="008C27D5" w:rsidRDefault="00BB1D82" w:rsidP="002F7BA5">
            <w:pPr>
              <w:spacing w:before="0" w:after="48"/>
              <w:rPr>
                <w:rFonts w:ascii="Verdana" w:hAnsi="Verdana"/>
                <w:b/>
                <w:smallCaps/>
                <w:sz w:val="20"/>
              </w:rPr>
            </w:pPr>
          </w:p>
        </w:tc>
        <w:tc>
          <w:tcPr>
            <w:tcW w:w="3227" w:type="dxa"/>
            <w:tcBorders>
              <w:top w:val="single" w:sz="12" w:space="0" w:color="auto"/>
            </w:tcBorders>
          </w:tcPr>
          <w:p w14:paraId="4CCD481B" w14:textId="77777777" w:rsidR="00BB1D82" w:rsidRPr="008C27D5" w:rsidRDefault="00BB1D82" w:rsidP="002F7BA5">
            <w:pPr>
              <w:spacing w:before="0"/>
              <w:rPr>
                <w:rFonts w:ascii="Verdana" w:hAnsi="Verdana"/>
                <w:sz w:val="20"/>
              </w:rPr>
            </w:pPr>
          </w:p>
        </w:tc>
      </w:tr>
      <w:tr w:rsidR="00BB1D82" w:rsidRPr="008C27D5" w14:paraId="3F360428" w14:textId="77777777" w:rsidTr="00DD6F90">
        <w:trPr>
          <w:cantSplit/>
        </w:trPr>
        <w:tc>
          <w:tcPr>
            <w:tcW w:w="6804" w:type="dxa"/>
          </w:tcPr>
          <w:p w14:paraId="0882099D" w14:textId="77777777" w:rsidR="00BB1D82" w:rsidRPr="008C27D5" w:rsidRDefault="006D4724" w:rsidP="002F7BA5">
            <w:pPr>
              <w:spacing w:before="0"/>
              <w:rPr>
                <w:rFonts w:ascii="Verdana" w:hAnsi="Verdana"/>
                <w:b/>
                <w:sz w:val="20"/>
              </w:rPr>
            </w:pPr>
            <w:r w:rsidRPr="008C27D5">
              <w:rPr>
                <w:rFonts w:ascii="Verdana" w:hAnsi="Verdana"/>
                <w:b/>
                <w:sz w:val="20"/>
              </w:rPr>
              <w:t>SÉANCE PLÉNIÈRE</w:t>
            </w:r>
          </w:p>
        </w:tc>
        <w:tc>
          <w:tcPr>
            <w:tcW w:w="3227" w:type="dxa"/>
          </w:tcPr>
          <w:p w14:paraId="7FB789FF" w14:textId="77777777" w:rsidR="00BB1D82" w:rsidRPr="008C27D5" w:rsidRDefault="006D4724" w:rsidP="002F7BA5">
            <w:pPr>
              <w:spacing w:before="0"/>
              <w:rPr>
                <w:rFonts w:ascii="Verdana" w:hAnsi="Verdana"/>
                <w:sz w:val="20"/>
              </w:rPr>
            </w:pPr>
            <w:r w:rsidRPr="008C27D5">
              <w:rPr>
                <w:rFonts w:ascii="Verdana" w:hAnsi="Verdana"/>
                <w:b/>
                <w:sz w:val="20"/>
              </w:rPr>
              <w:t>Addendum 11 au</w:t>
            </w:r>
            <w:r w:rsidRPr="008C27D5">
              <w:rPr>
                <w:rFonts w:ascii="Verdana" w:hAnsi="Verdana"/>
                <w:b/>
                <w:sz w:val="20"/>
              </w:rPr>
              <w:br/>
              <w:t>Document 11(Add.24)</w:t>
            </w:r>
            <w:r w:rsidR="00BB1D82" w:rsidRPr="008C27D5">
              <w:rPr>
                <w:rFonts w:ascii="Verdana" w:hAnsi="Verdana"/>
                <w:b/>
                <w:sz w:val="20"/>
              </w:rPr>
              <w:t>-</w:t>
            </w:r>
            <w:r w:rsidRPr="008C27D5">
              <w:rPr>
                <w:rFonts w:ascii="Verdana" w:hAnsi="Verdana"/>
                <w:b/>
                <w:sz w:val="20"/>
              </w:rPr>
              <w:t>F</w:t>
            </w:r>
          </w:p>
        </w:tc>
      </w:tr>
      <w:bookmarkEnd w:id="0"/>
      <w:tr w:rsidR="00690C7B" w:rsidRPr="008C27D5" w14:paraId="2FD3B917" w14:textId="77777777" w:rsidTr="00DD6F90">
        <w:trPr>
          <w:cantSplit/>
        </w:trPr>
        <w:tc>
          <w:tcPr>
            <w:tcW w:w="6804" w:type="dxa"/>
          </w:tcPr>
          <w:p w14:paraId="164A4A93" w14:textId="77777777" w:rsidR="00690C7B" w:rsidRPr="008C27D5" w:rsidRDefault="00690C7B" w:rsidP="002F7BA5">
            <w:pPr>
              <w:spacing w:before="0"/>
              <w:rPr>
                <w:rFonts w:ascii="Verdana" w:hAnsi="Verdana"/>
                <w:b/>
                <w:sz w:val="20"/>
              </w:rPr>
            </w:pPr>
          </w:p>
        </w:tc>
        <w:tc>
          <w:tcPr>
            <w:tcW w:w="3227" w:type="dxa"/>
          </w:tcPr>
          <w:p w14:paraId="3B1BAD4A" w14:textId="3D9B8DEA" w:rsidR="00690C7B" w:rsidRPr="008C27D5" w:rsidRDefault="00DD6F90" w:rsidP="002F7BA5">
            <w:pPr>
              <w:spacing w:before="0"/>
              <w:rPr>
                <w:rFonts w:ascii="Verdana" w:hAnsi="Verdana"/>
                <w:b/>
                <w:sz w:val="20"/>
              </w:rPr>
            </w:pPr>
            <w:r w:rsidRPr="008C27D5">
              <w:rPr>
                <w:rFonts w:ascii="Verdana" w:hAnsi="Verdana"/>
                <w:b/>
                <w:sz w:val="20"/>
              </w:rPr>
              <w:t>13</w:t>
            </w:r>
            <w:r w:rsidR="00690C7B" w:rsidRPr="008C27D5">
              <w:rPr>
                <w:rFonts w:ascii="Verdana" w:hAnsi="Verdana"/>
                <w:b/>
                <w:sz w:val="20"/>
              </w:rPr>
              <w:t xml:space="preserve"> septembre 2019</w:t>
            </w:r>
          </w:p>
        </w:tc>
      </w:tr>
      <w:tr w:rsidR="00690C7B" w:rsidRPr="008C27D5" w14:paraId="4E362733" w14:textId="77777777" w:rsidTr="00DD6F90">
        <w:trPr>
          <w:cantSplit/>
        </w:trPr>
        <w:tc>
          <w:tcPr>
            <w:tcW w:w="6804" w:type="dxa"/>
          </w:tcPr>
          <w:p w14:paraId="68706C96" w14:textId="77777777" w:rsidR="00690C7B" w:rsidRPr="008C27D5" w:rsidRDefault="00690C7B" w:rsidP="002F7BA5">
            <w:pPr>
              <w:spacing w:before="0" w:after="48"/>
              <w:rPr>
                <w:rFonts w:ascii="Verdana" w:hAnsi="Verdana"/>
                <w:b/>
                <w:smallCaps/>
                <w:sz w:val="20"/>
              </w:rPr>
            </w:pPr>
          </w:p>
        </w:tc>
        <w:tc>
          <w:tcPr>
            <w:tcW w:w="3227" w:type="dxa"/>
          </w:tcPr>
          <w:p w14:paraId="3C02B067" w14:textId="34D322DB" w:rsidR="00690C7B" w:rsidRPr="008C27D5" w:rsidRDefault="00690C7B" w:rsidP="002F7BA5">
            <w:pPr>
              <w:spacing w:before="0"/>
              <w:rPr>
                <w:rFonts w:ascii="Verdana" w:hAnsi="Verdana"/>
                <w:b/>
                <w:sz w:val="20"/>
              </w:rPr>
            </w:pPr>
            <w:r w:rsidRPr="008C27D5">
              <w:rPr>
                <w:rFonts w:ascii="Verdana" w:hAnsi="Verdana"/>
                <w:b/>
                <w:sz w:val="20"/>
              </w:rPr>
              <w:t>Original: anglais</w:t>
            </w:r>
            <w:r w:rsidR="00DD6F90" w:rsidRPr="008C27D5">
              <w:rPr>
                <w:rFonts w:ascii="Verdana" w:hAnsi="Verdana"/>
                <w:b/>
                <w:sz w:val="20"/>
              </w:rPr>
              <w:t>/espagnol</w:t>
            </w:r>
          </w:p>
        </w:tc>
      </w:tr>
      <w:tr w:rsidR="00690C7B" w:rsidRPr="008C27D5" w14:paraId="78A18C0B" w14:textId="77777777" w:rsidTr="00482559">
        <w:trPr>
          <w:cantSplit/>
        </w:trPr>
        <w:tc>
          <w:tcPr>
            <w:tcW w:w="10031" w:type="dxa"/>
            <w:gridSpan w:val="2"/>
          </w:tcPr>
          <w:p w14:paraId="0E8AA9D2" w14:textId="77777777" w:rsidR="00690C7B" w:rsidRPr="008C27D5" w:rsidRDefault="00690C7B" w:rsidP="002F7BA5">
            <w:pPr>
              <w:spacing w:before="0"/>
              <w:rPr>
                <w:rFonts w:ascii="Verdana" w:hAnsi="Verdana"/>
                <w:b/>
                <w:sz w:val="20"/>
              </w:rPr>
            </w:pPr>
          </w:p>
        </w:tc>
      </w:tr>
      <w:tr w:rsidR="00690C7B" w:rsidRPr="008C27D5" w14:paraId="0777DBBB" w14:textId="77777777" w:rsidTr="00482559">
        <w:trPr>
          <w:cantSplit/>
        </w:trPr>
        <w:tc>
          <w:tcPr>
            <w:tcW w:w="10031" w:type="dxa"/>
            <w:gridSpan w:val="2"/>
          </w:tcPr>
          <w:p w14:paraId="68866905" w14:textId="77777777" w:rsidR="00690C7B" w:rsidRPr="008C27D5" w:rsidRDefault="00690C7B" w:rsidP="002F7BA5">
            <w:pPr>
              <w:pStyle w:val="Source"/>
            </w:pPr>
            <w:bookmarkStart w:id="1" w:name="dsource" w:colFirst="0" w:colLast="0"/>
            <w:r w:rsidRPr="008C27D5">
              <w:t>États Membres de la Commission interaméricaine des télécommunications (CITEL)</w:t>
            </w:r>
          </w:p>
        </w:tc>
      </w:tr>
      <w:tr w:rsidR="00690C7B" w:rsidRPr="008C27D5" w14:paraId="44ABC45B" w14:textId="77777777" w:rsidTr="00482559">
        <w:trPr>
          <w:cantSplit/>
        </w:trPr>
        <w:tc>
          <w:tcPr>
            <w:tcW w:w="10031" w:type="dxa"/>
            <w:gridSpan w:val="2"/>
          </w:tcPr>
          <w:p w14:paraId="1C355287" w14:textId="73E0BD78" w:rsidR="00690C7B" w:rsidRPr="008C27D5" w:rsidRDefault="00C87873" w:rsidP="002F7BA5">
            <w:pPr>
              <w:pStyle w:val="Title1"/>
            </w:pPr>
            <w:bookmarkStart w:id="2" w:name="dtitle1" w:colFirst="0" w:colLast="0"/>
            <w:bookmarkEnd w:id="1"/>
            <w:r w:rsidRPr="008C27D5">
              <w:t>propOSITIONS POUR LES TRAVAUX DE LA CONFéRENCE</w:t>
            </w:r>
          </w:p>
        </w:tc>
      </w:tr>
      <w:tr w:rsidR="00690C7B" w:rsidRPr="008C27D5" w14:paraId="5B92F906" w14:textId="77777777" w:rsidTr="00482559">
        <w:trPr>
          <w:cantSplit/>
        </w:trPr>
        <w:tc>
          <w:tcPr>
            <w:tcW w:w="10031" w:type="dxa"/>
            <w:gridSpan w:val="2"/>
          </w:tcPr>
          <w:p w14:paraId="0C98C38F" w14:textId="77777777" w:rsidR="00690C7B" w:rsidRPr="008C27D5" w:rsidRDefault="00690C7B" w:rsidP="002F7BA5">
            <w:pPr>
              <w:pStyle w:val="Title2"/>
            </w:pPr>
            <w:bookmarkStart w:id="3" w:name="dtitle2" w:colFirst="0" w:colLast="0"/>
            <w:bookmarkEnd w:id="2"/>
          </w:p>
        </w:tc>
      </w:tr>
      <w:tr w:rsidR="00690C7B" w:rsidRPr="008C27D5" w14:paraId="2A286295" w14:textId="77777777" w:rsidTr="00482559">
        <w:trPr>
          <w:cantSplit/>
        </w:trPr>
        <w:tc>
          <w:tcPr>
            <w:tcW w:w="10031" w:type="dxa"/>
            <w:gridSpan w:val="2"/>
          </w:tcPr>
          <w:p w14:paraId="30683E3C" w14:textId="58085B8F" w:rsidR="00690C7B" w:rsidRPr="008C27D5" w:rsidRDefault="00690C7B" w:rsidP="002F7BA5">
            <w:pPr>
              <w:pStyle w:val="Agendaitem"/>
              <w:rPr>
                <w:lang w:val="fr-FR"/>
              </w:rPr>
            </w:pPr>
            <w:bookmarkStart w:id="4" w:name="dtitle3" w:colFirst="0" w:colLast="0"/>
            <w:bookmarkEnd w:id="3"/>
            <w:r w:rsidRPr="008C27D5">
              <w:rPr>
                <w:lang w:val="fr-FR"/>
              </w:rPr>
              <w:t>Point 10 de l</w:t>
            </w:r>
            <w:r w:rsidR="002F7BA5" w:rsidRPr="008C27D5">
              <w:rPr>
                <w:lang w:val="fr-FR"/>
              </w:rPr>
              <w:t>'</w:t>
            </w:r>
            <w:r w:rsidRPr="008C27D5">
              <w:rPr>
                <w:lang w:val="fr-FR"/>
              </w:rPr>
              <w:t>ordre du jour</w:t>
            </w:r>
          </w:p>
        </w:tc>
      </w:tr>
    </w:tbl>
    <w:bookmarkEnd w:id="4"/>
    <w:p w14:paraId="5D24152A" w14:textId="7E76896A" w:rsidR="00482559" w:rsidRPr="008C27D5" w:rsidRDefault="008D2F4F" w:rsidP="002F7BA5">
      <w:r w:rsidRPr="008C27D5">
        <w:t>10</w:t>
      </w:r>
      <w:r w:rsidRPr="008C27D5">
        <w:tab/>
        <w:t>recommander au Conseil des points à inscrire à l</w:t>
      </w:r>
      <w:r w:rsidR="002F7BA5" w:rsidRPr="008C27D5">
        <w:t>'</w:t>
      </w:r>
      <w:r w:rsidRPr="008C27D5">
        <w:t>ordre du jour de la CMR suivante et exposer ses vues sur l</w:t>
      </w:r>
      <w:r w:rsidR="002F7BA5" w:rsidRPr="008C27D5">
        <w:t>'</w:t>
      </w:r>
      <w:r w:rsidRPr="008C27D5">
        <w:t>ordre du jour préliminaire de la conférence ultérieure ainsi que sur des points éventuels à inscrire à l</w:t>
      </w:r>
      <w:r w:rsidR="002F7BA5" w:rsidRPr="008C27D5">
        <w:t>'</w:t>
      </w:r>
      <w:r w:rsidRPr="008C27D5">
        <w:t>ordre du jour de conférences futures, conformément à l</w:t>
      </w:r>
      <w:r w:rsidR="002F7BA5" w:rsidRPr="008C27D5">
        <w:t>'</w:t>
      </w:r>
      <w:r w:rsidRPr="008C27D5">
        <w:t>article 7 de la Convention,</w:t>
      </w:r>
    </w:p>
    <w:p w14:paraId="0B09D653" w14:textId="44B89269" w:rsidR="00C02961" w:rsidRPr="008C27D5" w:rsidRDefault="00ED74E8" w:rsidP="002F7BA5">
      <w:pPr>
        <w:pStyle w:val="Headingb"/>
      </w:pPr>
      <w:r w:rsidRPr="008C27D5">
        <w:t>Considérations générales</w:t>
      </w:r>
    </w:p>
    <w:p w14:paraId="136FDC9C" w14:textId="44119F1A" w:rsidR="00C02961" w:rsidRPr="008C27D5" w:rsidRDefault="00ED74E8" w:rsidP="002F7BA5">
      <w:r w:rsidRPr="008C27D5">
        <w:t>La nécessité de fournir des services large</w:t>
      </w:r>
      <w:r w:rsidR="002F7BA5" w:rsidRPr="008C27D5">
        <w:t xml:space="preserve"> </w:t>
      </w:r>
      <w:r w:rsidRPr="008C27D5">
        <w:t>bande aux passagers des aéronefs et des navires ne cesse de croître, parallèlement à la demande grandissante d</w:t>
      </w:r>
      <w:r w:rsidR="002F7BA5" w:rsidRPr="008C27D5">
        <w:t>'</w:t>
      </w:r>
      <w:r w:rsidRPr="008C27D5">
        <w:t>applications Internet pour le secteur de l</w:t>
      </w:r>
      <w:r w:rsidR="002F7BA5" w:rsidRPr="008C27D5">
        <w:t>'</w:t>
      </w:r>
      <w:r w:rsidRPr="008C27D5">
        <w:t>aviation et l</w:t>
      </w:r>
      <w:r w:rsidR="002F7BA5" w:rsidRPr="008C27D5">
        <w:t>'</w:t>
      </w:r>
      <w:r w:rsidRPr="008C27D5">
        <w:t xml:space="preserve">industrie </w:t>
      </w:r>
      <w:r w:rsidR="005E575B" w:rsidRPr="008C27D5">
        <w:t xml:space="preserve">du transport maritime </w:t>
      </w:r>
      <w:r w:rsidRPr="008C27D5">
        <w:t>ainsi que les passagers</w:t>
      </w:r>
      <w:r w:rsidR="002F7BA5" w:rsidRPr="008C27D5">
        <w:t>.</w:t>
      </w:r>
      <w:r w:rsidR="00F379F1" w:rsidRPr="008C27D5">
        <w:t xml:space="preserve"> Les stations terriennes en mouvement</w:t>
      </w:r>
      <w:r w:rsidRPr="008C27D5">
        <w:t xml:space="preserve"> </w:t>
      </w:r>
      <w:r w:rsidR="00F379F1" w:rsidRPr="008C27D5">
        <w:t>(ESIM)</w:t>
      </w:r>
      <w:r w:rsidR="005E575B" w:rsidRPr="008C27D5">
        <w:t xml:space="preserve"> aéronautiques et maritimes</w:t>
      </w:r>
      <w:r w:rsidR="00F379F1" w:rsidRPr="008C27D5">
        <w:t>,</w:t>
      </w:r>
      <w:r w:rsidR="002F7BA5" w:rsidRPr="008C27D5">
        <w:t xml:space="preserve"> </w:t>
      </w:r>
      <w:r w:rsidR="00F379F1" w:rsidRPr="008C27D5">
        <w:t>qui communiquent avec des stations spatiales OSG du service fixe par satellite (SFS), permettent de répondre à ces besoins.</w:t>
      </w:r>
      <w:r w:rsidR="00397A5C" w:rsidRPr="008C27D5">
        <w:t xml:space="preserve"> La mise à disposition des bandes </w:t>
      </w:r>
      <w:r w:rsidR="00C02961" w:rsidRPr="008C27D5">
        <w:t>10</w:t>
      </w:r>
      <w:r w:rsidR="00577616" w:rsidRPr="008C27D5">
        <w:t>,</w:t>
      </w:r>
      <w:r w:rsidR="00C02961" w:rsidRPr="008C27D5">
        <w:t>7-10</w:t>
      </w:r>
      <w:r w:rsidR="00577616" w:rsidRPr="008C27D5">
        <w:t>,</w:t>
      </w:r>
      <w:r w:rsidR="00C02961" w:rsidRPr="008C27D5">
        <w:t>95 GHz, 11</w:t>
      </w:r>
      <w:r w:rsidR="00577616" w:rsidRPr="008C27D5">
        <w:t>,</w:t>
      </w:r>
      <w:r w:rsidR="00C02961" w:rsidRPr="008C27D5">
        <w:t>2</w:t>
      </w:r>
      <w:r w:rsidR="00577616" w:rsidRPr="008C27D5">
        <w:noBreakHyphen/>
      </w:r>
      <w:r w:rsidR="00C02961" w:rsidRPr="008C27D5">
        <w:t>11</w:t>
      </w:r>
      <w:r w:rsidR="00577616" w:rsidRPr="008C27D5">
        <w:t>,</w:t>
      </w:r>
      <w:r w:rsidR="00C02961" w:rsidRPr="008C27D5">
        <w:t>45</w:t>
      </w:r>
      <w:r w:rsidR="00577616" w:rsidRPr="008C27D5">
        <w:t> </w:t>
      </w:r>
      <w:r w:rsidR="00C02961" w:rsidRPr="008C27D5">
        <w:t>GHz</w:t>
      </w:r>
      <w:r w:rsidR="00577616" w:rsidRPr="008C27D5">
        <w:t xml:space="preserve"> </w:t>
      </w:r>
      <w:r w:rsidR="00397A5C" w:rsidRPr="008C27D5">
        <w:t>et</w:t>
      </w:r>
      <w:r w:rsidR="00C02961" w:rsidRPr="008C27D5">
        <w:t xml:space="preserve"> 12</w:t>
      </w:r>
      <w:r w:rsidR="00577616" w:rsidRPr="008C27D5">
        <w:t>,</w:t>
      </w:r>
      <w:r w:rsidR="00C02961" w:rsidRPr="008C27D5">
        <w:t>75-13</w:t>
      </w:r>
      <w:r w:rsidR="00577616" w:rsidRPr="008C27D5">
        <w:t>,</w:t>
      </w:r>
      <w:r w:rsidR="00C02961" w:rsidRPr="008C27D5">
        <w:t xml:space="preserve">25 GHz, </w:t>
      </w:r>
      <w:r w:rsidR="00397A5C" w:rsidRPr="008C27D5">
        <w:t>qui sont attribuées au</w:t>
      </w:r>
      <w:r w:rsidR="002F7BA5" w:rsidRPr="008C27D5">
        <w:t xml:space="preserve"> </w:t>
      </w:r>
      <w:r w:rsidR="00397A5C" w:rsidRPr="008C27D5">
        <w:t>SFS, en vue de leur utilisation par les stations ESIM aéronautiques et maritimes, permettrait aux opérateurs de réseaux à satellite d</w:t>
      </w:r>
      <w:r w:rsidR="002F7BA5" w:rsidRPr="008C27D5">
        <w:t>'</w:t>
      </w:r>
      <w:r w:rsidR="00397A5C" w:rsidRPr="008C27D5">
        <w:t>offrir une capacité supplémentaire pour répondre aux besoins</w:t>
      </w:r>
      <w:r w:rsidR="002F7BA5" w:rsidRPr="008C27D5">
        <w:t xml:space="preserve"> </w:t>
      </w:r>
      <w:r w:rsidR="00397A5C" w:rsidRPr="008C27D5">
        <w:t>croissants de ce secteur.</w:t>
      </w:r>
    </w:p>
    <w:p w14:paraId="6084A396" w14:textId="3C0408AC" w:rsidR="00C02961" w:rsidRPr="008C27D5" w:rsidRDefault="00C02961" w:rsidP="002F7BA5">
      <w:r w:rsidRPr="008C27D5">
        <w:t>La bande de fréquences 12,75-13,25 GHz est</w:t>
      </w:r>
      <w:r w:rsidR="002F7BA5" w:rsidRPr="008C27D5">
        <w:t xml:space="preserve"> </w:t>
      </w:r>
      <w:r w:rsidRPr="008C27D5">
        <w:t>attribuée à titre primaire aux services fixe,</w:t>
      </w:r>
      <w:r w:rsidR="002F7BA5" w:rsidRPr="008C27D5">
        <w:t xml:space="preserve"> </w:t>
      </w:r>
      <w:r w:rsidRPr="008C27D5">
        <w:t>fixe par satellite (Terre vers espace)</w:t>
      </w:r>
      <w:r w:rsidRPr="008C27D5">
        <w:rPr>
          <w:vertAlign w:val="superscript"/>
        </w:rPr>
        <w:footnoteReference w:id="1"/>
      </w:r>
      <w:r w:rsidRPr="008C27D5">
        <w:t xml:space="preserve"> et </w:t>
      </w:r>
      <w:r w:rsidR="00DD555D" w:rsidRPr="008C27D5">
        <w:t>mobile</w:t>
      </w:r>
      <w:r w:rsidR="005E575B" w:rsidRPr="008C27D5">
        <w:t>,</w:t>
      </w:r>
      <w:r w:rsidR="00DD555D" w:rsidRPr="008C27D5">
        <w:t xml:space="preserve"> et </w:t>
      </w:r>
      <w:r w:rsidRPr="008C27D5">
        <w:t xml:space="preserve">à titre secondaire au service de recherche spatiale (espace </w:t>
      </w:r>
      <w:r w:rsidR="00DD555D" w:rsidRPr="008C27D5">
        <w:t>lointain</w:t>
      </w:r>
      <w:r w:rsidRPr="008C27D5">
        <w:t>) (espace vers Terre).</w:t>
      </w:r>
      <w:r w:rsidR="00DD555D" w:rsidRPr="008C27D5">
        <w:t xml:space="preserve"> Les bandes de fréquences </w:t>
      </w:r>
      <w:r w:rsidRPr="008C27D5">
        <w:t>10</w:t>
      </w:r>
      <w:r w:rsidR="00577616" w:rsidRPr="008C27D5">
        <w:t>,</w:t>
      </w:r>
      <w:r w:rsidRPr="008C27D5">
        <w:t>7-10</w:t>
      </w:r>
      <w:r w:rsidR="00577616" w:rsidRPr="008C27D5">
        <w:t>,</w:t>
      </w:r>
      <w:r w:rsidRPr="008C27D5">
        <w:t>95 GHz (</w:t>
      </w:r>
      <w:r w:rsidR="00DD555D" w:rsidRPr="008C27D5">
        <w:t>espace vers Terre</w:t>
      </w:r>
      <w:r w:rsidRPr="008C27D5">
        <w:t xml:space="preserve">) </w:t>
      </w:r>
      <w:r w:rsidR="00DD555D" w:rsidRPr="008C27D5">
        <w:t xml:space="preserve">et </w:t>
      </w:r>
      <w:r w:rsidRPr="008C27D5">
        <w:t>11</w:t>
      </w:r>
      <w:r w:rsidR="00577616" w:rsidRPr="008C27D5">
        <w:t>,</w:t>
      </w:r>
      <w:r w:rsidRPr="008C27D5">
        <w:t>2</w:t>
      </w:r>
      <w:r w:rsidR="00577616" w:rsidRPr="008C27D5">
        <w:noBreakHyphen/>
      </w:r>
      <w:r w:rsidRPr="008C27D5">
        <w:t>11</w:t>
      </w:r>
      <w:r w:rsidR="00577616" w:rsidRPr="008C27D5">
        <w:t>,</w:t>
      </w:r>
      <w:r w:rsidRPr="008C27D5">
        <w:t>45 GHz (</w:t>
      </w:r>
      <w:r w:rsidR="00DD555D" w:rsidRPr="008C27D5">
        <w:t>espace vers Terre</w:t>
      </w:r>
      <w:r w:rsidRPr="008C27D5">
        <w:t xml:space="preserve">) </w:t>
      </w:r>
      <w:r w:rsidR="00DD555D" w:rsidRPr="008C27D5">
        <w:t>sont attribuées à titre primaire aux services fixe,</w:t>
      </w:r>
      <w:r w:rsidR="002F7BA5" w:rsidRPr="008C27D5">
        <w:t xml:space="preserve"> </w:t>
      </w:r>
      <w:r w:rsidR="00DD555D" w:rsidRPr="008C27D5">
        <w:t>fixe par satellite</w:t>
      </w:r>
      <w:r w:rsidR="002F7BA5" w:rsidRPr="008C27D5">
        <w:t xml:space="preserve"> </w:t>
      </w:r>
      <w:r w:rsidRPr="008C27D5">
        <w:t>(</w:t>
      </w:r>
      <w:r w:rsidR="00DD555D" w:rsidRPr="008C27D5">
        <w:t>espace vers Terre</w:t>
      </w:r>
      <w:r w:rsidRPr="008C27D5">
        <w:t>)</w:t>
      </w:r>
      <w:r w:rsidRPr="008C27D5">
        <w:rPr>
          <w:vertAlign w:val="superscript"/>
        </w:rPr>
        <w:footnoteReference w:id="2"/>
      </w:r>
      <w:r w:rsidRPr="008C27D5">
        <w:t xml:space="preserve"> </w:t>
      </w:r>
      <w:r w:rsidR="00DD555D" w:rsidRPr="008C27D5">
        <w:t>et mobile</w:t>
      </w:r>
      <w:r w:rsidR="002F7BA5" w:rsidRPr="008C27D5">
        <w:t>,</w:t>
      </w:r>
      <w:r w:rsidR="00DD555D" w:rsidRPr="008C27D5">
        <w:t xml:space="preserve"> sauf mobile aéronautique.</w:t>
      </w:r>
    </w:p>
    <w:p w14:paraId="59155E2D" w14:textId="4687A84C" w:rsidR="00C02961" w:rsidRPr="008C27D5" w:rsidRDefault="00C02961" w:rsidP="002F7BA5">
      <w:pPr>
        <w:rPr>
          <w:szCs w:val="24"/>
        </w:rPr>
      </w:pPr>
      <w:r w:rsidRPr="008C27D5">
        <w:rPr>
          <w:szCs w:val="24"/>
        </w:rPr>
        <w:lastRenderedPageBreak/>
        <w:t xml:space="preserve">Actuellement, les réseaux à satellite exploités dans cette bande de fréquences ne peuvent fournir des services aux stations </w:t>
      </w:r>
      <w:r w:rsidR="00DD555D" w:rsidRPr="008C27D5">
        <w:t>ESIM aéronautiques et maritimes</w:t>
      </w:r>
      <w:r w:rsidR="00DD555D" w:rsidRPr="008C27D5">
        <w:rPr>
          <w:szCs w:val="24"/>
        </w:rPr>
        <w:t xml:space="preserve"> </w:t>
      </w:r>
      <w:r w:rsidRPr="008C27D5">
        <w:rPr>
          <w:szCs w:val="24"/>
        </w:rPr>
        <w:t xml:space="preserve">que conformément au numéro </w:t>
      </w:r>
      <w:r w:rsidRPr="008C27D5">
        <w:rPr>
          <w:b/>
          <w:bCs/>
          <w:szCs w:val="24"/>
        </w:rPr>
        <w:t>4.4</w:t>
      </w:r>
      <w:r w:rsidRPr="008C27D5">
        <w:rPr>
          <w:szCs w:val="24"/>
        </w:rPr>
        <w:t xml:space="preserve">, qui exige que les émissions </w:t>
      </w:r>
      <w:r w:rsidR="00DD555D" w:rsidRPr="008C27D5">
        <w:rPr>
          <w:szCs w:val="24"/>
        </w:rPr>
        <w:t>associées</w:t>
      </w:r>
      <w:r w:rsidRPr="008C27D5">
        <w:rPr>
          <w:szCs w:val="24"/>
        </w:rPr>
        <w:t xml:space="preserve"> ne causent aucun brouillage préjudiciable à une station fonctionnant </w:t>
      </w:r>
      <w:r w:rsidR="00DD555D" w:rsidRPr="008C27D5">
        <w:rPr>
          <w:szCs w:val="24"/>
        </w:rPr>
        <w:t>conformément au Règlement des radiocommunications</w:t>
      </w:r>
      <w:r w:rsidRPr="008C27D5">
        <w:rPr>
          <w:szCs w:val="24"/>
        </w:rPr>
        <w:t>, et qu</w:t>
      </w:r>
      <w:r w:rsidR="002F7BA5" w:rsidRPr="008C27D5">
        <w:rPr>
          <w:szCs w:val="24"/>
        </w:rPr>
        <w:t>'</w:t>
      </w:r>
      <w:r w:rsidRPr="008C27D5">
        <w:rPr>
          <w:szCs w:val="24"/>
        </w:rPr>
        <w:t>il ne soit pas demandé de protection contre les brouillages préjudiciables causés par cette station.</w:t>
      </w:r>
    </w:p>
    <w:p w14:paraId="4C4CDC20" w14:textId="0A35B7DC" w:rsidR="003A583E" w:rsidRPr="008C27D5" w:rsidRDefault="00C02961" w:rsidP="002F7BA5">
      <w:pPr>
        <w:pStyle w:val="Headingb"/>
      </w:pPr>
      <w:r w:rsidRPr="008C27D5">
        <w:t>Proposition</w:t>
      </w:r>
    </w:p>
    <w:p w14:paraId="4749969F" w14:textId="460D5D26" w:rsidR="00C02961" w:rsidRPr="008C27D5" w:rsidRDefault="00577616" w:rsidP="002F7BA5">
      <w:r w:rsidRPr="008C27D5">
        <w:t>É</w:t>
      </w:r>
      <w:r w:rsidR="00DD555D" w:rsidRPr="008C27D5">
        <w:t xml:space="preserve">tant donné que les secteurs </w:t>
      </w:r>
      <w:r w:rsidR="005E575B" w:rsidRPr="008C27D5">
        <w:t>de l'</w:t>
      </w:r>
      <w:r w:rsidR="00DD555D" w:rsidRPr="008C27D5">
        <w:t>aéronautique</w:t>
      </w:r>
      <w:r w:rsidR="002F7BA5" w:rsidRPr="008C27D5">
        <w:t xml:space="preserve"> </w:t>
      </w:r>
      <w:r w:rsidR="00DD555D" w:rsidRPr="008C27D5">
        <w:t xml:space="preserve">et </w:t>
      </w:r>
      <w:r w:rsidR="005E575B" w:rsidRPr="008C27D5">
        <w:t xml:space="preserve">du transport </w:t>
      </w:r>
      <w:r w:rsidR="00DD555D" w:rsidRPr="008C27D5">
        <w:t>maritime</w:t>
      </w:r>
      <w:r w:rsidR="002F7BA5" w:rsidRPr="008C27D5">
        <w:t xml:space="preserve"> </w:t>
      </w:r>
      <w:r w:rsidR="00DD555D" w:rsidRPr="008C27D5">
        <w:t>ont de plus en plus besoin d</w:t>
      </w:r>
      <w:r w:rsidR="002F7BA5" w:rsidRPr="008C27D5">
        <w:t>'</w:t>
      </w:r>
      <w:r w:rsidR="00DD555D" w:rsidRPr="008C27D5">
        <w:t>une co</w:t>
      </w:r>
      <w:r w:rsidR="005353E7" w:rsidRPr="008C27D5">
        <w:t>nn</w:t>
      </w:r>
      <w:r w:rsidR="00DD555D" w:rsidRPr="008C27D5">
        <w:t>ectivité,</w:t>
      </w:r>
      <w:r w:rsidR="00C02961" w:rsidRPr="008C27D5">
        <w:t xml:space="preserve"> il est proposé d</w:t>
      </w:r>
      <w:r w:rsidR="002F7BA5" w:rsidRPr="008C27D5">
        <w:t>'</w:t>
      </w:r>
      <w:r w:rsidR="00C02961" w:rsidRPr="008C27D5">
        <w:t>étudier</w:t>
      </w:r>
      <w:r w:rsidR="00DD555D" w:rsidRPr="008C27D5">
        <w:t xml:space="preserve"> la possibilité </w:t>
      </w:r>
      <w:r w:rsidR="005E575B" w:rsidRPr="008C27D5">
        <w:t xml:space="preserve">de permettre </w:t>
      </w:r>
      <w:r w:rsidR="00DD555D" w:rsidRPr="008C27D5">
        <w:t>le fonctionnement des stations</w:t>
      </w:r>
      <w:r w:rsidR="00C02961" w:rsidRPr="008C27D5">
        <w:t xml:space="preserve"> </w:t>
      </w:r>
      <w:r w:rsidR="00DD555D" w:rsidRPr="008C27D5">
        <w:t>ESIM aéronautiques et maritimes</w:t>
      </w:r>
      <w:r w:rsidR="002F7BA5" w:rsidRPr="008C27D5">
        <w:rPr>
          <w:szCs w:val="24"/>
        </w:rPr>
        <w:t xml:space="preserve"> </w:t>
      </w:r>
      <w:r w:rsidR="00DD555D" w:rsidRPr="008C27D5">
        <w:t>communiquant avec des stations spatiales OSG</w:t>
      </w:r>
      <w:r w:rsidR="00C02961" w:rsidRPr="008C27D5">
        <w:t xml:space="preserve"> du SFS dans l</w:t>
      </w:r>
      <w:r w:rsidR="00DD555D" w:rsidRPr="008C27D5">
        <w:t>es</w:t>
      </w:r>
      <w:r w:rsidR="00C02961" w:rsidRPr="008C27D5">
        <w:t xml:space="preserve"> bande</w:t>
      </w:r>
      <w:r w:rsidR="00DD555D" w:rsidRPr="008C27D5">
        <w:t>s</w:t>
      </w:r>
      <w:r w:rsidR="00C02961" w:rsidRPr="008C27D5">
        <w:t xml:space="preserve"> de fréquences </w:t>
      </w:r>
      <w:r w:rsidR="00DD555D" w:rsidRPr="008C27D5">
        <w:t>10</w:t>
      </w:r>
      <w:r w:rsidRPr="008C27D5">
        <w:t>,</w:t>
      </w:r>
      <w:r w:rsidR="00DD555D" w:rsidRPr="008C27D5">
        <w:t>7-10</w:t>
      </w:r>
      <w:r w:rsidRPr="008C27D5">
        <w:t>,</w:t>
      </w:r>
      <w:r w:rsidR="00DD555D" w:rsidRPr="008C27D5">
        <w:t>95 GHz (espace vers Terre), 11</w:t>
      </w:r>
      <w:r w:rsidRPr="008C27D5">
        <w:t>,</w:t>
      </w:r>
      <w:r w:rsidR="00DD555D" w:rsidRPr="008C27D5">
        <w:t>2-11</w:t>
      </w:r>
      <w:r w:rsidRPr="008C27D5">
        <w:t>,</w:t>
      </w:r>
      <w:r w:rsidR="00DD555D" w:rsidRPr="008C27D5">
        <w:t>45 GHz (espace vers Terre)</w:t>
      </w:r>
      <w:r w:rsidRPr="008C27D5">
        <w:t xml:space="preserve"> </w:t>
      </w:r>
      <w:r w:rsidR="00DD555D" w:rsidRPr="008C27D5">
        <w:t>et 12</w:t>
      </w:r>
      <w:r w:rsidRPr="008C27D5">
        <w:t>,</w:t>
      </w:r>
      <w:r w:rsidR="00DD555D" w:rsidRPr="008C27D5">
        <w:t>75-13</w:t>
      </w:r>
      <w:r w:rsidRPr="008C27D5">
        <w:t>,</w:t>
      </w:r>
      <w:r w:rsidR="00DD555D" w:rsidRPr="008C27D5">
        <w:t xml:space="preserve">25 GHz (Terre vers espace), </w:t>
      </w:r>
      <w:r w:rsidR="00C02961" w:rsidRPr="008C27D5">
        <w:t xml:space="preserve">en vue de définir des moyens réglementaires et </w:t>
      </w:r>
      <w:r w:rsidR="00DD555D" w:rsidRPr="008C27D5">
        <w:t xml:space="preserve">les </w:t>
      </w:r>
      <w:r w:rsidR="00C02961" w:rsidRPr="008C27D5">
        <w:t>conditions associées pour ce type d</w:t>
      </w:r>
      <w:r w:rsidR="002F7BA5" w:rsidRPr="008C27D5">
        <w:t>'</w:t>
      </w:r>
      <w:r w:rsidR="00C02961" w:rsidRPr="008C27D5">
        <w:t>application.</w:t>
      </w:r>
    </w:p>
    <w:p w14:paraId="1D705E3A" w14:textId="7ADB946F" w:rsidR="00C02961" w:rsidRPr="008C27D5" w:rsidRDefault="00C02961" w:rsidP="002F7BA5"/>
    <w:p w14:paraId="3BA598BC" w14:textId="77777777" w:rsidR="0015203F" w:rsidRPr="008C27D5" w:rsidRDefault="0015203F" w:rsidP="002F7BA5">
      <w:pPr>
        <w:tabs>
          <w:tab w:val="clear" w:pos="1134"/>
          <w:tab w:val="clear" w:pos="1871"/>
          <w:tab w:val="clear" w:pos="2268"/>
        </w:tabs>
        <w:overflowPunct/>
        <w:autoSpaceDE/>
        <w:autoSpaceDN/>
        <w:adjustRightInd/>
        <w:spacing w:before="0"/>
        <w:textAlignment w:val="auto"/>
      </w:pPr>
      <w:r w:rsidRPr="008C27D5">
        <w:br w:type="page"/>
      </w:r>
    </w:p>
    <w:p w14:paraId="5AE1275B" w14:textId="77777777" w:rsidR="00683D03" w:rsidRPr="008C27D5" w:rsidRDefault="008D2F4F" w:rsidP="002F7BA5">
      <w:pPr>
        <w:pStyle w:val="Proposal"/>
      </w:pPr>
      <w:r w:rsidRPr="008C27D5">
        <w:lastRenderedPageBreak/>
        <w:t>ADD</w:t>
      </w:r>
      <w:r w:rsidRPr="008C27D5">
        <w:tab/>
        <w:t>IAP/11A24A11/1</w:t>
      </w:r>
    </w:p>
    <w:p w14:paraId="0AAFBDB5" w14:textId="613C31FB" w:rsidR="00683D03" w:rsidRPr="008C27D5" w:rsidRDefault="008D2F4F" w:rsidP="002F7BA5">
      <w:pPr>
        <w:pStyle w:val="ResNo"/>
      </w:pPr>
      <w:r w:rsidRPr="008C27D5">
        <w:t xml:space="preserve">Projet de nouvelle Résolution </w:t>
      </w:r>
      <w:r w:rsidR="00C02961" w:rsidRPr="008C27D5">
        <w:t>[IAP/10(K)-2023] (WRC-19)]</w:t>
      </w:r>
    </w:p>
    <w:p w14:paraId="130D6E99" w14:textId="5DE2C265" w:rsidR="00683D03" w:rsidRPr="008C27D5" w:rsidRDefault="00C02961" w:rsidP="008C27D5">
      <w:pPr>
        <w:pStyle w:val="Restitle"/>
      </w:pPr>
      <w:bookmarkStart w:id="5" w:name="_Toc450208827"/>
      <w:r w:rsidRPr="008C27D5">
        <w:t>Ordre du jour de la Conférence mondiale des radiocommunications de 20</w:t>
      </w:r>
      <w:bookmarkEnd w:id="5"/>
      <w:r w:rsidRPr="008C27D5">
        <w:t>23</w:t>
      </w:r>
    </w:p>
    <w:p w14:paraId="66CE0F41" w14:textId="3C5C4D8C" w:rsidR="00C02961" w:rsidRPr="008C27D5" w:rsidRDefault="00C02961" w:rsidP="002F7BA5">
      <w:pPr>
        <w:pStyle w:val="Normalaftertitle"/>
      </w:pPr>
      <w:r w:rsidRPr="008C27D5">
        <w:t xml:space="preserve">La Conférence mondiale des radiocommunications </w:t>
      </w:r>
      <w:r w:rsidR="00C8033E" w:rsidRPr="008C27D5">
        <w:t>(Charm el-Cheikh, Égypte, 2019)</w:t>
      </w:r>
      <w:r w:rsidRPr="008C27D5">
        <w:t>,</w:t>
      </w:r>
    </w:p>
    <w:p w14:paraId="0A2C1240" w14:textId="77777777" w:rsidR="00C02961" w:rsidRPr="008C27D5" w:rsidRDefault="00C02961" w:rsidP="002F7BA5">
      <w:pPr>
        <w:pStyle w:val="Call"/>
        <w:keepNext w:val="0"/>
        <w:keepLines w:val="0"/>
      </w:pPr>
      <w:r w:rsidRPr="008C27D5">
        <w:t>considérant</w:t>
      </w:r>
    </w:p>
    <w:p w14:paraId="57C4C85D" w14:textId="35219345" w:rsidR="00C02961" w:rsidRPr="008C27D5" w:rsidRDefault="00C02961" w:rsidP="002F7BA5">
      <w:r w:rsidRPr="008C27D5">
        <w:rPr>
          <w:i/>
          <w:iCs/>
        </w:rPr>
        <w:t>a)</w:t>
      </w:r>
      <w:r w:rsidRPr="008C27D5">
        <w:tab/>
        <w:t>que, conformément au numéro 118 de la Convention de l</w:t>
      </w:r>
      <w:r w:rsidR="002F7BA5" w:rsidRPr="008C27D5">
        <w:t>'</w:t>
      </w:r>
      <w:r w:rsidRPr="008C27D5">
        <w:t>UIT, le cadre général de l</w:t>
      </w:r>
      <w:r w:rsidR="002F7BA5" w:rsidRPr="008C27D5">
        <w:t>'</w:t>
      </w:r>
      <w:r w:rsidRPr="008C27D5">
        <w:t>ordre du jour d</w:t>
      </w:r>
      <w:r w:rsidR="002F7BA5" w:rsidRPr="008C27D5">
        <w:t>'</w:t>
      </w:r>
      <w:r w:rsidRPr="008C27D5">
        <w:t>une conférence mondiale des radiocommunications devrait être fixé de quatre à six ans à l</w:t>
      </w:r>
      <w:r w:rsidR="002F7BA5" w:rsidRPr="008C27D5">
        <w:t>'</w:t>
      </w:r>
      <w:r w:rsidRPr="008C27D5">
        <w:t>avance et que l</w:t>
      </w:r>
      <w:r w:rsidR="002F7BA5" w:rsidRPr="008C27D5">
        <w:t>'</w:t>
      </w:r>
      <w:r w:rsidRPr="008C27D5">
        <w:t>ordre du jour définitif est fixé par le Conseil deux ans avant la conférence;</w:t>
      </w:r>
    </w:p>
    <w:p w14:paraId="33476A95" w14:textId="6D1A0043" w:rsidR="00C02961" w:rsidRPr="008C27D5" w:rsidRDefault="00C02961" w:rsidP="002F7BA5">
      <w:pPr>
        <w:rPr>
          <w:i/>
          <w:iCs/>
        </w:rPr>
      </w:pPr>
      <w:r w:rsidRPr="008C27D5">
        <w:rPr>
          <w:i/>
          <w:iCs/>
        </w:rPr>
        <w:t>b)</w:t>
      </w:r>
      <w:r w:rsidRPr="008C27D5">
        <w:rPr>
          <w:i/>
          <w:iCs/>
        </w:rPr>
        <w:tab/>
      </w:r>
      <w:r w:rsidRPr="008C27D5">
        <w:t>l</w:t>
      </w:r>
      <w:r w:rsidR="002F7BA5" w:rsidRPr="008C27D5">
        <w:t>'</w:t>
      </w:r>
      <w:r w:rsidRPr="008C27D5">
        <w:t>article 13 de la Constitution de l</w:t>
      </w:r>
      <w:r w:rsidR="002F7BA5" w:rsidRPr="008C27D5">
        <w:t>'</w:t>
      </w:r>
      <w:r w:rsidRPr="008C27D5">
        <w:t>UIT, concernant la compétence et la fréquence des conférences mondiales des radiocommunications, et l</w:t>
      </w:r>
      <w:r w:rsidR="002F7BA5" w:rsidRPr="008C27D5">
        <w:t>'</w:t>
      </w:r>
      <w:r w:rsidRPr="008C27D5">
        <w:t>article 7 de la Convention relatif à leur ordre du jour;</w:t>
      </w:r>
    </w:p>
    <w:p w14:paraId="55D0A4F4" w14:textId="77777777" w:rsidR="00C02961" w:rsidRPr="008C27D5" w:rsidRDefault="00C02961" w:rsidP="002F7BA5">
      <w:r w:rsidRPr="008C27D5">
        <w:rPr>
          <w:i/>
          <w:iCs/>
        </w:rPr>
        <w:t>c)</w:t>
      </w:r>
      <w:r w:rsidRPr="008C27D5">
        <w:tab/>
        <w:t>les résolutions et recommandations pertinentes des conférences administratives mondiales des radiocommunications (CAMR) et des conférences mondiales des radiocommunications (CMR) précédentes,</w:t>
      </w:r>
    </w:p>
    <w:p w14:paraId="132514ED" w14:textId="77777777" w:rsidR="00C02961" w:rsidRPr="008C27D5" w:rsidRDefault="00C02961" w:rsidP="002F7BA5">
      <w:pPr>
        <w:pStyle w:val="Call"/>
      </w:pPr>
      <w:r w:rsidRPr="008C27D5">
        <w:t>décide</w:t>
      </w:r>
    </w:p>
    <w:p w14:paraId="10A0925B" w14:textId="47530A32" w:rsidR="00C02961" w:rsidRPr="008C27D5" w:rsidRDefault="00C02961" w:rsidP="002F7BA5">
      <w:r w:rsidRPr="008C27D5">
        <w:t>de recommander au Conseil de convoquer en 20</w:t>
      </w:r>
      <w:r w:rsidR="00DD555D" w:rsidRPr="008C27D5">
        <w:t>23</w:t>
      </w:r>
      <w:r w:rsidRPr="008C27D5">
        <w:t xml:space="preserve"> une conférence mondiale des radiocommunications d</w:t>
      </w:r>
      <w:r w:rsidR="002F7BA5" w:rsidRPr="008C27D5">
        <w:t>'</w:t>
      </w:r>
      <w:r w:rsidRPr="008C27D5">
        <w:t>une durée maximale de quatre semaines, dont l</w:t>
      </w:r>
      <w:r w:rsidR="002F7BA5" w:rsidRPr="008C27D5">
        <w:t>'</w:t>
      </w:r>
      <w:r w:rsidRPr="008C27D5">
        <w:t>ordre du jour sera le suivant:</w:t>
      </w:r>
    </w:p>
    <w:p w14:paraId="7B1B60C1" w14:textId="6AFBAE8B" w:rsidR="00C02961" w:rsidRPr="008C27D5" w:rsidRDefault="00C02961" w:rsidP="002F7BA5">
      <w:r w:rsidRPr="008C27D5">
        <w:t>1</w:t>
      </w:r>
      <w:r w:rsidRPr="008C27D5">
        <w:tab/>
        <w:t>sur la base des propositions des administrations, compte tenu des résultats de la CMR</w:t>
      </w:r>
      <w:r w:rsidRPr="008C27D5">
        <w:noBreakHyphen/>
        <w:t>1</w:t>
      </w:r>
      <w:r w:rsidR="00DD555D" w:rsidRPr="008C27D5">
        <w:t>9</w:t>
      </w:r>
      <w:r w:rsidRPr="008C27D5">
        <w:t xml:space="preserve"> ainsi que du rapport de la Réunion de préparation à la Conférence et compte dûment tenu des besoins des services existants ou futurs dans les bandes de fréquences considérées, examiner les points suivants et prendre les mesures appropriées:</w:t>
      </w:r>
    </w:p>
    <w:p w14:paraId="05588CA6" w14:textId="0F1745E1" w:rsidR="00683D03" w:rsidRPr="008C27D5" w:rsidRDefault="00C02961" w:rsidP="002F7BA5">
      <w:r w:rsidRPr="008C27D5">
        <w:rPr>
          <w:bCs/>
        </w:rPr>
        <w:t>1.[</w:t>
      </w:r>
      <w:r w:rsidR="00971634" w:rsidRPr="008C27D5">
        <w:rPr>
          <w:bCs/>
        </w:rPr>
        <w:t>SFS</w:t>
      </w:r>
      <w:r w:rsidRPr="008C27D5">
        <w:rPr>
          <w:bCs/>
        </w:rPr>
        <w:t>-12</w:t>
      </w:r>
      <w:r w:rsidR="00A33C78" w:rsidRPr="008C27D5">
        <w:rPr>
          <w:bCs/>
        </w:rPr>
        <w:t>,</w:t>
      </w:r>
      <w:r w:rsidRPr="008C27D5">
        <w:rPr>
          <w:bCs/>
        </w:rPr>
        <w:t>75-13</w:t>
      </w:r>
      <w:r w:rsidR="00A33C78" w:rsidRPr="008C27D5">
        <w:rPr>
          <w:bCs/>
        </w:rPr>
        <w:t>,</w:t>
      </w:r>
      <w:r w:rsidRPr="008C27D5">
        <w:rPr>
          <w:bCs/>
        </w:rPr>
        <w:t>25 GHZ]</w:t>
      </w:r>
      <w:r w:rsidRPr="008C27D5">
        <w:rPr>
          <w:bCs/>
        </w:rPr>
        <w:tab/>
      </w:r>
      <w:r w:rsidR="00B47B60" w:rsidRPr="008C27D5">
        <w:rPr>
          <w:color w:val="000000"/>
        </w:rPr>
        <w:t>examiner</w:t>
      </w:r>
      <w:r w:rsidRPr="008C27D5">
        <w:t>,</w:t>
      </w:r>
      <w:r w:rsidR="00B47B60" w:rsidRPr="008C27D5">
        <w:t xml:space="preserve"> compte tenu des études effectuées par l</w:t>
      </w:r>
      <w:r w:rsidR="002F7BA5" w:rsidRPr="008C27D5">
        <w:t>'</w:t>
      </w:r>
      <w:r w:rsidR="00B47B60" w:rsidRPr="008C27D5">
        <w:t>UIT</w:t>
      </w:r>
      <w:r w:rsidRPr="008C27D5">
        <w:t>-R</w:t>
      </w:r>
      <w:r w:rsidR="00B47B60" w:rsidRPr="008C27D5">
        <w:t xml:space="preserve"> conformément à la Résolution </w:t>
      </w:r>
      <w:r w:rsidRPr="008C27D5">
        <w:rPr>
          <w:b/>
        </w:rPr>
        <w:t>[IAP/10(K)/ESIM-AERO-MAR] (</w:t>
      </w:r>
      <w:r w:rsidR="005E575B" w:rsidRPr="008C27D5">
        <w:rPr>
          <w:b/>
        </w:rPr>
        <w:t>CMR</w:t>
      </w:r>
      <w:r w:rsidRPr="008C27D5">
        <w:rPr>
          <w:b/>
        </w:rPr>
        <w:t>-19)</w:t>
      </w:r>
      <w:r w:rsidRPr="008C27D5">
        <w:t xml:space="preserve">, </w:t>
      </w:r>
      <w:r w:rsidR="00B47B60" w:rsidRPr="008C27D5">
        <w:rPr>
          <w:color w:val="000000"/>
        </w:rPr>
        <w:t xml:space="preserve">les dispositions réglementaires </w:t>
      </w:r>
      <w:r w:rsidR="005E575B" w:rsidRPr="008C27D5">
        <w:rPr>
          <w:color w:val="000000"/>
        </w:rPr>
        <w:t xml:space="preserve">et </w:t>
      </w:r>
      <w:r w:rsidR="00B47B60" w:rsidRPr="008C27D5">
        <w:rPr>
          <w:color w:val="000000"/>
        </w:rPr>
        <w:t>techniques appropriées concernant l</w:t>
      </w:r>
      <w:r w:rsidR="002F7BA5" w:rsidRPr="008C27D5">
        <w:rPr>
          <w:color w:val="000000"/>
        </w:rPr>
        <w:t>'</w:t>
      </w:r>
      <w:r w:rsidR="00B47B60" w:rsidRPr="008C27D5">
        <w:rPr>
          <w:color w:val="000000"/>
        </w:rPr>
        <w:t>utilisation des bandes de fréquences</w:t>
      </w:r>
      <w:bookmarkStart w:id="6" w:name="_Hlk535313265"/>
      <w:r w:rsidR="00B47B60" w:rsidRPr="008C27D5">
        <w:rPr>
          <w:color w:val="000000"/>
        </w:rPr>
        <w:t xml:space="preserve"> </w:t>
      </w:r>
      <w:r w:rsidRPr="008C27D5">
        <w:t>10</w:t>
      </w:r>
      <w:r w:rsidR="00A33C78" w:rsidRPr="008C27D5">
        <w:t>,</w:t>
      </w:r>
      <w:r w:rsidRPr="008C27D5">
        <w:t>7</w:t>
      </w:r>
      <w:r w:rsidR="00A33C78" w:rsidRPr="008C27D5">
        <w:noBreakHyphen/>
      </w:r>
      <w:r w:rsidRPr="008C27D5">
        <w:t>10</w:t>
      </w:r>
      <w:r w:rsidR="00A33C78" w:rsidRPr="008C27D5">
        <w:t>,</w:t>
      </w:r>
      <w:r w:rsidRPr="008C27D5">
        <w:t>95 GHz (</w:t>
      </w:r>
      <w:r w:rsidR="00DD555D" w:rsidRPr="008C27D5">
        <w:t>espace vers Terre</w:t>
      </w:r>
      <w:r w:rsidRPr="008C27D5">
        <w:t>), 11</w:t>
      </w:r>
      <w:r w:rsidR="00A33C78" w:rsidRPr="008C27D5">
        <w:t>,</w:t>
      </w:r>
      <w:r w:rsidRPr="008C27D5">
        <w:t>2-11</w:t>
      </w:r>
      <w:r w:rsidR="00A33C78" w:rsidRPr="008C27D5">
        <w:t>,</w:t>
      </w:r>
      <w:r w:rsidRPr="008C27D5">
        <w:t>45 GHz (</w:t>
      </w:r>
      <w:r w:rsidR="00DD555D" w:rsidRPr="008C27D5">
        <w:t>espace vers Terre</w:t>
      </w:r>
      <w:r w:rsidRPr="008C27D5">
        <w:t>)</w:t>
      </w:r>
      <w:r w:rsidR="002F7BA5" w:rsidRPr="008C27D5">
        <w:t xml:space="preserve"> </w:t>
      </w:r>
      <w:r w:rsidR="00B47B60" w:rsidRPr="008C27D5">
        <w:t>et</w:t>
      </w:r>
      <w:r w:rsidRPr="008C27D5">
        <w:t xml:space="preserve"> 12</w:t>
      </w:r>
      <w:r w:rsidR="00A33C78" w:rsidRPr="008C27D5">
        <w:t>,</w:t>
      </w:r>
      <w:r w:rsidRPr="008C27D5">
        <w:t>75-13</w:t>
      </w:r>
      <w:r w:rsidR="00A33C78" w:rsidRPr="008C27D5">
        <w:t>,</w:t>
      </w:r>
      <w:r w:rsidRPr="008C27D5">
        <w:t>25 GHz (</w:t>
      </w:r>
      <w:r w:rsidR="00DD555D" w:rsidRPr="008C27D5">
        <w:t>Terre vers espace</w:t>
      </w:r>
      <w:r w:rsidRPr="008C27D5">
        <w:t>)</w:t>
      </w:r>
      <w:r w:rsidR="00B47B60" w:rsidRPr="008C27D5">
        <w:t xml:space="preserve"> par les stations ESIM aéronautiques et maritimes</w:t>
      </w:r>
      <w:r w:rsidR="002F7BA5" w:rsidRPr="008C27D5">
        <w:rPr>
          <w:szCs w:val="24"/>
        </w:rPr>
        <w:t xml:space="preserve"> </w:t>
      </w:r>
      <w:r w:rsidR="00B47B60" w:rsidRPr="008C27D5">
        <w:t>communiquant avec des stations spatiales géostationnaires du service fixe par satellite,</w:t>
      </w:r>
      <w:bookmarkEnd w:id="6"/>
      <w:r w:rsidR="002F7BA5" w:rsidRPr="008C27D5">
        <w:t xml:space="preserve"> </w:t>
      </w:r>
    </w:p>
    <w:p w14:paraId="742677A1" w14:textId="77777777" w:rsidR="00C02961" w:rsidRPr="008C27D5" w:rsidRDefault="00C02961" w:rsidP="002F7BA5">
      <w:pPr>
        <w:pStyle w:val="Call"/>
        <w:keepNext w:val="0"/>
        <w:keepLines w:val="0"/>
      </w:pPr>
      <w:r w:rsidRPr="008C27D5">
        <w:t>décide en outre</w:t>
      </w:r>
    </w:p>
    <w:p w14:paraId="02C85B8B" w14:textId="7E3337A1" w:rsidR="00C02961" w:rsidRPr="008C27D5" w:rsidRDefault="00C02961" w:rsidP="002F7BA5">
      <w:r w:rsidRPr="008C27D5">
        <w:t>d</w:t>
      </w:r>
      <w:r w:rsidR="002F7BA5" w:rsidRPr="008C27D5">
        <w:t>'</w:t>
      </w:r>
      <w:r w:rsidRPr="008C27D5">
        <w:t>activer la Réunion de préparation à la Conférence,</w:t>
      </w:r>
    </w:p>
    <w:p w14:paraId="5B6CA74E" w14:textId="77777777" w:rsidR="00C02961" w:rsidRPr="008C27D5" w:rsidRDefault="00C02961" w:rsidP="002F7BA5">
      <w:pPr>
        <w:pStyle w:val="Call"/>
      </w:pPr>
      <w:r w:rsidRPr="008C27D5">
        <w:t>invite le Conseil</w:t>
      </w:r>
    </w:p>
    <w:p w14:paraId="725B43EF" w14:textId="551267CB" w:rsidR="00C02961" w:rsidRPr="008C27D5" w:rsidRDefault="00C02961" w:rsidP="002F7BA5">
      <w:r w:rsidRPr="008C27D5">
        <w:t>à arrêter définitivement l</w:t>
      </w:r>
      <w:r w:rsidR="002F7BA5" w:rsidRPr="008C27D5">
        <w:t>'</w:t>
      </w:r>
      <w:r w:rsidRPr="008C27D5">
        <w:t>ordre du jour</w:t>
      </w:r>
      <w:r w:rsidR="00B47B60" w:rsidRPr="008C27D5">
        <w:t xml:space="preserve"> de la CMR</w:t>
      </w:r>
      <w:r w:rsidR="00B47B60" w:rsidRPr="008C27D5">
        <w:noBreakHyphen/>
        <w:t>23 et</w:t>
      </w:r>
      <w:r w:rsidR="00577616" w:rsidRPr="008C27D5">
        <w:t xml:space="preserve"> </w:t>
      </w:r>
      <w:r w:rsidRPr="008C27D5">
        <w:t xml:space="preserve">à prendre les dispositions nécessaires en vue de la convocation </w:t>
      </w:r>
      <w:r w:rsidR="00B47B60" w:rsidRPr="008C27D5">
        <w:t xml:space="preserve">de cette </w:t>
      </w:r>
      <w:r w:rsidR="00C8033E">
        <w:t>C</w:t>
      </w:r>
      <w:r w:rsidR="00B47B60" w:rsidRPr="008C27D5">
        <w:t>onférence</w:t>
      </w:r>
      <w:r w:rsidR="005E575B" w:rsidRPr="008C27D5">
        <w:t>,</w:t>
      </w:r>
      <w:r w:rsidR="00B47B60" w:rsidRPr="008C27D5">
        <w:t xml:space="preserve"> </w:t>
      </w:r>
      <w:r w:rsidRPr="008C27D5">
        <w:t xml:space="preserve">et à engager dès que possible les consultations nécessaires avec les </w:t>
      </w:r>
      <w:r w:rsidR="00577616" w:rsidRPr="008C27D5">
        <w:t>É</w:t>
      </w:r>
      <w:r w:rsidRPr="008C27D5">
        <w:t>tats</w:t>
      </w:r>
      <w:r w:rsidR="00577616" w:rsidRPr="008C27D5">
        <w:t xml:space="preserve"> </w:t>
      </w:r>
      <w:r w:rsidRPr="008C27D5">
        <w:t>Membres,</w:t>
      </w:r>
    </w:p>
    <w:p w14:paraId="324A2E8C" w14:textId="77777777" w:rsidR="00C02961" w:rsidRPr="008C27D5" w:rsidRDefault="00C02961" w:rsidP="002F7BA5">
      <w:pPr>
        <w:pStyle w:val="Call"/>
        <w:keepNext w:val="0"/>
        <w:keepLines w:val="0"/>
      </w:pPr>
      <w:r w:rsidRPr="008C27D5">
        <w:t>charge le Directeur du Bureau des radiocommunications</w:t>
      </w:r>
    </w:p>
    <w:p w14:paraId="62E87B1D" w14:textId="5671D303" w:rsidR="00C02961" w:rsidRPr="008C27D5" w:rsidRDefault="00C02961" w:rsidP="002F7BA5">
      <w:r w:rsidRPr="008C27D5">
        <w:t>de prendre les dispositions voulues pour la convocation des sessions de la Réunion de préparation à la Conférence et d</w:t>
      </w:r>
      <w:r w:rsidR="002F7BA5" w:rsidRPr="008C27D5">
        <w:t>'</w:t>
      </w:r>
      <w:r w:rsidRPr="008C27D5">
        <w:t xml:space="preserve">élaborer un </w:t>
      </w:r>
      <w:r w:rsidR="00B47B60" w:rsidRPr="008C27D5">
        <w:t>r</w:t>
      </w:r>
      <w:r w:rsidRPr="008C27D5">
        <w:t>apport à l</w:t>
      </w:r>
      <w:r w:rsidR="002F7BA5" w:rsidRPr="008C27D5">
        <w:t>'</w:t>
      </w:r>
      <w:r w:rsidRPr="008C27D5">
        <w:t>intention de la CMR</w:t>
      </w:r>
      <w:r w:rsidRPr="008C27D5">
        <w:noBreakHyphen/>
        <w:t>23,</w:t>
      </w:r>
    </w:p>
    <w:p w14:paraId="0BC7E19A" w14:textId="77777777" w:rsidR="00C02961" w:rsidRPr="008C27D5" w:rsidRDefault="00C02961" w:rsidP="002F7BA5">
      <w:pPr>
        <w:pStyle w:val="Call"/>
        <w:keepNext w:val="0"/>
        <w:keepLines w:val="0"/>
      </w:pPr>
      <w:r w:rsidRPr="008C27D5">
        <w:t>charge le Secrétaire général</w:t>
      </w:r>
    </w:p>
    <w:p w14:paraId="0E26912A" w14:textId="77777777" w:rsidR="00C02961" w:rsidRPr="008C27D5" w:rsidRDefault="00C02961" w:rsidP="002F7BA5">
      <w:r w:rsidRPr="008C27D5">
        <w:t>de communiquer la présente Résolution aux organisations internationales ou régionales concernées.</w:t>
      </w:r>
    </w:p>
    <w:p w14:paraId="31185E19" w14:textId="309261E7" w:rsidR="00683D03" w:rsidRPr="008C27D5" w:rsidRDefault="008D2F4F" w:rsidP="002F7BA5">
      <w:pPr>
        <w:pStyle w:val="Reasons"/>
      </w:pPr>
      <w:r w:rsidRPr="008C27D5">
        <w:rPr>
          <w:b/>
        </w:rPr>
        <w:lastRenderedPageBreak/>
        <w:t>Motifs:</w:t>
      </w:r>
      <w:r w:rsidRPr="008C27D5">
        <w:tab/>
      </w:r>
      <w:r w:rsidR="00B47B60" w:rsidRPr="008C27D5">
        <w:t xml:space="preserve">Envisager des utilisations additionnelles des bandes de fréquences </w:t>
      </w:r>
      <w:r w:rsidR="00C02961" w:rsidRPr="008C27D5">
        <w:t>10</w:t>
      </w:r>
      <w:r w:rsidR="00577616" w:rsidRPr="008C27D5">
        <w:t>,</w:t>
      </w:r>
      <w:r w:rsidR="00C02961" w:rsidRPr="008C27D5">
        <w:t>7</w:t>
      </w:r>
      <w:r w:rsidR="00577616" w:rsidRPr="008C27D5">
        <w:noBreakHyphen/>
      </w:r>
      <w:r w:rsidR="00C02961" w:rsidRPr="008C27D5">
        <w:t>10</w:t>
      </w:r>
      <w:r w:rsidR="00577616" w:rsidRPr="008C27D5">
        <w:t>,</w:t>
      </w:r>
      <w:r w:rsidR="00C02961" w:rsidRPr="008C27D5">
        <w:t>95</w:t>
      </w:r>
      <w:r w:rsidR="00577616" w:rsidRPr="008C27D5">
        <w:t> </w:t>
      </w:r>
      <w:r w:rsidR="00C02961" w:rsidRPr="008C27D5">
        <w:t>GHz, 11</w:t>
      </w:r>
      <w:r w:rsidR="00577616" w:rsidRPr="008C27D5">
        <w:t>,</w:t>
      </w:r>
      <w:r w:rsidR="00C02961" w:rsidRPr="008C27D5">
        <w:t>2-11</w:t>
      </w:r>
      <w:r w:rsidR="00577616" w:rsidRPr="008C27D5">
        <w:t>,</w:t>
      </w:r>
      <w:r w:rsidR="00C02961" w:rsidRPr="008C27D5">
        <w:t>45 GHz</w:t>
      </w:r>
      <w:r w:rsidR="00B47B60" w:rsidRPr="008C27D5">
        <w:t xml:space="preserve"> et</w:t>
      </w:r>
      <w:r w:rsidR="00C02961" w:rsidRPr="008C27D5">
        <w:t xml:space="preserve"> 12</w:t>
      </w:r>
      <w:r w:rsidR="00577616" w:rsidRPr="008C27D5">
        <w:t>,</w:t>
      </w:r>
      <w:r w:rsidR="00C02961" w:rsidRPr="008C27D5">
        <w:t>75-13</w:t>
      </w:r>
      <w:r w:rsidR="00577616" w:rsidRPr="008C27D5">
        <w:t>,</w:t>
      </w:r>
      <w:r w:rsidR="00C02961" w:rsidRPr="008C27D5">
        <w:t>25 GHz</w:t>
      </w:r>
      <w:r w:rsidR="005E575B" w:rsidRPr="008C27D5">
        <w:t xml:space="preserve"> attribuées au SFS</w:t>
      </w:r>
      <w:r w:rsidR="00B47B60" w:rsidRPr="008C27D5">
        <w:t>, afin de répondre à la demande croissante de spectre</w:t>
      </w:r>
      <w:r w:rsidR="002F7BA5" w:rsidRPr="008C27D5">
        <w:t xml:space="preserve"> </w:t>
      </w:r>
      <w:r w:rsidR="00B47B60" w:rsidRPr="008C27D5">
        <w:t>pour les stations ESIM aéronautiques et maritimes.</w:t>
      </w:r>
    </w:p>
    <w:p w14:paraId="0EDEBBDA" w14:textId="77777777" w:rsidR="00683D03" w:rsidRPr="008C27D5" w:rsidRDefault="008D2F4F" w:rsidP="002F7BA5">
      <w:pPr>
        <w:pStyle w:val="Proposal"/>
      </w:pPr>
      <w:r w:rsidRPr="008C27D5">
        <w:t>ADD</w:t>
      </w:r>
      <w:r w:rsidRPr="008C27D5">
        <w:tab/>
        <w:t>IAP/11A24A11/2</w:t>
      </w:r>
    </w:p>
    <w:p w14:paraId="11D95AB6" w14:textId="39A2D7E3" w:rsidR="00683D03" w:rsidRPr="008C27D5" w:rsidRDefault="008D2F4F" w:rsidP="002F7BA5">
      <w:pPr>
        <w:pStyle w:val="ResNo"/>
      </w:pPr>
      <w:r w:rsidRPr="008C27D5">
        <w:t xml:space="preserve">Projet de nouvelle Résolution </w:t>
      </w:r>
      <w:r w:rsidR="00C02961" w:rsidRPr="008C27D5">
        <w:t>[IAP-2/10(K)/</w:t>
      </w:r>
      <w:r w:rsidR="00C02961" w:rsidRPr="008C27D5">
        <w:br/>
        <w:t>ESIM-AERO-MAR] (CMR-19)]</w:t>
      </w:r>
    </w:p>
    <w:p w14:paraId="5A79BAA7" w14:textId="7AC2BA39" w:rsidR="00683D03" w:rsidRPr="008C27D5" w:rsidRDefault="00B47B60" w:rsidP="00A33C78">
      <w:pPr>
        <w:pStyle w:val="Restitle"/>
      </w:pPr>
      <w:r w:rsidRPr="008C27D5">
        <w:t>Exploitation des stations terriennes aéronautiques et maritimes en mouvement communiquant avec des stations spatiales géostationnaires du service fixe par satellite</w:t>
      </w:r>
      <w:r w:rsidR="002F7BA5" w:rsidRPr="008C27D5">
        <w:t xml:space="preserve"> </w:t>
      </w:r>
      <w:r w:rsidR="00C02961" w:rsidRPr="008C27D5">
        <w:t>dans les bandes de fréquences 10,7-10,95 GHz (espace vers Terre), 11,2</w:t>
      </w:r>
      <w:r w:rsidR="00A33C78" w:rsidRPr="008C27D5">
        <w:noBreakHyphen/>
      </w:r>
      <w:r w:rsidR="00C02961" w:rsidRPr="008C27D5">
        <w:t>11,45 GHz (espace vers Terre) et 12,75-13,25 GHz (Terre vers espace)</w:t>
      </w:r>
    </w:p>
    <w:p w14:paraId="239584F9" w14:textId="221D55E4" w:rsidR="00C02961" w:rsidRPr="008C27D5" w:rsidRDefault="00C02961" w:rsidP="002F7BA5">
      <w:pPr>
        <w:pStyle w:val="Normalaftertitle"/>
      </w:pPr>
      <w:r w:rsidRPr="008C27D5">
        <w:t>La Conférence mondiale des radiocommunications (</w:t>
      </w:r>
      <w:r w:rsidR="00BE5265" w:rsidRPr="008C27D5">
        <w:t>Charm el-Cheikh, Égypte, 2019</w:t>
      </w:r>
      <w:r w:rsidRPr="008C27D5">
        <w:t>),</w:t>
      </w:r>
    </w:p>
    <w:p w14:paraId="3A1B1A8D" w14:textId="77777777" w:rsidR="00C02961" w:rsidRPr="008C27D5" w:rsidRDefault="00C02961" w:rsidP="002F7BA5">
      <w:pPr>
        <w:pStyle w:val="Call"/>
        <w:keepNext w:val="0"/>
        <w:keepLines w:val="0"/>
      </w:pPr>
      <w:r w:rsidRPr="008C27D5">
        <w:t>considérant</w:t>
      </w:r>
    </w:p>
    <w:p w14:paraId="0AFA7DE6" w14:textId="41527684" w:rsidR="00683D03" w:rsidRPr="008C27D5" w:rsidRDefault="00C02961" w:rsidP="002F7BA5">
      <w:r w:rsidRPr="008C27D5">
        <w:rPr>
          <w:i/>
          <w:iCs/>
        </w:rPr>
        <w:t>a)</w:t>
      </w:r>
      <w:r w:rsidRPr="008C27D5">
        <w:tab/>
      </w:r>
      <w:r w:rsidR="00BE5265" w:rsidRPr="008C27D5">
        <w:t>que la bande de fréquences 12,75-13,25 GHz est</w:t>
      </w:r>
      <w:r w:rsidR="002F7BA5" w:rsidRPr="008C27D5">
        <w:t xml:space="preserve"> </w:t>
      </w:r>
      <w:r w:rsidR="00BE5265" w:rsidRPr="008C27D5">
        <w:t xml:space="preserve">attribuée à titre primaire aux services fixe, mobile et fixe par satellite (Terre vers espace), et à titre secondaire au service de recherche spatiale (espace </w:t>
      </w:r>
      <w:r w:rsidR="00B47B60" w:rsidRPr="008C27D5">
        <w:t>lointain</w:t>
      </w:r>
      <w:r w:rsidR="00BE5265" w:rsidRPr="008C27D5">
        <w:t>) (espace vers Terre)</w:t>
      </w:r>
      <w:r w:rsidR="00B47B60" w:rsidRPr="008C27D5">
        <w:rPr>
          <w:color w:val="000000"/>
        </w:rPr>
        <w:t xml:space="preserve"> à l</w:t>
      </w:r>
      <w:r w:rsidR="002F7BA5" w:rsidRPr="008C27D5">
        <w:rPr>
          <w:color w:val="000000"/>
        </w:rPr>
        <w:t>'</w:t>
      </w:r>
      <w:r w:rsidR="00B47B60" w:rsidRPr="008C27D5">
        <w:rPr>
          <w:color w:val="000000"/>
        </w:rPr>
        <w:t>échelle mondiale</w:t>
      </w:r>
      <w:r w:rsidR="00BE5265" w:rsidRPr="008C27D5">
        <w:t>;</w:t>
      </w:r>
    </w:p>
    <w:p w14:paraId="795ACCCB" w14:textId="5F8C52B5" w:rsidR="00BE5265" w:rsidRPr="008C27D5" w:rsidRDefault="00BE5265" w:rsidP="002F7BA5">
      <w:r w:rsidRPr="008C27D5">
        <w:rPr>
          <w:i/>
        </w:rPr>
        <w:t>b)</w:t>
      </w:r>
      <w:r w:rsidRPr="008C27D5">
        <w:tab/>
        <w:t>que les bandes de fréquences 10,7-10,95 GHz et 11,2-11,45 GHz sont</w:t>
      </w:r>
      <w:r w:rsidR="002F7BA5" w:rsidRPr="008C27D5">
        <w:t xml:space="preserve"> </w:t>
      </w:r>
      <w:r w:rsidRPr="008C27D5">
        <w:t>attribuée</w:t>
      </w:r>
      <w:r w:rsidR="005353E7" w:rsidRPr="008C27D5">
        <w:t>s</w:t>
      </w:r>
      <w:r w:rsidRPr="008C27D5">
        <w:t xml:space="preserve"> à titre primaire aux services fixe, fixe par satellite (</w:t>
      </w:r>
      <w:r w:rsidR="00B47B60" w:rsidRPr="008C27D5">
        <w:t>espace vers Terre</w:t>
      </w:r>
      <w:r w:rsidRPr="008C27D5">
        <w:t>)</w:t>
      </w:r>
      <w:r w:rsidR="00B47B60" w:rsidRPr="008C27D5">
        <w:t xml:space="preserve"> et mobile, sauf mobile aéronautique, à l</w:t>
      </w:r>
      <w:r w:rsidR="002F7BA5" w:rsidRPr="008C27D5">
        <w:t>'</w:t>
      </w:r>
      <w:r w:rsidR="00B47B60" w:rsidRPr="008C27D5">
        <w:t>échelle mondiale</w:t>
      </w:r>
      <w:r w:rsidR="002F7BA5" w:rsidRPr="008C27D5">
        <w:t>;</w:t>
      </w:r>
    </w:p>
    <w:p w14:paraId="72197D5C" w14:textId="221C65AE" w:rsidR="00BE5265" w:rsidRPr="008C27D5" w:rsidRDefault="00BE5265" w:rsidP="002F7BA5">
      <w:r w:rsidRPr="008C27D5">
        <w:rPr>
          <w:i/>
        </w:rPr>
        <w:t>c)</w:t>
      </w:r>
      <w:r w:rsidRPr="008C27D5">
        <w:tab/>
      </w:r>
      <w:r w:rsidR="00971634" w:rsidRPr="008C27D5">
        <w:t>que l</w:t>
      </w:r>
      <w:r w:rsidR="002F7BA5" w:rsidRPr="008C27D5">
        <w:t>'</w:t>
      </w:r>
      <w:r w:rsidR="00971634" w:rsidRPr="008C27D5">
        <w:t xml:space="preserve">utilisation du service fixe par satellite </w:t>
      </w:r>
      <w:r w:rsidRPr="008C27D5">
        <w:t>(</w:t>
      </w:r>
      <w:r w:rsidR="00971634" w:rsidRPr="008C27D5">
        <w:t>SFS</w:t>
      </w:r>
      <w:r w:rsidRPr="008C27D5">
        <w:t>)</w:t>
      </w:r>
      <w:r w:rsidR="00971634" w:rsidRPr="008C27D5">
        <w:t xml:space="preserve"> dans cette bande est assujettie aux dispositions de l</w:t>
      </w:r>
      <w:r w:rsidR="002F7BA5" w:rsidRPr="008C27D5">
        <w:t>'</w:t>
      </w:r>
      <w:r w:rsidR="00971634" w:rsidRPr="008C27D5">
        <w:t xml:space="preserve">Appendice </w:t>
      </w:r>
      <w:r w:rsidRPr="008C27D5">
        <w:rPr>
          <w:b/>
        </w:rPr>
        <w:t>30B</w:t>
      </w:r>
      <w:r w:rsidRPr="008C27D5">
        <w:t xml:space="preserve"> </w:t>
      </w:r>
      <w:r w:rsidR="005353E7" w:rsidRPr="008C27D5">
        <w:t>et que les mesures éventuelles prises au titre de ce point de l</w:t>
      </w:r>
      <w:r w:rsidR="002F7BA5" w:rsidRPr="008C27D5">
        <w:t>'</w:t>
      </w:r>
      <w:r w:rsidR="005353E7" w:rsidRPr="008C27D5">
        <w:t xml:space="preserve">ordre du jour ne devraient pas avoir </w:t>
      </w:r>
      <w:r w:rsidR="005353E7" w:rsidRPr="008C27D5">
        <w:rPr>
          <w:color w:val="000000"/>
        </w:rPr>
        <w:t>d</w:t>
      </w:r>
      <w:r w:rsidR="002F7BA5" w:rsidRPr="008C27D5">
        <w:rPr>
          <w:color w:val="000000"/>
        </w:rPr>
        <w:t>'</w:t>
      </w:r>
      <w:r w:rsidR="005353E7" w:rsidRPr="008C27D5">
        <w:rPr>
          <w:color w:val="000000"/>
        </w:rPr>
        <w:t>incidences sur l</w:t>
      </w:r>
      <w:r w:rsidR="002F7BA5" w:rsidRPr="008C27D5">
        <w:rPr>
          <w:color w:val="000000"/>
        </w:rPr>
        <w:t>'</w:t>
      </w:r>
      <w:r w:rsidR="005353E7" w:rsidRPr="008C27D5">
        <w:rPr>
          <w:color w:val="000000"/>
        </w:rPr>
        <w:t>intégrité du Plan</w:t>
      </w:r>
      <w:r w:rsidR="005353E7" w:rsidRPr="008C27D5">
        <w:t xml:space="preserve"> de </w:t>
      </w:r>
      <w:r w:rsidR="00971634" w:rsidRPr="008C27D5">
        <w:t>l</w:t>
      </w:r>
      <w:r w:rsidR="002F7BA5" w:rsidRPr="008C27D5">
        <w:t>'</w:t>
      </w:r>
      <w:r w:rsidR="00971634" w:rsidRPr="008C27D5">
        <w:t>Appendice</w:t>
      </w:r>
      <w:r w:rsidR="002F7BA5" w:rsidRPr="008C27D5">
        <w:t xml:space="preserve"> </w:t>
      </w:r>
      <w:r w:rsidRPr="008C27D5">
        <w:rPr>
          <w:b/>
        </w:rPr>
        <w:t>30B</w:t>
      </w:r>
      <w:r w:rsidR="002F7BA5" w:rsidRPr="008C27D5">
        <w:t>;</w:t>
      </w:r>
    </w:p>
    <w:p w14:paraId="56EB13E7" w14:textId="2E0669FB" w:rsidR="00BE5265" w:rsidRPr="008C27D5" w:rsidRDefault="00BE5265" w:rsidP="002F7BA5">
      <w:r w:rsidRPr="008C27D5">
        <w:rPr>
          <w:i/>
        </w:rPr>
        <w:t>d)</w:t>
      </w:r>
      <w:r w:rsidRPr="008C27D5">
        <w:rPr>
          <w:i/>
        </w:rPr>
        <w:tab/>
      </w:r>
      <w:r w:rsidR="005353E7" w:rsidRPr="008C27D5">
        <w:rPr>
          <w:iCs/>
        </w:rPr>
        <w:t xml:space="preserve">que, pour répondre à la demande croissante de connectivité </w:t>
      </w:r>
      <w:r w:rsidR="005E575B" w:rsidRPr="008C27D5">
        <w:rPr>
          <w:iCs/>
        </w:rPr>
        <w:t xml:space="preserve">à bord </w:t>
      </w:r>
      <w:r w:rsidR="005353E7" w:rsidRPr="008C27D5">
        <w:rPr>
          <w:iCs/>
        </w:rPr>
        <w:t>des aéronefs et des navires, il se peut que les réseaux fonctionnant dans cette bande de fréquences fournissent déjà des services à des stations terriennes à bord</w:t>
      </w:r>
      <w:r w:rsidR="002F7BA5" w:rsidRPr="008C27D5">
        <w:rPr>
          <w:iCs/>
        </w:rPr>
        <w:t xml:space="preserve"> </w:t>
      </w:r>
      <w:r w:rsidR="005353E7" w:rsidRPr="008C27D5">
        <w:rPr>
          <w:iCs/>
        </w:rPr>
        <w:t>d</w:t>
      </w:r>
      <w:r w:rsidR="002F7BA5" w:rsidRPr="008C27D5">
        <w:rPr>
          <w:iCs/>
        </w:rPr>
        <w:t>'</w:t>
      </w:r>
      <w:r w:rsidR="005353E7" w:rsidRPr="008C27D5">
        <w:rPr>
          <w:iCs/>
        </w:rPr>
        <w:t>aéronefs et de navires conformément au numéro</w:t>
      </w:r>
      <w:r w:rsidR="005353E7" w:rsidRPr="008C27D5">
        <w:t xml:space="preserve"> </w:t>
      </w:r>
      <w:r w:rsidRPr="008C27D5">
        <w:rPr>
          <w:b/>
        </w:rPr>
        <w:t>4.4</w:t>
      </w:r>
      <w:r w:rsidRPr="008C27D5">
        <w:t>;</w:t>
      </w:r>
    </w:p>
    <w:p w14:paraId="13676AE6" w14:textId="1D1D6363" w:rsidR="00BE5265" w:rsidRPr="008C27D5" w:rsidRDefault="00BE5265" w:rsidP="002F7BA5">
      <w:r w:rsidRPr="008C27D5">
        <w:rPr>
          <w:i/>
          <w:iCs/>
        </w:rPr>
        <w:t>e)</w:t>
      </w:r>
      <w:r w:rsidRPr="008C27D5">
        <w:rPr>
          <w:iCs/>
        </w:rPr>
        <w:tab/>
      </w:r>
      <w:r w:rsidR="005353E7" w:rsidRPr="008C27D5">
        <w:rPr>
          <w:iCs/>
        </w:rPr>
        <w:t xml:space="preserve">que grâce aux progrès des techniques relatives aux stations terriennes, </w:t>
      </w:r>
      <w:r w:rsidR="005E575B" w:rsidRPr="008C27D5">
        <w:rPr>
          <w:iCs/>
        </w:rPr>
        <w:t xml:space="preserve">et </w:t>
      </w:r>
      <w:r w:rsidR="005353E7" w:rsidRPr="008C27D5">
        <w:rPr>
          <w:iCs/>
        </w:rPr>
        <w:t>notamment à l</w:t>
      </w:r>
      <w:r w:rsidR="002F7BA5" w:rsidRPr="008C27D5">
        <w:rPr>
          <w:iCs/>
        </w:rPr>
        <w:t>'</w:t>
      </w:r>
      <w:r w:rsidR="005353E7" w:rsidRPr="008C27D5">
        <w:rPr>
          <w:iCs/>
        </w:rPr>
        <w:t>utilisation des techniques de poursuite, les stations terriennes aéronautiques et maritimes peuvent fonctionner conformément aux caractéristiques de transmission établies pour les stations terriennes du</w:t>
      </w:r>
      <w:r w:rsidR="002F7BA5" w:rsidRPr="008C27D5">
        <w:rPr>
          <w:iCs/>
        </w:rPr>
        <w:t xml:space="preserve"> </w:t>
      </w:r>
      <w:r w:rsidR="00971634" w:rsidRPr="008C27D5">
        <w:rPr>
          <w:iCs/>
        </w:rPr>
        <w:t>SFS</w:t>
      </w:r>
      <w:r w:rsidRPr="008C27D5">
        <w:rPr>
          <w:iCs/>
        </w:rPr>
        <w:t>;</w:t>
      </w:r>
    </w:p>
    <w:p w14:paraId="017CB534" w14:textId="0270D03B" w:rsidR="00BE5265" w:rsidRPr="008C27D5" w:rsidRDefault="00BE5265" w:rsidP="002F7BA5">
      <w:r w:rsidRPr="008C27D5">
        <w:rPr>
          <w:i/>
        </w:rPr>
        <w:t>f)</w:t>
      </w:r>
      <w:r w:rsidRPr="008C27D5">
        <w:tab/>
      </w:r>
      <w:r w:rsidR="00FE446F" w:rsidRPr="008C27D5">
        <w:t>que la mise à disposition de</w:t>
      </w:r>
      <w:r w:rsidR="005E575B" w:rsidRPr="008C27D5">
        <w:t>s</w:t>
      </w:r>
      <w:r w:rsidR="00FE446F" w:rsidRPr="008C27D5">
        <w:t xml:space="preserve"> bande</w:t>
      </w:r>
      <w:r w:rsidR="005E575B" w:rsidRPr="008C27D5">
        <w:t>s</w:t>
      </w:r>
      <w:r w:rsidR="00FE446F" w:rsidRPr="008C27D5">
        <w:t xml:space="preserve"> </w:t>
      </w:r>
      <w:r w:rsidRPr="008C27D5">
        <w:t>10</w:t>
      </w:r>
      <w:r w:rsidR="005E575B" w:rsidRPr="008C27D5">
        <w:t>,</w:t>
      </w:r>
      <w:r w:rsidRPr="008C27D5">
        <w:t>7-10</w:t>
      </w:r>
      <w:r w:rsidR="005E575B" w:rsidRPr="008C27D5">
        <w:t>,</w:t>
      </w:r>
      <w:r w:rsidRPr="008C27D5">
        <w:t>95 GHz (</w:t>
      </w:r>
      <w:r w:rsidR="00DD555D" w:rsidRPr="008C27D5">
        <w:t>espace vers Terre</w:t>
      </w:r>
      <w:r w:rsidRPr="008C27D5">
        <w:t>), 11</w:t>
      </w:r>
      <w:r w:rsidR="00577616" w:rsidRPr="008C27D5">
        <w:t>,</w:t>
      </w:r>
      <w:r w:rsidRPr="008C27D5">
        <w:t>2</w:t>
      </w:r>
      <w:r w:rsidR="00577616" w:rsidRPr="008C27D5">
        <w:noBreakHyphen/>
      </w:r>
      <w:r w:rsidRPr="008C27D5">
        <w:t>11</w:t>
      </w:r>
      <w:r w:rsidR="00577616" w:rsidRPr="008C27D5">
        <w:t>,</w:t>
      </w:r>
      <w:r w:rsidRPr="008C27D5">
        <w:t>45</w:t>
      </w:r>
      <w:r w:rsidR="00577616" w:rsidRPr="008C27D5">
        <w:t> </w:t>
      </w:r>
      <w:r w:rsidRPr="008C27D5">
        <w:t>GHz (</w:t>
      </w:r>
      <w:r w:rsidR="00DD555D" w:rsidRPr="008C27D5">
        <w:t>espace vers Terre</w:t>
      </w:r>
      <w:r w:rsidRPr="008C27D5">
        <w:t xml:space="preserve">) </w:t>
      </w:r>
      <w:r w:rsidR="00FE446F" w:rsidRPr="008C27D5">
        <w:t>et</w:t>
      </w:r>
      <w:r w:rsidRPr="008C27D5">
        <w:t xml:space="preserve"> 12</w:t>
      </w:r>
      <w:r w:rsidR="00577616" w:rsidRPr="008C27D5">
        <w:t>,</w:t>
      </w:r>
      <w:r w:rsidRPr="008C27D5">
        <w:t>75-13</w:t>
      </w:r>
      <w:r w:rsidR="00577616" w:rsidRPr="008C27D5">
        <w:t>,</w:t>
      </w:r>
      <w:r w:rsidRPr="008C27D5">
        <w:t>25 GHz (</w:t>
      </w:r>
      <w:r w:rsidR="00DD555D" w:rsidRPr="008C27D5">
        <w:t>Terre vers espace</w:t>
      </w:r>
      <w:r w:rsidRPr="008C27D5">
        <w:t>)</w:t>
      </w:r>
      <w:r w:rsidR="002F7BA5" w:rsidRPr="008C27D5">
        <w:t xml:space="preserve"> </w:t>
      </w:r>
      <w:r w:rsidR="00FE446F" w:rsidRPr="008C27D5">
        <w:t xml:space="preserve">pour les stations </w:t>
      </w:r>
      <w:r w:rsidRPr="008C27D5">
        <w:t>ESIM</w:t>
      </w:r>
      <w:r w:rsidR="00FE446F" w:rsidRPr="008C27D5">
        <w:t xml:space="preserve"> aéronautiques et maritimes permettra aux administrations d</w:t>
      </w:r>
      <w:r w:rsidR="002F7BA5" w:rsidRPr="008C27D5">
        <w:t>'</w:t>
      </w:r>
      <w:r w:rsidR="00FE446F" w:rsidRPr="008C27D5">
        <w:t>utiliser avec davantage de souplesse leurs allotissement</w:t>
      </w:r>
      <w:r w:rsidR="00797BFF" w:rsidRPr="008C27D5">
        <w:t>s</w:t>
      </w:r>
      <w:r w:rsidR="00FE446F" w:rsidRPr="008C27D5">
        <w:t xml:space="preserve"> figurant dans le Plan de</w:t>
      </w:r>
      <w:r w:rsidR="002F7BA5" w:rsidRPr="008C27D5">
        <w:t xml:space="preserve"> </w:t>
      </w:r>
      <w:r w:rsidR="00971634" w:rsidRPr="008C27D5">
        <w:t>l</w:t>
      </w:r>
      <w:r w:rsidR="002F7BA5" w:rsidRPr="008C27D5">
        <w:t>'</w:t>
      </w:r>
      <w:r w:rsidR="00971634" w:rsidRPr="008C27D5">
        <w:t>Appendice</w:t>
      </w:r>
      <w:r w:rsidR="002F7BA5" w:rsidRPr="008C27D5">
        <w:t xml:space="preserve"> </w:t>
      </w:r>
      <w:r w:rsidRPr="008C27D5">
        <w:rPr>
          <w:b/>
        </w:rPr>
        <w:t>30B</w:t>
      </w:r>
      <w:r w:rsidR="002F7BA5" w:rsidRPr="008C27D5">
        <w:t>;</w:t>
      </w:r>
    </w:p>
    <w:p w14:paraId="28402F7C" w14:textId="387CD488" w:rsidR="00BE5265" w:rsidRPr="008C27D5" w:rsidRDefault="00BE5265" w:rsidP="002F7BA5">
      <w:r w:rsidRPr="008C27D5">
        <w:rPr>
          <w:i/>
        </w:rPr>
        <w:t>g)</w:t>
      </w:r>
      <w:r w:rsidRPr="008C27D5">
        <w:tab/>
      </w:r>
      <w:r w:rsidR="00136B38" w:rsidRPr="008C27D5">
        <w:t>que l</w:t>
      </w:r>
      <w:r w:rsidR="002F7BA5" w:rsidRPr="008C27D5">
        <w:t>'</w:t>
      </w:r>
      <w:r w:rsidR="00136B38" w:rsidRPr="008C27D5">
        <w:t>exploitation des stations ESIM aéronautiques et maritimes devrait assurer la protection des stations des services ayant des attributions</w:t>
      </w:r>
      <w:r w:rsidR="002F7BA5" w:rsidRPr="008C27D5">
        <w:t xml:space="preserve"> </w:t>
      </w:r>
      <w:r w:rsidR="00136B38" w:rsidRPr="008C27D5">
        <w:t>et ne pas limiter leur développement futur</w:t>
      </w:r>
      <w:r w:rsidR="002F7BA5" w:rsidRPr="008C27D5">
        <w:t>;</w:t>
      </w:r>
    </w:p>
    <w:p w14:paraId="416A663D" w14:textId="33831680" w:rsidR="00BE5265" w:rsidRPr="008C27D5" w:rsidRDefault="00BE5265" w:rsidP="002F7BA5">
      <w:r w:rsidRPr="008C27D5">
        <w:rPr>
          <w:i/>
        </w:rPr>
        <w:t>h)</w:t>
      </w:r>
      <w:r w:rsidRPr="008C27D5">
        <w:tab/>
      </w:r>
      <w:r w:rsidR="00797BFF" w:rsidRPr="008C27D5">
        <w:rPr>
          <w:color w:val="000000"/>
        </w:rPr>
        <w:t>que l</w:t>
      </w:r>
      <w:r w:rsidR="002F7BA5" w:rsidRPr="008C27D5">
        <w:rPr>
          <w:color w:val="000000"/>
        </w:rPr>
        <w:t>'</w:t>
      </w:r>
      <w:r w:rsidR="00797BFF" w:rsidRPr="008C27D5">
        <w:rPr>
          <w:color w:val="000000"/>
        </w:rPr>
        <w:t>adoption d</w:t>
      </w:r>
      <w:r w:rsidR="002F7BA5" w:rsidRPr="008C27D5">
        <w:rPr>
          <w:color w:val="000000"/>
        </w:rPr>
        <w:t>'</w:t>
      </w:r>
      <w:r w:rsidR="00797BFF" w:rsidRPr="008C27D5">
        <w:rPr>
          <w:color w:val="000000"/>
        </w:rPr>
        <w:t>une</w:t>
      </w:r>
      <w:r w:rsidR="00136B38" w:rsidRPr="008C27D5">
        <w:rPr>
          <w:color w:val="000000"/>
        </w:rPr>
        <w:t xml:space="preserve"> approche cohérente </w:t>
      </w:r>
      <w:r w:rsidR="00797BFF" w:rsidRPr="008C27D5">
        <w:rPr>
          <w:color w:val="000000"/>
        </w:rPr>
        <w:t>en ce qui concerne l</w:t>
      </w:r>
      <w:r w:rsidR="002F7BA5" w:rsidRPr="008C27D5">
        <w:rPr>
          <w:color w:val="000000"/>
        </w:rPr>
        <w:t>'</w:t>
      </w:r>
      <w:r w:rsidR="00797BFF" w:rsidRPr="008C27D5">
        <w:rPr>
          <w:color w:val="000000"/>
        </w:rPr>
        <w:t>utilisation des bandes de fréquences</w:t>
      </w:r>
      <w:r w:rsidR="002F7BA5" w:rsidRPr="008C27D5">
        <w:rPr>
          <w:color w:val="000000"/>
        </w:rPr>
        <w:t xml:space="preserve"> </w:t>
      </w:r>
      <w:r w:rsidRPr="008C27D5">
        <w:t>10</w:t>
      </w:r>
      <w:r w:rsidR="00A33C78" w:rsidRPr="008C27D5">
        <w:t>,</w:t>
      </w:r>
      <w:r w:rsidRPr="008C27D5">
        <w:t>7-10</w:t>
      </w:r>
      <w:r w:rsidR="00A33C78" w:rsidRPr="008C27D5">
        <w:t>,</w:t>
      </w:r>
      <w:r w:rsidRPr="008C27D5">
        <w:t>95 GHz (</w:t>
      </w:r>
      <w:r w:rsidR="00DD555D" w:rsidRPr="008C27D5">
        <w:t>espace vers Terre</w:t>
      </w:r>
      <w:r w:rsidRPr="008C27D5">
        <w:t>), 11</w:t>
      </w:r>
      <w:r w:rsidR="00577616" w:rsidRPr="008C27D5">
        <w:t>,</w:t>
      </w:r>
      <w:r w:rsidRPr="008C27D5">
        <w:t>2-11</w:t>
      </w:r>
      <w:r w:rsidR="00577616" w:rsidRPr="008C27D5">
        <w:t>,</w:t>
      </w:r>
      <w:r w:rsidRPr="008C27D5">
        <w:t>45 GHz (</w:t>
      </w:r>
      <w:r w:rsidR="00DD555D" w:rsidRPr="008C27D5">
        <w:t>espace vers Terre</w:t>
      </w:r>
      <w:r w:rsidRPr="008C27D5">
        <w:t>)</w:t>
      </w:r>
      <w:r w:rsidR="002F7BA5" w:rsidRPr="008C27D5">
        <w:t xml:space="preserve"> </w:t>
      </w:r>
      <w:r w:rsidR="00797BFF" w:rsidRPr="008C27D5">
        <w:t xml:space="preserve">et </w:t>
      </w:r>
      <w:r w:rsidRPr="008C27D5">
        <w:t>12</w:t>
      </w:r>
      <w:r w:rsidR="00577616" w:rsidRPr="008C27D5">
        <w:t>,</w:t>
      </w:r>
      <w:r w:rsidRPr="008C27D5">
        <w:t>75</w:t>
      </w:r>
      <w:r w:rsidR="00577616" w:rsidRPr="008C27D5">
        <w:noBreakHyphen/>
      </w:r>
      <w:r w:rsidRPr="008C27D5">
        <w:t>13</w:t>
      </w:r>
      <w:r w:rsidR="00577616" w:rsidRPr="008C27D5">
        <w:t>,</w:t>
      </w:r>
      <w:r w:rsidRPr="008C27D5">
        <w:t>25</w:t>
      </w:r>
      <w:r w:rsidR="00577616" w:rsidRPr="008C27D5">
        <w:t> </w:t>
      </w:r>
      <w:r w:rsidRPr="008C27D5">
        <w:t>GHz (</w:t>
      </w:r>
      <w:r w:rsidR="00DD555D" w:rsidRPr="008C27D5">
        <w:t>Terre vers espace</w:t>
      </w:r>
      <w:r w:rsidRPr="008C27D5">
        <w:t xml:space="preserve">) </w:t>
      </w:r>
      <w:r w:rsidR="00797BFF" w:rsidRPr="008C27D5">
        <w:t>par les stations ESIM aéronautiques et maritimes avec un statut autre que celui</w:t>
      </w:r>
      <w:r w:rsidR="006E672E" w:rsidRPr="008C27D5">
        <w:t xml:space="preserve"> </w:t>
      </w:r>
      <w:r w:rsidR="005E575B" w:rsidRPr="008C27D5">
        <w:t xml:space="preserve">prévu </w:t>
      </w:r>
      <w:r w:rsidR="006E672E" w:rsidRPr="008C27D5">
        <w:t>au numéro</w:t>
      </w:r>
      <w:r w:rsidR="002F7BA5" w:rsidRPr="008C27D5">
        <w:t xml:space="preserve"> </w:t>
      </w:r>
      <w:r w:rsidRPr="008C27D5">
        <w:rPr>
          <w:b/>
        </w:rPr>
        <w:t>4.4</w:t>
      </w:r>
      <w:r w:rsidR="002F7BA5" w:rsidRPr="008C27D5">
        <w:t xml:space="preserve"> </w:t>
      </w:r>
      <w:r w:rsidR="00797BFF" w:rsidRPr="008C27D5">
        <w:t xml:space="preserve">peut </w:t>
      </w:r>
      <w:r w:rsidR="00797BFF" w:rsidRPr="008C27D5">
        <w:rPr>
          <w:color w:val="000000"/>
        </w:rPr>
        <w:t xml:space="preserve">permettre de répondre aux besoins croissants de connectivité </w:t>
      </w:r>
      <w:r w:rsidR="006E672E" w:rsidRPr="008C27D5">
        <w:rPr>
          <w:color w:val="000000"/>
        </w:rPr>
        <w:t>à bord d</w:t>
      </w:r>
      <w:r w:rsidR="002F7BA5" w:rsidRPr="008C27D5">
        <w:rPr>
          <w:color w:val="000000"/>
        </w:rPr>
        <w:t>'</w:t>
      </w:r>
      <w:r w:rsidR="006E672E" w:rsidRPr="008C27D5">
        <w:rPr>
          <w:color w:val="000000"/>
        </w:rPr>
        <w:t>aéronefs et de navires à l</w:t>
      </w:r>
      <w:r w:rsidR="002F7BA5" w:rsidRPr="008C27D5">
        <w:rPr>
          <w:color w:val="000000"/>
        </w:rPr>
        <w:t>'</w:t>
      </w:r>
      <w:r w:rsidR="006E672E" w:rsidRPr="008C27D5">
        <w:rPr>
          <w:color w:val="000000"/>
        </w:rPr>
        <w:t>échelle mondiale</w:t>
      </w:r>
      <w:r w:rsidR="002F7BA5" w:rsidRPr="008C27D5">
        <w:rPr>
          <w:color w:val="000000"/>
        </w:rPr>
        <w:t>;</w:t>
      </w:r>
    </w:p>
    <w:p w14:paraId="29E10E5C" w14:textId="74467E00" w:rsidR="00BE5265" w:rsidRPr="008C27D5" w:rsidRDefault="00BE5265" w:rsidP="002F7BA5">
      <w:r w:rsidRPr="008C27D5">
        <w:rPr>
          <w:i/>
          <w:iCs/>
        </w:rPr>
        <w:lastRenderedPageBreak/>
        <w:t>i)</w:t>
      </w:r>
      <w:r w:rsidRPr="008C27D5">
        <w:rPr>
          <w:i/>
          <w:iCs/>
        </w:rPr>
        <w:tab/>
      </w:r>
      <w:r w:rsidR="006E672E" w:rsidRPr="008C27D5">
        <w:rPr>
          <w:color w:val="000000"/>
        </w:rPr>
        <w:t xml:space="preserve">que </w:t>
      </w:r>
      <w:r w:rsidR="006E672E" w:rsidRPr="008C27D5">
        <w:t>les stations ESIM aéronautiques et maritimes doivent fonctionner conformément à l</w:t>
      </w:r>
      <w:r w:rsidR="002F7BA5" w:rsidRPr="008C27D5">
        <w:t>'</w:t>
      </w:r>
      <w:r w:rsidR="006E672E" w:rsidRPr="008C27D5">
        <w:t>enveloppe des caractéristiques d</w:t>
      </w:r>
      <w:r w:rsidR="002F7BA5" w:rsidRPr="008C27D5">
        <w:t>'</w:t>
      </w:r>
      <w:r w:rsidR="006E672E" w:rsidRPr="008C27D5">
        <w:t xml:space="preserve">émission des stations terriennes associées </w:t>
      </w:r>
      <w:r w:rsidR="005E575B" w:rsidRPr="008C27D5">
        <w:t xml:space="preserve">des </w:t>
      </w:r>
      <w:r w:rsidR="006E672E" w:rsidRPr="008C27D5">
        <w:t>réseau</w:t>
      </w:r>
      <w:r w:rsidR="005E575B" w:rsidRPr="008C27D5">
        <w:t>x</w:t>
      </w:r>
      <w:r w:rsidR="006E672E" w:rsidRPr="008C27D5">
        <w:t xml:space="preserve"> à satellite OSG</w:t>
      </w:r>
      <w:r w:rsidRPr="008C27D5">
        <w:t>,</w:t>
      </w:r>
    </w:p>
    <w:p w14:paraId="6F53C2EC" w14:textId="77777777" w:rsidR="00BE5265" w:rsidRPr="008C27D5" w:rsidRDefault="00BE5265" w:rsidP="002F7BA5">
      <w:pPr>
        <w:pStyle w:val="Call"/>
      </w:pPr>
      <w:r w:rsidRPr="008C27D5">
        <w:t>reconnaissant</w:t>
      </w:r>
    </w:p>
    <w:p w14:paraId="37AC4D64" w14:textId="7671BC43" w:rsidR="00BE5265" w:rsidRPr="008C27D5" w:rsidRDefault="00BE5265" w:rsidP="002F7BA5">
      <w:r w:rsidRPr="008C27D5">
        <w:rPr>
          <w:i/>
        </w:rPr>
        <w:t>a)</w:t>
      </w:r>
      <w:r w:rsidRPr="008C27D5">
        <w:tab/>
        <w:t>qu</w:t>
      </w:r>
      <w:r w:rsidR="002F7BA5" w:rsidRPr="008C27D5">
        <w:t>'</w:t>
      </w:r>
      <w:r w:rsidRPr="008C27D5">
        <w:t xml:space="preserve">en vertu du numéro </w:t>
      </w:r>
      <w:r w:rsidRPr="008C27D5">
        <w:rPr>
          <w:b/>
        </w:rPr>
        <w:t>5.441</w:t>
      </w:r>
      <w:r w:rsidRPr="008C27D5">
        <w:t>, l</w:t>
      </w:r>
      <w:r w:rsidR="002F7BA5" w:rsidRPr="008C27D5">
        <w:t>'</w:t>
      </w:r>
      <w:r w:rsidRPr="008C27D5">
        <w:t>utilisation des bandes de fréquences 10,7-10,95 GHz (espace vers Terre)</w:t>
      </w:r>
      <w:r w:rsidR="002F7BA5" w:rsidRPr="008C27D5">
        <w:t>,</w:t>
      </w:r>
      <w:r w:rsidR="00F83AE4">
        <w:t xml:space="preserve"> </w:t>
      </w:r>
      <w:r w:rsidRPr="008C27D5">
        <w:t xml:space="preserve">11,2-11,45 GHz (espace vers Terre) </w:t>
      </w:r>
      <w:r w:rsidR="003A6CF8" w:rsidRPr="008C27D5">
        <w:t xml:space="preserve">et </w:t>
      </w:r>
      <w:r w:rsidR="003A6CF8" w:rsidRPr="008C27D5">
        <w:rPr>
          <w:sz w:val="22"/>
        </w:rPr>
        <w:t xml:space="preserve">12,75-13,25 GHz </w:t>
      </w:r>
      <w:r w:rsidR="005E575B" w:rsidRPr="008C27D5">
        <w:rPr>
          <w:sz w:val="22"/>
        </w:rPr>
        <w:t>(</w:t>
      </w:r>
      <w:r w:rsidR="003A6CF8" w:rsidRPr="008C27D5">
        <w:t>Terre vers espace</w:t>
      </w:r>
      <w:r w:rsidR="005E575B" w:rsidRPr="008C27D5">
        <w:t>)</w:t>
      </w:r>
      <w:r w:rsidR="003A6CF8" w:rsidRPr="008C27D5">
        <w:t xml:space="preserve"> </w:t>
      </w:r>
      <w:r w:rsidRPr="008C27D5">
        <w:t xml:space="preserve">par des </w:t>
      </w:r>
      <w:r w:rsidR="005E575B" w:rsidRPr="008C27D5">
        <w:t xml:space="preserve">réseaux </w:t>
      </w:r>
      <w:r w:rsidRPr="008C27D5">
        <w:t>à satellite géostationnaire du service fixe par satellite doit être conforme aux dispositions de l</w:t>
      </w:r>
      <w:r w:rsidR="002F7BA5" w:rsidRPr="008C27D5">
        <w:t>'</w:t>
      </w:r>
      <w:r w:rsidRPr="008C27D5">
        <w:t>Appendice </w:t>
      </w:r>
      <w:r w:rsidRPr="008C27D5">
        <w:rPr>
          <w:b/>
          <w:bCs/>
        </w:rPr>
        <w:t>30B</w:t>
      </w:r>
      <w:r w:rsidRPr="008C27D5">
        <w:t>;</w:t>
      </w:r>
    </w:p>
    <w:p w14:paraId="77D68DB8" w14:textId="6F7C5715" w:rsidR="00BE5265" w:rsidRPr="008C27D5" w:rsidRDefault="00BE5265" w:rsidP="002F7BA5">
      <w:r w:rsidRPr="008C27D5">
        <w:rPr>
          <w:i/>
        </w:rPr>
        <w:t>b</w:t>
      </w:r>
      <w:r w:rsidRPr="008C27D5">
        <w:t>)</w:t>
      </w:r>
      <w:r w:rsidRPr="008C27D5">
        <w:tab/>
      </w:r>
      <w:r w:rsidR="003A6CF8" w:rsidRPr="008C27D5">
        <w:t>que, dans les bandes de fréquences 10,7-10,95 GHz (espace vers Terre) et 11,2</w:t>
      </w:r>
      <w:r w:rsidR="00577616" w:rsidRPr="008C27D5">
        <w:noBreakHyphen/>
      </w:r>
      <w:r w:rsidR="003A6CF8" w:rsidRPr="008C27D5">
        <w:t>11,45</w:t>
      </w:r>
      <w:r w:rsidR="00577616" w:rsidRPr="008C27D5">
        <w:t> </w:t>
      </w:r>
      <w:r w:rsidR="003A6CF8" w:rsidRPr="008C27D5">
        <w:t>GHz (espace vers Terre), les stations ESIM aéronautiques et maritimes fonctionner</w:t>
      </w:r>
      <w:r w:rsidR="005E575B" w:rsidRPr="008C27D5">
        <w:t>aie</w:t>
      </w:r>
      <w:r w:rsidR="003A6CF8" w:rsidRPr="008C27D5">
        <w:t>nt en mode réception</w:t>
      </w:r>
      <w:r w:rsidR="005E575B" w:rsidRPr="008C27D5">
        <w:t>,</w:t>
      </w:r>
      <w:r w:rsidR="003A6CF8" w:rsidRPr="008C27D5">
        <w:t xml:space="preserve"> et non en mode émission</w:t>
      </w:r>
      <w:r w:rsidR="002F7BA5" w:rsidRPr="008C27D5">
        <w:t>;</w:t>
      </w:r>
    </w:p>
    <w:p w14:paraId="7D07B5B7" w14:textId="57193B07" w:rsidR="00BE5265" w:rsidRPr="008C27D5" w:rsidRDefault="00BE5265" w:rsidP="002F7BA5">
      <w:r w:rsidRPr="008C27D5">
        <w:rPr>
          <w:i/>
          <w:iCs/>
        </w:rPr>
        <w:t>c)</w:t>
      </w:r>
      <w:r w:rsidRPr="008C27D5">
        <w:rPr>
          <w:i/>
          <w:iCs/>
        </w:rPr>
        <w:tab/>
      </w:r>
      <w:r w:rsidR="003A6CF8" w:rsidRPr="008C27D5">
        <w:t>qu</w:t>
      </w:r>
      <w:r w:rsidR="002F7BA5" w:rsidRPr="008C27D5">
        <w:t>'</w:t>
      </w:r>
      <w:r w:rsidR="003A6CF8" w:rsidRPr="008C27D5">
        <w:t>en ce qui concerne les</w:t>
      </w:r>
      <w:r w:rsidR="00577616" w:rsidRPr="008C27D5">
        <w:t xml:space="preserve"> </w:t>
      </w:r>
      <w:r w:rsidR="003A6CF8" w:rsidRPr="008C27D5">
        <w:t>bandes visées au point b)</w:t>
      </w:r>
      <w:r w:rsidR="002F7BA5" w:rsidRPr="008C27D5">
        <w:t xml:space="preserve"> </w:t>
      </w:r>
      <w:r w:rsidR="003A6CF8" w:rsidRPr="008C27D5">
        <w:t xml:space="preserve">du </w:t>
      </w:r>
      <w:r w:rsidR="003A6CF8" w:rsidRPr="008C27D5">
        <w:rPr>
          <w:i/>
          <w:iCs/>
        </w:rPr>
        <w:t>reconnaissant</w:t>
      </w:r>
      <w:r w:rsidR="005E575B" w:rsidRPr="008C27D5">
        <w:t xml:space="preserve"> ci-dessus</w:t>
      </w:r>
      <w:r w:rsidR="003A6CF8" w:rsidRPr="008C27D5">
        <w:t>,</w:t>
      </w:r>
      <w:r w:rsidR="002F7BA5" w:rsidRPr="008C27D5">
        <w:rPr>
          <w:i/>
          <w:iCs/>
        </w:rPr>
        <w:t xml:space="preserve"> </w:t>
      </w:r>
      <w:r w:rsidR="003A6CF8" w:rsidRPr="008C27D5">
        <w:t xml:space="preserve">les stations ESIM aéronautiques et maritimes </w:t>
      </w:r>
      <w:r w:rsidR="003A6CF8" w:rsidRPr="008C27D5">
        <w:rPr>
          <w:color w:val="000000"/>
        </w:rPr>
        <w:t>ne devrai</w:t>
      </w:r>
      <w:r w:rsidR="005E575B" w:rsidRPr="008C27D5">
        <w:rPr>
          <w:color w:val="000000"/>
        </w:rPr>
        <w:t>en</w:t>
      </w:r>
      <w:r w:rsidR="003A6CF8" w:rsidRPr="008C27D5">
        <w:rPr>
          <w:color w:val="000000"/>
        </w:rPr>
        <w:t>t pas imposer de contraintes</w:t>
      </w:r>
      <w:r w:rsidR="00255D09" w:rsidRPr="008C27D5">
        <w:rPr>
          <w:color w:val="000000"/>
        </w:rPr>
        <w:t xml:space="preserve"> </w:t>
      </w:r>
      <w:r w:rsidR="00255D09" w:rsidRPr="008C27D5">
        <w:t>aux autres services ayant des attributions</w:t>
      </w:r>
      <w:r w:rsidR="005E575B" w:rsidRPr="008C27D5">
        <w:t>,</w:t>
      </w:r>
      <w:r w:rsidR="00255D09" w:rsidRPr="008C27D5">
        <w:t xml:space="preserve"> </w:t>
      </w:r>
      <w:r w:rsidR="00255D09" w:rsidRPr="008C27D5">
        <w:rPr>
          <w:color w:val="000000"/>
        </w:rPr>
        <w:t>ni prétendre à une protection vis-à-vis de ces services</w:t>
      </w:r>
      <w:r w:rsidR="00255D09" w:rsidRPr="008C27D5">
        <w:t xml:space="preserve"> fonctionnant</w:t>
      </w:r>
      <w:r w:rsidR="002F7BA5" w:rsidRPr="008C27D5">
        <w:t xml:space="preserve"> </w:t>
      </w:r>
      <w:r w:rsidR="00561BE2" w:rsidRPr="008C27D5">
        <w:t>conformément au Règlement des radiocommunications</w:t>
      </w:r>
      <w:r w:rsidR="002F7BA5" w:rsidRPr="008C27D5">
        <w:t>;</w:t>
      </w:r>
    </w:p>
    <w:p w14:paraId="2BD320A6" w14:textId="4F1AB673" w:rsidR="00BE5265" w:rsidRPr="008C27D5" w:rsidRDefault="00BE5265" w:rsidP="002F7BA5">
      <w:r w:rsidRPr="008C27D5">
        <w:rPr>
          <w:i/>
        </w:rPr>
        <w:t>d)</w:t>
      </w:r>
      <w:r w:rsidRPr="008C27D5">
        <w:rPr>
          <w:i/>
        </w:rPr>
        <w:tab/>
      </w:r>
      <w:r w:rsidR="00255D09" w:rsidRPr="008C27D5">
        <w:rPr>
          <w:iCs/>
        </w:rPr>
        <w:t xml:space="preserve">que des </w:t>
      </w:r>
      <w:r w:rsidR="00650B52">
        <w:rPr>
          <w:iCs/>
        </w:rPr>
        <w:t>C</w:t>
      </w:r>
      <w:r w:rsidR="00255D09" w:rsidRPr="008C27D5">
        <w:rPr>
          <w:iCs/>
        </w:rPr>
        <w:t xml:space="preserve">onférences mondiales des radiocommunications précédentes ont adopté des mesures </w:t>
      </w:r>
      <w:r w:rsidR="00482559" w:rsidRPr="008C27D5">
        <w:rPr>
          <w:iCs/>
        </w:rPr>
        <w:t>permettant aux</w:t>
      </w:r>
      <w:r w:rsidR="002F7BA5" w:rsidRPr="008C27D5">
        <w:rPr>
          <w:i/>
        </w:rPr>
        <w:t xml:space="preserve"> </w:t>
      </w:r>
      <w:r w:rsidR="00255D09" w:rsidRPr="008C27D5">
        <w:t xml:space="preserve">stations ESIM aéronautiques et maritimes </w:t>
      </w:r>
      <w:r w:rsidR="00482559" w:rsidRPr="008C27D5">
        <w:t>de</w:t>
      </w:r>
      <w:r w:rsidR="00255D09" w:rsidRPr="008C27D5">
        <w:t xml:space="preserve"> communiquer avec des stations spatiales OSG du SFS dans certaines attributions de fréquences</w:t>
      </w:r>
      <w:r w:rsidR="005E575B" w:rsidRPr="008C27D5">
        <w:t>,</w:t>
      </w:r>
      <w:r w:rsidR="00255D09" w:rsidRPr="008C27D5">
        <w:t xml:space="preserve"> conformément à certaines prescriptions techniques et aux dispositions réglementaires associées</w:t>
      </w:r>
      <w:r w:rsidR="002F7BA5" w:rsidRPr="008C27D5">
        <w:t>;</w:t>
      </w:r>
    </w:p>
    <w:p w14:paraId="5D983AD2" w14:textId="17630C4D" w:rsidR="00BE5265" w:rsidRPr="008C27D5" w:rsidRDefault="00BE5265" w:rsidP="002F7BA5">
      <w:r w:rsidRPr="008C27D5">
        <w:rPr>
          <w:i/>
        </w:rPr>
        <w:t>e</w:t>
      </w:r>
      <w:r w:rsidRPr="008C27D5">
        <w:t>)</w:t>
      </w:r>
      <w:r w:rsidRPr="008C27D5">
        <w:tab/>
      </w:r>
      <w:r w:rsidR="00255D09" w:rsidRPr="008C27D5">
        <w:rPr>
          <w:color w:val="000000"/>
        </w:rPr>
        <w:t>que ces stations ESIM ne sont pas destinées à être utilisées pour les applications liées à la sécurité de la vie humaine;</w:t>
      </w:r>
    </w:p>
    <w:p w14:paraId="3415852C" w14:textId="1505FDCD" w:rsidR="00BE5265" w:rsidRPr="008C27D5" w:rsidRDefault="00BE5265" w:rsidP="002F7BA5">
      <w:r w:rsidRPr="008C27D5">
        <w:rPr>
          <w:i/>
        </w:rPr>
        <w:t>f</w:t>
      </w:r>
      <w:r w:rsidRPr="008C27D5">
        <w:t>)</w:t>
      </w:r>
      <w:r w:rsidRPr="008C27D5">
        <w:tab/>
      </w:r>
      <w:r w:rsidR="00255D09" w:rsidRPr="008C27D5">
        <w:rPr>
          <w:color w:val="000000"/>
        </w:rPr>
        <w:t xml:space="preserve">que </w:t>
      </w:r>
      <w:r w:rsidR="00255D09" w:rsidRPr="008C27D5">
        <w:t xml:space="preserve">les </w:t>
      </w:r>
      <w:r w:rsidR="00255D09" w:rsidRPr="008C27D5">
        <w:rPr>
          <w:color w:val="000000"/>
        </w:rPr>
        <w:t>systèmes à satellites non géostationnaires du service fixe par satellite utilisant la bande</w:t>
      </w:r>
      <w:r w:rsidR="002F7BA5" w:rsidRPr="008C27D5">
        <w:rPr>
          <w:color w:val="000000"/>
        </w:rPr>
        <w:t xml:space="preserve"> </w:t>
      </w:r>
      <w:r w:rsidRPr="008C27D5">
        <w:t>12</w:t>
      </w:r>
      <w:r w:rsidR="00F83AE4">
        <w:t>,</w:t>
      </w:r>
      <w:r w:rsidRPr="008C27D5">
        <w:t>75-13</w:t>
      </w:r>
      <w:r w:rsidR="00F83AE4">
        <w:t>,</w:t>
      </w:r>
      <w:r w:rsidRPr="008C27D5">
        <w:t>25 GHz (</w:t>
      </w:r>
      <w:r w:rsidR="00DD555D" w:rsidRPr="008C27D5">
        <w:t>Terre vers espace</w:t>
      </w:r>
      <w:r w:rsidRPr="008C27D5">
        <w:t>)</w:t>
      </w:r>
      <w:r w:rsidR="002F7BA5" w:rsidRPr="008C27D5">
        <w:t xml:space="preserve"> </w:t>
      </w:r>
      <w:r w:rsidR="00255D09" w:rsidRPr="008C27D5">
        <w:rPr>
          <w:color w:val="000000"/>
        </w:rPr>
        <w:t>ne doivent pas demander à être protégés vis-à-vis des réseaux à satellite géostationnaire fonctionnant conformément au Règlement des radiocommunications,</w:t>
      </w:r>
    </w:p>
    <w:p w14:paraId="01E6A251" w14:textId="0D74C93F" w:rsidR="00BE5265" w:rsidRPr="008C27D5" w:rsidRDefault="00BE5265" w:rsidP="002F7BA5">
      <w:pPr>
        <w:pStyle w:val="Call"/>
      </w:pPr>
      <w:r w:rsidRPr="008C27D5">
        <w:t>décide d</w:t>
      </w:r>
      <w:r w:rsidR="002F7BA5" w:rsidRPr="008C27D5">
        <w:t>'</w:t>
      </w:r>
      <w:r w:rsidRPr="008C27D5">
        <w:t>inviter l</w:t>
      </w:r>
      <w:r w:rsidR="002F7BA5" w:rsidRPr="008C27D5">
        <w:t>'</w:t>
      </w:r>
      <w:r w:rsidRPr="008C27D5">
        <w:t>UIT-R</w:t>
      </w:r>
    </w:p>
    <w:p w14:paraId="2F079C27" w14:textId="4648C259" w:rsidR="00BE5265" w:rsidRPr="008C27D5" w:rsidRDefault="00BE5265" w:rsidP="002F7BA5">
      <w:r w:rsidRPr="008C27D5">
        <w:rPr>
          <w:color w:val="231F20"/>
        </w:rPr>
        <w:t>1</w:t>
      </w:r>
      <w:r w:rsidRPr="008C27D5">
        <w:rPr>
          <w:color w:val="231F20"/>
        </w:rPr>
        <w:tab/>
      </w:r>
      <w:r w:rsidR="00020035" w:rsidRPr="008C27D5">
        <w:rPr>
          <w:color w:val="231F20"/>
        </w:rPr>
        <w:t xml:space="preserve">à procéder à des études sur les caractéristiques techniques </w:t>
      </w:r>
      <w:r w:rsidR="005E575B" w:rsidRPr="008C27D5">
        <w:rPr>
          <w:color w:val="231F20"/>
        </w:rPr>
        <w:t xml:space="preserve">et </w:t>
      </w:r>
      <w:r w:rsidR="00020035" w:rsidRPr="008C27D5">
        <w:rPr>
          <w:color w:val="231F20"/>
        </w:rPr>
        <w:t xml:space="preserve">opérationnelles des stations </w:t>
      </w:r>
      <w:r w:rsidR="00020035" w:rsidRPr="008C27D5">
        <w:t>ESIM</w:t>
      </w:r>
      <w:r w:rsidR="00020035" w:rsidRPr="008C27D5">
        <w:rPr>
          <w:color w:val="231F20"/>
        </w:rPr>
        <w:t xml:space="preserve"> aéronautiques et maritimes qui communiquent, ou projettent de communiquer, avec des stations spatiales OSG dans le cadre de l</w:t>
      </w:r>
      <w:r w:rsidR="002F7BA5" w:rsidRPr="008C27D5">
        <w:rPr>
          <w:color w:val="231F20"/>
        </w:rPr>
        <w:t>'</w:t>
      </w:r>
      <w:r w:rsidR="00020035" w:rsidRPr="008C27D5">
        <w:rPr>
          <w:color w:val="231F20"/>
        </w:rPr>
        <w:t xml:space="preserve">attribution existante </w:t>
      </w:r>
      <w:r w:rsidR="005E575B" w:rsidRPr="008C27D5">
        <w:rPr>
          <w:color w:val="231F20"/>
        </w:rPr>
        <w:t xml:space="preserve">au </w:t>
      </w:r>
      <w:r w:rsidR="00020035" w:rsidRPr="008C27D5">
        <w:rPr>
          <w:color w:val="231F20"/>
        </w:rPr>
        <w:t>SFS</w:t>
      </w:r>
      <w:r w:rsidR="00720F35" w:rsidRPr="008C27D5">
        <w:rPr>
          <w:color w:val="231F20"/>
        </w:rPr>
        <w:t xml:space="preserve"> </w:t>
      </w:r>
      <w:r w:rsidR="00020035" w:rsidRPr="008C27D5">
        <w:rPr>
          <w:color w:val="231F20"/>
        </w:rPr>
        <w:t>dans les bandes de fréquences</w:t>
      </w:r>
      <w:r w:rsidR="002F7BA5" w:rsidRPr="008C27D5">
        <w:rPr>
          <w:color w:val="231F20"/>
        </w:rPr>
        <w:t xml:space="preserve"> </w:t>
      </w:r>
      <w:r w:rsidRPr="008C27D5">
        <w:t>10</w:t>
      </w:r>
      <w:r w:rsidR="00577616" w:rsidRPr="008C27D5">
        <w:t>,</w:t>
      </w:r>
      <w:r w:rsidRPr="008C27D5">
        <w:t>7-10</w:t>
      </w:r>
      <w:r w:rsidR="00577616" w:rsidRPr="008C27D5">
        <w:t>,</w:t>
      </w:r>
      <w:r w:rsidRPr="008C27D5">
        <w:t>95 GHz, 11</w:t>
      </w:r>
      <w:r w:rsidR="00577616" w:rsidRPr="008C27D5">
        <w:t>,</w:t>
      </w:r>
      <w:r w:rsidRPr="008C27D5">
        <w:t>2-11</w:t>
      </w:r>
      <w:r w:rsidR="00577616" w:rsidRPr="008C27D5">
        <w:t>,</w:t>
      </w:r>
      <w:r w:rsidRPr="008C27D5">
        <w:t>45 GHz</w:t>
      </w:r>
      <w:r w:rsidR="00020035" w:rsidRPr="008C27D5">
        <w:t xml:space="preserve"> et</w:t>
      </w:r>
      <w:r w:rsidRPr="008C27D5">
        <w:t xml:space="preserve"> 12</w:t>
      </w:r>
      <w:r w:rsidR="00577616" w:rsidRPr="008C27D5">
        <w:t>,</w:t>
      </w:r>
      <w:r w:rsidRPr="008C27D5">
        <w:t>75-13</w:t>
      </w:r>
      <w:r w:rsidR="00577616" w:rsidRPr="008C27D5">
        <w:t>,</w:t>
      </w:r>
      <w:r w:rsidRPr="008C27D5">
        <w:t>25 GHz;</w:t>
      </w:r>
    </w:p>
    <w:p w14:paraId="51FE5C82" w14:textId="0973E32B" w:rsidR="00BE5265" w:rsidRPr="008C27D5" w:rsidRDefault="00BE5265" w:rsidP="002F7BA5">
      <w:r w:rsidRPr="008C27D5">
        <w:t>2</w:t>
      </w:r>
      <w:r w:rsidRPr="008C27D5">
        <w:tab/>
      </w:r>
      <w:r w:rsidR="00020035" w:rsidRPr="008C27D5">
        <w:rPr>
          <w:color w:val="000000"/>
        </w:rPr>
        <w:t xml:space="preserve">à étudier le partage et la compatibilité entre les </w:t>
      </w:r>
      <w:r w:rsidR="00020035" w:rsidRPr="008C27D5">
        <w:rPr>
          <w:color w:val="231F20"/>
        </w:rPr>
        <w:t xml:space="preserve">stations </w:t>
      </w:r>
      <w:r w:rsidR="00020035" w:rsidRPr="008C27D5">
        <w:t>ESIM</w:t>
      </w:r>
      <w:r w:rsidR="00020035" w:rsidRPr="008C27D5">
        <w:rPr>
          <w:color w:val="231F20"/>
        </w:rPr>
        <w:t xml:space="preserve"> aéronautiques et maritimes</w:t>
      </w:r>
      <w:r w:rsidR="002F7BA5" w:rsidRPr="008C27D5">
        <w:rPr>
          <w:color w:val="231F20"/>
        </w:rPr>
        <w:t xml:space="preserve"> </w:t>
      </w:r>
      <w:r w:rsidR="00020035" w:rsidRPr="008C27D5">
        <w:rPr>
          <w:color w:val="231F20"/>
        </w:rPr>
        <w:t>communiquant</w:t>
      </w:r>
      <w:r w:rsidR="002F7BA5" w:rsidRPr="008C27D5">
        <w:rPr>
          <w:color w:val="231F20"/>
        </w:rPr>
        <w:t xml:space="preserve"> </w:t>
      </w:r>
      <w:r w:rsidR="00020035" w:rsidRPr="008C27D5">
        <w:rPr>
          <w:color w:val="231F20"/>
        </w:rPr>
        <w:t>avec des stations spatiales OSG</w:t>
      </w:r>
      <w:r w:rsidR="002F7BA5" w:rsidRPr="008C27D5">
        <w:rPr>
          <w:color w:val="231F20"/>
        </w:rPr>
        <w:t xml:space="preserve"> </w:t>
      </w:r>
      <w:r w:rsidR="00020035" w:rsidRPr="008C27D5">
        <w:t>du</w:t>
      </w:r>
      <w:r w:rsidRPr="008C27D5">
        <w:t xml:space="preserve"> </w:t>
      </w:r>
      <w:r w:rsidR="00971634" w:rsidRPr="008C27D5">
        <w:t>SFS</w:t>
      </w:r>
      <w:r w:rsidRPr="008C27D5">
        <w:t xml:space="preserve"> </w:t>
      </w:r>
      <w:r w:rsidR="00020035" w:rsidRPr="008C27D5">
        <w:rPr>
          <w:color w:val="000000"/>
        </w:rPr>
        <w:t>et les stations, actuelles ou en projet, des services existants bénéficiant d</w:t>
      </w:r>
      <w:r w:rsidR="002F7BA5" w:rsidRPr="008C27D5">
        <w:rPr>
          <w:color w:val="000000"/>
        </w:rPr>
        <w:t>'</w:t>
      </w:r>
      <w:r w:rsidR="00020035" w:rsidRPr="008C27D5">
        <w:rPr>
          <w:color w:val="000000"/>
        </w:rPr>
        <w:t>attributions dans la bande</w:t>
      </w:r>
      <w:r w:rsidR="002F7BA5" w:rsidRPr="008C27D5">
        <w:rPr>
          <w:color w:val="000000"/>
        </w:rPr>
        <w:t xml:space="preserve"> </w:t>
      </w:r>
      <w:r w:rsidR="00020035" w:rsidRPr="008C27D5">
        <w:rPr>
          <w:color w:val="000000"/>
        </w:rPr>
        <w:t xml:space="preserve">de fréquences </w:t>
      </w:r>
      <w:r w:rsidR="00020035" w:rsidRPr="008C27D5">
        <w:t>12</w:t>
      </w:r>
      <w:r w:rsidR="00577616" w:rsidRPr="008C27D5">
        <w:t>,</w:t>
      </w:r>
      <w:r w:rsidR="00020035" w:rsidRPr="008C27D5">
        <w:t>75</w:t>
      </w:r>
      <w:r w:rsidR="00577616" w:rsidRPr="008C27D5">
        <w:noBreakHyphen/>
      </w:r>
      <w:r w:rsidR="00020035" w:rsidRPr="008C27D5">
        <w:t>13</w:t>
      </w:r>
      <w:r w:rsidR="00577616" w:rsidRPr="008C27D5">
        <w:t>,</w:t>
      </w:r>
      <w:r w:rsidR="00020035" w:rsidRPr="008C27D5">
        <w:t>25</w:t>
      </w:r>
      <w:r w:rsidR="00577616" w:rsidRPr="008C27D5">
        <w:t> </w:t>
      </w:r>
      <w:r w:rsidR="00020035" w:rsidRPr="008C27D5">
        <w:t>GHz</w:t>
      </w:r>
      <w:r w:rsidR="00020035" w:rsidRPr="008C27D5">
        <w:rPr>
          <w:color w:val="000000"/>
        </w:rPr>
        <w:t xml:space="preserve"> pour assurer la protection de ces services et éviter de leur imposer des contraintes inutiles</w:t>
      </w:r>
      <w:r w:rsidR="002F7BA5" w:rsidRPr="008C27D5">
        <w:rPr>
          <w:color w:val="000000"/>
        </w:rPr>
        <w:t>;</w:t>
      </w:r>
    </w:p>
    <w:p w14:paraId="262FC6FD" w14:textId="2A3F6D5F" w:rsidR="00BE5265" w:rsidRPr="008C27D5" w:rsidRDefault="00BE5265" w:rsidP="002F7BA5">
      <w:r w:rsidRPr="008C27D5">
        <w:t>3</w:t>
      </w:r>
      <w:r w:rsidRPr="008C27D5">
        <w:tab/>
      </w:r>
      <w:r w:rsidR="00720F35" w:rsidRPr="008C27D5">
        <w:rPr>
          <w:color w:val="000000"/>
        </w:rPr>
        <w:t>à définir</w:t>
      </w:r>
      <w:r w:rsidR="00720F35" w:rsidRPr="008C27D5">
        <w:rPr>
          <w:color w:val="231F20"/>
        </w:rPr>
        <w:t xml:space="preserve"> </w:t>
      </w:r>
      <w:r w:rsidR="00720F35" w:rsidRPr="008C27D5">
        <w:rPr>
          <w:color w:val="000000"/>
        </w:rPr>
        <w:t>les conditions techniques et les dispositions réglementaires applicables à l</w:t>
      </w:r>
      <w:r w:rsidR="002F7BA5" w:rsidRPr="008C27D5">
        <w:rPr>
          <w:color w:val="000000"/>
        </w:rPr>
        <w:t>'</w:t>
      </w:r>
      <w:r w:rsidR="00720F35" w:rsidRPr="008C27D5">
        <w:rPr>
          <w:color w:val="000000"/>
        </w:rPr>
        <w:t>exploitation des</w:t>
      </w:r>
      <w:r w:rsidR="00720F35" w:rsidRPr="008C27D5">
        <w:rPr>
          <w:color w:val="231F20"/>
        </w:rPr>
        <w:t xml:space="preserve"> stations </w:t>
      </w:r>
      <w:r w:rsidR="00720F35" w:rsidRPr="008C27D5">
        <w:t>ESIM</w:t>
      </w:r>
      <w:r w:rsidR="00720F35" w:rsidRPr="008C27D5">
        <w:rPr>
          <w:color w:val="231F20"/>
        </w:rPr>
        <w:t xml:space="preserve"> aéronautiques et maritimes</w:t>
      </w:r>
      <w:r w:rsidR="002F7BA5" w:rsidRPr="008C27D5">
        <w:rPr>
          <w:color w:val="231F20"/>
        </w:rPr>
        <w:t xml:space="preserve"> </w:t>
      </w:r>
      <w:r w:rsidR="00720F35" w:rsidRPr="008C27D5">
        <w:rPr>
          <w:color w:val="231F20"/>
        </w:rPr>
        <w:t>communiquant</w:t>
      </w:r>
      <w:r w:rsidR="002F7BA5" w:rsidRPr="008C27D5">
        <w:rPr>
          <w:color w:val="231F20"/>
        </w:rPr>
        <w:t xml:space="preserve"> </w:t>
      </w:r>
      <w:r w:rsidR="00720F35" w:rsidRPr="008C27D5">
        <w:rPr>
          <w:color w:val="231F20"/>
        </w:rPr>
        <w:t>avec des stations spatiales OSG</w:t>
      </w:r>
      <w:r w:rsidR="002F7BA5" w:rsidRPr="008C27D5">
        <w:rPr>
          <w:color w:val="231F20"/>
        </w:rPr>
        <w:t xml:space="preserve"> </w:t>
      </w:r>
      <w:r w:rsidR="00720F35" w:rsidRPr="008C27D5">
        <w:t>du SFS dans les</w:t>
      </w:r>
      <w:r w:rsidR="00720F35" w:rsidRPr="008C27D5">
        <w:rPr>
          <w:color w:val="000000"/>
        </w:rPr>
        <w:t xml:space="preserve"> </w:t>
      </w:r>
      <w:r w:rsidR="00720F35" w:rsidRPr="008C27D5">
        <w:t>bandes de fréquences 10,7-10,95 GHz (espace vers Terre)</w:t>
      </w:r>
      <w:r w:rsidR="002F7BA5" w:rsidRPr="008C27D5">
        <w:t>,</w:t>
      </w:r>
      <w:r w:rsidR="00577616" w:rsidRPr="008C27D5">
        <w:t xml:space="preserve"> </w:t>
      </w:r>
      <w:r w:rsidR="00720F35" w:rsidRPr="008C27D5">
        <w:t>11,2</w:t>
      </w:r>
      <w:r w:rsidR="00577616" w:rsidRPr="008C27D5">
        <w:noBreakHyphen/>
      </w:r>
      <w:r w:rsidR="00720F35" w:rsidRPr="008C27D5">
        <w:t xml:space="preserve">11,45 GHz (espace vers Terre) et </w:t>
      </w:r>
      <w:r w:rsidR="00720F35" w:rsidRPr="008C27D5">
        <w:rPr>
          <w:sz w:val="22"/>
        </w:rPr>
        <w:t>12,75-13,25 GHz</w:t>
      </w:r>
      <w:r w:rsidR="002F7BA5" w:rsidRPr="008C27D5">
        <w:rPr>
          <w:color w:val="000000"/>
        </w:rPr>
        <w:t>,</w:t>
      </w:r>
      <w:r w:rsidR="00720F35" w:rsidRPr="008C27D5">
        <w:rPr>
          <w:color w:val="000000"/>
        </w:rPr>
        <w:t xml:space="preserve"> en tenant compte des résultats des études</w:t>
      </w:r>
      <w:r w:rsidR="00720F35" w:rsidRPr="008C27D5">
        <w:rPr>
          <w:sz w:val="22"/>
        </w:rPr>
        <w:t xml:space="preserve"> </w:t>
      </w:r>
      <w:r w:rsidR="00720F35" w:rsidRPr="008C27D5">
        <w:rPr>
          <w:color w:val="000000"/>
        </w:rPr>
        <w:t>demandées aux points 1 et</w:t>
      </w:r>
      <w:r w:rsidR="002F7BA5" w:rsidRPr="008C27D5">
        <w:rPr>
          <w:color w:val="000000"/>
        </w:rPr>
        <w:t xml:space="preserve"> </w:t>
      </w:r>
      <w:r w:rsidR="00720F35" w:rsidRPr="008C27D5">
        <w:rPr>
          <w:color w:val="000000"/>
        </w:rPr>
        <w:t>2</w:t>
      </w:r>
      <w:r w:rsidR="002F7BA5" w:rsidRPr="008C27D5">
        <w:rPr>
          <w:color w:val="000000"/>
        </w:rPr>
        <w:t xml:space="preserve"> </w:t>
      </w:r>
      <w:r w:rsidR="00720F35" w:rsidRPr="008C27D5">
        <w:rPr>
          <w:color w:val="000000"/>
        </w:rPr>
        <w:t xml:space="preserve">du </w:t>
      </w:r>
      <w:r w:rsidR="00720F35" w:rsidRPr="00650B52">
        <w:rPr>
          <w:i/>
          <w:iCs/>
          <w:color w:val="000000"/>
        </w:rPr>
        <w:t>décide d</w:t>
      </w:r>
      <w:r w:rsidR="002F7BA5" w:rsidRPr="00650B52">
        <w:rPr>
          <w:i/>
          <w:iCs/>
          <w:color w:val="000000"/>
        </w:rPr>
        <w:t>'</w:t>
      </w:r>
      <w:r w:rsidR="00720F35" w:rsidRPr="00650B52">
        <w:rPr>
          <w:i/>
          <w:iCs/>
          <w:color w:val="000000"/>
        </w:rPr>
        <w:t>inviter l</w:t>
      </w:r>
      <w:r w:rsidR="002F7BA5" w:rsidRPr="00650B52">
        <w:rPr>
          <w:i/>
          <w:iCs/>
          <w:color w:val="000000"/>
        </w:rPr>
        <w:t>'</w:t>
      </w:r>
      <w:r w:rsidR="00720F35" w:rsidRPr="00650B52">
        <w:rPr>
          <w:i/>
          <w:iCs/>
          <w:color w:val="000000"/>
        </w:rPr>
        <w:t>UIT-R</w:t>
      </w:r>
      <w:r w:rsidR="00720F35" w:rsidRPr="008C27D5">
        <w:rPr>
          <w:color w:val="000000"/>
        </w:rPr>
        <w:t xml:space="preserve"> ci-dessus et, en particulier, sans que cela n</w:t>
      </w:r>
      <w:r w:rsidR="002F7BA5" w:rsidRPr="008C27D5">
        <w:rPr>
          <w:color w:val="000000"/>
        </w:rPr>
        <w:t>'</w:t>
      </w:r>
      <w:r w:rsidR="00720F35" w:rsidRPr="008C27D5">
        <w:rPr>
          <w:color w:val="000000"/>
        </w:rPr>
        <w:t>ait d</w:t>
      </w:r>
      <w:r w:rsidR="002F7BA5" w:rsidRPr="008C27D5">
        <w:rPr>
          <w:color w:val="000000"/>
        </w:rPr>
        <w:t>'</w:t>
      </w:r>
      <w:r w:rsidR="00720F35" w:rsidRPr="008C27D5">
        <w:rPr>
          <w:color w:val="000000"/>
        </w:rPr>
        <w:t>incidences sur des dispositions de</w:t>
      </w:r>
      <w:r w:rsidR="002F7BA5" w:rsidRPr="008C27D5">
        <w:rPr>
          <w:color w:val="000000"/>
        </w:rPr>
        <w:t xml:space="preserve"> </w:t>
      </w:r>
      <w:r w:rsidR="00971634" w:rsidRPr="008C27D5">
        <w:t>l</w:t>
      </w:r>
      <w:r w:rsidR="002F7BA5" w:rsidRPr="008C27D5">
        <w:t>'</w:t>
      </w:r>
      <w:r w:rsidR="00971634" w:rsidRPr="008C27D5">
        <w:t>Appendice</w:t>
      </w:r>
      <w:r w:rsidR="002F7BA5" w:rsidRPr="008C27D5">
        <w:t xml:space="preserve"> </w:t>
      </w:r>
      <w:r w:rsidRPr="008C27D5">
        <w:rPr>
          <w:b/>
        </w:rPr>
        <w:t>30B</w:t>
      </w:r>
      <w:r w:rsidRPr="008C27D5">
        <w:t>;</w:t>
      </w:r>
    </w:p>
    <w:p w14:paraId="11F190A2" w14:textId="2286CA2D" w:rsidR="00BE5265" w:rsidRPr="008C27D5" w:rsidRDefault="00BE5265" w:rsidP="002F7BA5">
      <w:pPr>
        <w:rPr>
          <w:color w:val="000000"/>
        </w:rPr>
      </w:pPr>
      <w:r w:rsidRPr="008C27D5">
        <w:rPr>
          <w:color w:val="231F20"/>
        </w:rPr>
        <w:t>4</w:t>
      </w:r>
      <w:r w:rsidRPr="008C27D5">
        <w:rPr>
          <w:color w:val="231F20"/>
        </w:rPr>
        <w:tab/>
      </w:r>
      <w:r w:rsidR="00720F35" w:rsidRPr="008C27D5">
        <w:rPr>
          <w:color w:val="000000"/>
        </w:rPr>
        <w:t xml:space="preserve">à achever ces études à temps pour la </w:t>
      </w:r>
      <w:r w:rsidR="00720F35" w:rsidRPr="008C27D5">
        <w:t>CMR</w:t>
      </w:r>
      <w:r w:rsidRPr="008C27D5">
        <w:noBreakHyphen/>
        <w:t>23,</w:t>
      </w:r>
    </w:p>
    <w:p w14:paraId="2B79B339" w14:textId="14A35400" w:rsidR="00BE5265" w:rsidRPr="008C27D5" w:rsidRDefault="00BE5265" w:rsidP="002F7BA5">
      <w:pPr>
        <w:pStyle w:val="Call"/>
      </w:pPr>
      <w:r w:rsidRPr="008C27D5">
        <w:lastRenderedPageBreak/>
        <w:t>décide en outre d</w:t>
      </w:r>
      <w:r w:rsidR="002F7BA5" w:rsidRPr="008C27D5">
        <w:t>'</w:t>
      </w:r>
      <w:r w:rsidRPr="008C27D5">
        <w:t>inviter la CMR-23</w:t>
      </w:r>
    </w:p>
    <w:p w14:paraId="430F8AF0" w14:textId="5E53B08C" w:rsidR="00BE5265" w:rsidRPr="008C27D5" w:rsidRDefault="00610AF8" w:rsidP="002F7BA5">
      <w:r w:rsidRPr="008C27D5">
        <w:rPr>
          <w:color w:val="000000"/>
        </w:rPr>
        <w:t>à examiner les résultats des études</w:t>
      </w:r>
      <w:r w:rsidR="002F7BA5" w:rsidRPr="008C27D5">
        <w:rPr>
          <w:color w:val="000000"/>
        </w:rPr>
        <w:t xml:space="preserve"> </w:t>
      </w:r>
      <w:r w:rsidRPr="008C27D5">
        <w:rPr>
          <w:color w:val="000000"/>
        </w:rPr>
        <w:t xml:space="preserve">visées ci-dessus dans la partie </w:t>
      </w:r>
      <w:r w:rsidRPr="008C27D5">
        <w:rPr>
          <w:i/>
          <w:iCs/>
          <w:color w:val="000000"/>
        </w:rPr>
        <w:t>décide</w:t>
      </w:r>
      <w:r w:rsidR="002F7BA5" w:rsidRPr="008C27D5">
        <w:rPr>
          <w:i/>
          <w:iCs/>
          <w:color w:val="000000"/>
        </w:rPr>
        <w:t xml:space="preserve"> </w:t>
      </w:r>
      <w:r w:rsidRPr="008C27D5">
        <w:rPr>
          <w:i/>
          <w:iCs/>
          <w:color w:val="000000"/>
        </w:rPr>
        <w:t>d</w:t>
      </w:r>
      <w:r w:rsidR="002F7BA5" w:rsidRPr="008C27D5">
        <w:rPr>
          <w:i/>
          <w:iCs/>
          <w:color w:val="000000"/>
        </w:rPr>
        <w:t>'</w:t>
      </w:r>
      <w:r w:rsidRPr="008C27D5">
        <w:rPr>
          <w:i/>
          <w:iCs/>
          <w:color w:val="000000"/>
        </w:rPr>
        <w:t>inviter l</w:t>
      </w:r>
      <w:r w:rsidR="002F7BA5" w:rsidRPr="008C27D5">
        <w:rPr>
          <w:i/>
          <w:iCs/>
          <w:color w:val="000000"/>
        </w:rPr>
        <w:t>'</w:t>
      </w:r>
      <w:r w:rsidRPr="008C27D5">
        <w:rPr>
          <w:i/>
          <w:iCs/>
          <w:color w:val="000000"/>
        </w:rPr>
        <w:t>UIT-R</w:t>
      </w:r>
      <w:r w:rsidRPr="008C27D5">
        <w:rPr>
          <w:color w:val="000000"/>
        </w:rPr>
        <w:t xml:space="preserve"> et à prendre les mesures nécessaires, le cas échéant,</w:t>
      </w:r>
    </w:p>
    <w:p w14:paraId="3ED96FFC" w14:textId="77777777" w:rsidR="00BE5265" w:rsidRPr="008C27D5" w:rsidRDefault="00BE5265" w:rsidP="002F7BA5">
      <w:pPr>
        <w:pStyle w:val="Call"/>
      </w:pPr>
      <w:r w:rsidRPr="008C27D5">
        <w:t>invite les administrations</w:t>
      </w:r>
    </w:p>
    <w:p w14:paraId="36A9F39C" w14:textId="0E2E5001" w:rsidR="00BE5265" w:rsidRPr="008C27D5" w:rsidRDefault="00BE5265" w:rsidP="002F7BA5">
      <w:pPr>
        <w:rPr>
          <w:rFonts w:asciiTheme="majorBidi" w:hAnsiTheme="majorBidi" w:cstheme="majorBidi"/>
        </w:rPr>
      </w:pPr>
      <w:r w:rsidRPr="008C27D5">
        <w:rPr>
          <w:color w:val="000000"/>
        </w:rPr>
        <w:t xml:space="preserve">à participer activement aux études en </w:t>
      </w:r>
      <w:r w:rsidR="00482559" w:rsidRPr="008C27D5">
        <w:rPr>
          <w:color w:val="000000"/>
        </w:rPr>
        <w:t xml:space="preserve">soumettant </w:t>
      </w:r>
      <w:r w:rsidRPr="008C27D5">
        <w:rPr>
          <w:color w:val="000000"/>
        </w:rPr>
        <w:t>des contributions à l</w:t>
      </w:r>
      <w:r w:rsidR="002F7BA5" w:rsidRPr="008C27D5">
        <w:rPr>
          <w:color w:val="000000"/>
        </w:rPr>
        <w:t>'</w:t>
      </w:r>
      <w:r w:rsidRPr="008C27D5">
        <w:rPr>
          <w:color w:val="000000"/>
        </w:rPr>
        <w:t>UIT-R</w:t>
      </w:r>
      <w:r w:rsidR="00650B52">
        <w:rPr>
          <w:color w:val="000000"/>
        </w:rPr>
        <w:t>.</w:t>
      </w:r>
    </w:p>
    <w:p w14:paraId="46BCA33E" w14:textId="77777777" w:rsidR="00683D03" w:rsidRPr="008C27D5" w:rsidRDefault="00683D03" w:rsidP="002F7BA5">
      <w:pPr>
        <w:pStyle w:val="Reasons"/>
      </w:pPr>
    </w:p>
    <w:p w14:paraId="4DCF4E53" w14:textId="77777777" w:rsidR="00683D03" w:rsidRPr="008C27D5" w:rsidRDefault="008D2F4F" w:rsidP="002F7BA5">
      <w:pPr>
        <w:pStyle w:val="Proposal"/>
      </w:pPr>
      <w:r w:rsidRPr="008C27D5">
        <w:t>SUP</w:t>
      </w:r>
      <w:r w:rsidRPr="008C27D5">
        <w:tab/>
        <w:t>IAP/11A24A11/3</w:t>
      </w:r>
    </w:p>
    <w:p w14:paraId="24FCA6F6" w14:textId="77777777" w:rsidR="00482559" w:rsidRPr="008C27D5" w:rsidRDefault="008D2F4F" w:rsidP="002F7BA5">
      <w:pPr>
        <w:pStyle w:val="ResNo"/>
      </w:pPr>
      <w:r w:rsidRPr="008C27D5">
        <w:t xml:space="preserve">RÉSOLUTION </w:t>
      </w:r>
      <w:r w:rsidRPr="008C27D5">
        <w:rPr>
          <w:rStyle w:val="href"/>
        </w:rPr>
        <w:t xml:space="preserve">810 </w:t>
      </w:r>
      <w:r w:rsidRPr="008C27D5">
        <w:t>(CMR-15)</w:t>
      </w:r>
    </w:p>
    <w:p w14:paraId="0B9DF8EC" w14:textId="77777777" w:rsidR="00482559" w:rsidRPr="008C27D5" w:rsidRDefault="008D2F4F" w:rsidP="002F7BA5">
      <w:pPr>
        <w:pStyle w:val="Restitle"/>
      </w:pPr>
      <w:bookmarkStart w:id="7" w:name="_Toc450208829"/>
      <w:r w:rsidRPr="008C27D5">
        <w:t>Ordre du jour préliminaire de la Conférence mondiale</w:t>
      </w:r>
      <w:r w:rsidRPr="008C27D5">
        <w:br/>
        <w:t>des radiocommunications de 2023</w:t>
      </w:r>
      <w:bookmarkEnd w:id="7"/>
    </w:p>
    <w:p w14:paraId="1BF1A9B1" w14:textId="52E131CA" w:rsidR="00413893" w:rsidRPr="008C27D5" w:rsidRDefault="008D2F4F" w:rsidP="002F7BA5">
      <w:pPr>
        <w:pStyle w:val="Reasons"/>
      </w:pPr>
      <w:r w:rsidRPr="008C27D5">
        <w:rPr>
          <w:b/>
        </w:rPr>
        <w:t>Motifs:</w:t>
      </w:r>
      <w:r w:rsidRPr="008C27D5">
        <w:tab/>
      </w:r>
      <w:r w:rsidR="00413893" w:rsidRPr="008C27D5">
        <w:t>Cette Résolution doit être supprimée, étant donné que la CMR-19 élaborera une nouvelle Résolution dans laquelle figurera l</w:t>
      </w:r>
      <w:r w:rsidR="002F7BA5" w:rsidRPr="008C27D5">
        <w:t>'</w:t>
      </w:r>
      <w:r w:rsidR="00413893" w:rsidRPr="008C27D5">
        <w:t>ordre du jour de la CMR-23.</w:t>
      </w:r>
    </w:p>
    <w:p w14:paraId="45D9236B" w14:textId="363093DE" w:rsidR="00413893" w:rsidRPr="008C27D5" w:rsidRDefault="00413893" w:rsidP="002F7BA5">
      <w:r w:rsidRPr="008C27D5">
        <w:br w:type="page"/>
      </w:r>
    </w:p>
    <w:p w14:paraId="546B83FA" w14:textId="34BF4D63" w:rsidR="00413893" w:rsidRPr="008C27D5" w:rsidRDefault="00413893" w:rsidP="00D7426B">
      <w:pPr>
        <w:pStyle w:val="AnnexNo"/>
      </w:pPr>
      <w:r w:rsidRPr="00D7426B">
        <w:lastRenderedPageBreak/>
        <w:t>PIÈCE</w:t>
      </w:r>
      <w:r w:rsidRPr="008C27D5">
        <w:t xml:space="preserve"> JOINTE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426B" w:rsidRPr="00D7426B" w14:paraId="23853C2C" w14:textId="77777777" w:rsidTr="00D7426B">
        <w:tc>
          <w:tcPr>
            <w:tcW w:w="9629" w:type="dxa"/>
            <w:gridSpan w:val="2"/>
          </w:tcPr>
          <w:p w14:paraId="266DEF7C" w14:textId="77777777" w:rsidR="00D7426B" w:rsidRPr="00D7426B" w:rsidRDefault="00D7426B" w:rsidP="00EE6602">
            <w:pPr>
              <w:rPr>
                <w:rFonts w:ascii="Times" w:hAnsi="Times"/>
                <w:b/>
                <w:i/>
                <w:iCs/>
              </w:rPr>
            </w:pPr>
            <w:bookmarkStart w:id="8" w:name="_Hlk535486023"/>
            <w:r w:rsidRPr="00D7426B">
              <w:rPr>
                <w:rFonts w:ascii="Times" w:hAnsi="Times"/>
                <w:b/>
                <w:i/>
                <w:iCs/>
              </w:rPr>
              <w:t>Objet:</w:t>
            </w:r>
            <w:bookmarkEnd w:id="8"/>
          </w:p>
          <w:p w14:paraId="25E37ED3" w14:textId="411D91C4" w:rsidR="00D7426B" w:rsidRPr="00D7426B" w:rsidRDefault="00D7426B" w:rsidP="00EE6602">
            <w:pPr>
              <w:rPr>
                <w:rFonts w:ascii="Times New Roman Bold" w:hAnsi="Times New Roman Bold"/>
                <w:b/>
              </w:rPr>
            </w:pPr>
            <w:r w:rsidRPr="00D7426B">
              <w:t>Envisager l'utilisation des bandes de fréquences 10,7-10,95 GHz (espace vers Terre), 11,2</w:t>
            </w:r>
            <w:r w:rsidRPr="00D7426B">
              <w:noBreakHyphen/>
              <w:t>11,45 GHz (espace vers Terre) et 12,75-13,25 GHz (Terre vers espace) par les stations ESIM aéronautiques et maritimes communiquant avec des stations spatiales géostationnaires du SFS.</w:t>
            </w:r>
          </w:p>
        </w:tc>
      </w:tr>
      <w:tr w:rsidR="00D7426B" w:rsidRPr="00D7426B" w14:paraId="5410D131" w14:textId="77777777" w:rsidTr="00D7426B">
        <w:tc>
          <w:tcPr>
            <w:tcW w:w="9629" w:type="dxa"/>
            <w:gridSpan w:val="2"/>
            <w:tcBorders>
              <w:bottom w:val="single" w:sz="4" w:space="0" w:color="auto"/>
            </w:tcBorders>
          </w:tcPr>
          <w:p w14:paraId="7B07A823" w14:textId="77777777" w:rsidR="00FD77E9" w:rsidRDefault="00D7426B" w:rsidP="00FD77E9">
            <w:pPr>
              <w:spacing w:after="120"/>
              <w:rPr>
                <w:b/>
                <w:i/>
                <w:iCs/>
                <w:color w:val="000000"/>
              </w:rPr>
            </w:pPr>
            <w:r w:rsidRPr="00D7426B">
              <w:rPr>
                <w:b/>
                <w:i/>
                <w:iCs/>
                <w:color w:val="000000"/>
              </w:rPr>
              <w:t>Origine:</w:t>
            </w:r>
          </w:p>
          <w:p w14:paraId="49621D74" w14:textId="18406FA4" w:rsidR="00D7426B" w:rsidRPr="00D7426B" w:rsidRDefault="00D7426B" w:rsidP="00FD77E9">
            <w:pPr>
              <w:spacing w:after="120"/>
              <w:rPr>
                <w:color w:val="000000"/>
              </w:rPr>
            </w:pPr>
            <w:r w:rsidRPr="00D7426B">
              <w:rPr>
                <w:color w:val="000000"/>
              </w:rPr>
              <w:t>CITEL</w:t>
            </w:r>
          </w:p>
        </w:tc>
      </w:tr>
      <w:tr w:rsidR="00D7426B" w:rsidRPr="00D7426B" w14:paraId="4D86F120" w14:textId="77777777" w:rsidTr="00D7426B">
        <w:tc>
          <w:tcPr>
            <w:tcW w:w="9629" w:type="dxa"/>
            <w:gridSpan w:val="2"/>
            <w:tcBorders>
              <w:top w:val="single" w:sz="4" w:space="0" w:color="auto"/>
              <w:bottom w:val="single" w:sz="4" w:space="0" w:color="auto"/>
            </w:tcBorders>
          </w:tcPr>
          <w:p w14:paraId="0673C68D" w14:textId="77777777" w:rsidR="00D7426B" w:rsidRDefault="00D7426B" w:rsidP="00D7426B">
            <w:pPr>
              <w:spacing w:after="120"/>
              <w:rPr>
                <w:b/>
                <w:i/>
                <w:iCs/>
              </w:rPr>
            </w:pPr>
            <w:r w:rsidRPr="00D7426B">
              <w:rPr>
                <w:b/>
                <w:bCs/>
                <w:i/>
                <w:iCs/>
              </w:rPr>
              <w:t>Proposition</w:t>
            </w:r>
            <w:r w:rsidRPr="00D7426B">
              <w:rPr>
                <w:b/>
                <w:i/>
                <w:iCs/>
              </w:rPr>
              <w:t>:</w:t>
            </w:r>
          </w:p>
          <w:p w14:paraId="24362DC7" w14:textId="70018C64" w:rsidR="00D7426B" w:rsidRPr="00D7426B" w:rsidRDefault="00D7426B" w:rsidP="00D7426B">
            <w:pPr>
              <w:spacing w:after="120"/>
              <w:rPr>
                <w:b/>
                <w:i/>
                <w:iCs/>
              </w:rPr>
            </w:pPr>
            <w:r w:rsidRPr="00D7426B">
              <w:rPr>
                <w:i/>
                <w:iCs/>
              </w:rPr>
              <w:t>Envisager l'utilisation des bandes de fréquences 10,7-10,95 GHz (espace vers Terre), 11,2-11,45 GHz (espace vers Terre) et 12,75-13,25 GHz (Terre vers espace) par les stations ESIM aéronautiques et maritimes communiquant avec des stations spatiales géostationnaires du service fixe par satellite conformément à la Résolution [IAP-2/10(K)/ESIM-AERO-MAR] (CMR-19).</w:t>
            </w:r>
          </w:p>
        </w:tc>
      </w:tr>
      <w:tr w:rsidR="00D7426B" w:rsidRPr="00D7426B" w14:paraId="5E8F3DC3" w14:textId="77777777" w:rsidTr="00D7426B">
        <w:tc>
          <w:tcPr>
            <w:tcW w:w="9629" w:type="dxa"/>
            <w:gridSpan w:val="2"/>
            <w:tcBorders>
              <w:top w:val="single" w:sz="4" w:space="0" w:color="auto"/>
            </w:tcBorders>
          </w:tcPr>
          <w:p w14:paraId="3119B398" w14:textId="77777777" w:rsidR="00D7426B" w:rsidRDefault="00D7426B" w:rsidP="00EE6602">
            <w:pPr>
              <w:rPr>
                <w:b/>
                <w:bCs/>
                <w:i/>
                <w:iCs/>
              </w:rPr>
            </w:pPr>
            <w:r w:rsidRPr="00D7426B">
              <w:rPr>
                <w:b/>
                <w:bCs/>
                <w:i/>
                <w:iCs/>
              </w:rPr>
              <w:t>Contexte/motif:</w:t>
            </w:r>
          </w:p>
          <w:p w14:paraId="4CDD3D8E" w14:textId="2236F31F" w:rsidR="00D7426B" w:rsidRPr="00D7426B" w:rsidRDefault="00D7426B" w:rsidP="00EE6602">
            <w:pPr>
              <w:rPr>
                <w:b/>
                <w:bCs/>
                <w:i/>
                <w:iCs/>
              </w:rPr>
            </w:pPr>
            <w:r w:rsidRPr="00D7426B">
              <w:t>Selon les dispositions du Règlement des radiocommunications, les réseaux à satellite du SFS exploités dans le sens Terre vers espace dans la bande de fréquences 12,75</w:t>
            </w:r>
            <w:r w:rsidRPr="00D7426B">
              <w:noBreakHyphen/>
              <w:t>13,25 GHz ne peuvent fournir des services aux stations ESIM aéronautiques et maritimes que conformément au numéro </w:t>
            </w:r>
            <w:r w:rsidRPr="00D7426B">
              <w:rPr>
                <w:b/>
                <w:bCs/>
              </w:rPr>
              <w:t>4.4</w:t>
            </w:r>
            <w:r w:rsidRPr="00D7426B">
              <w:t xml:space="preserve">. Cette disposition exige que les émissions associées ne causent aucun brouillage préjudiciable à une station fonctionnant dans le cadre d'une attribution primaire ou secondaire, et qu'il ne soit pas demandé de protection contre les brouillages préjudiciables causés par cette station. </w:t>
            </w:r>
            <w:r w:rsidRPr="00D7426B">
              <w:rPr>
                <w:iCs/>
              </w:rPr>
              <w:t xml:space="preserve">Des CMR précédentes ont adopté des </w:t>
            </w:r>
            <w:r w:rsidRPr="00D7426B">
              <w:t xml:space="preserve">prescriptions techniques et d'autres dispositions réglementaires connexes </w:t>
            </w:r>
            <w:r w:rsidRPr="00D7426B">
              <w:rPr>
                <w:iCs/>
              </w:rPr>
              <w:t>permettant aux</w:t>
            </w:r>
            <w:r w:rsidRPr="00D7426B">
              <w:rPr>
                <w:i/>
              </w:rPr>
              <w:t xml:space="preserve"> </w:t>
            </w:r>
            <w:r w:rsidRPr="00D7426B">
              <w:t>stations ESIM aéronautiques et maritimes de communiquer avec des stations spatiales OSG du SFS dans certaines attributions de fréquences du SFS.</w:t>
            </w:r>
          </w:p>
        </w:tc>
      </w:tr>
      <w:tr w:rsidR="00D7426B" w:rsidRPr="00D7426B" w14:paraId="3A1F8DEF" w14:textId="77777777" w:rsidTr="00D7426B">
        <w:tc>
          <w:tcPr>
            <w:tcW w:w="9629" w:type="dxa"/>
            <w:gridSpan w:val="2"/>
          </w:tcPr>
          <w:p w14:paraId="38413F20" w14:textId="77777777" w:rsidR="00D7426B" w:rsidRPr="00D7426B" w:rsidRDefault="00D7426B" w:rsidP="00EE6602">
            <w:r w:rsidRPr="00D7426B">
              <w:rPr>
                <w:color w:val="000000"/>
              </w:rPr>
              <w:t xml:space="preserve">On peut donc supposer qu'il est possible de permettre aux </w:t>
            </w:r>
            <w:r w:rsidRPr="00D7426B">
              <w:t>stations ESIM aéronautiques et maritimes</w:t>
            </w:r>
            <w:r w:rsidRPr="00D7426B">
              <w:rPr>
                <w:szCs w:val="24"/>
              </w:rPr>
              <w:t xml:space="preserve"> </w:t>
            </w:r>
            <w:r w:rsidRPr="00D7426B">
              <w:t xml:space="preserve">de communiquer avec des stations spatiales géostationnaires du SFS fonctionnant dans les </w:t>
            </w:r>
            <w:r w:rsidRPr="00D7426B">
              <w:rPr>
                <w:color w:val="000000"/>
              </w:rPr>
              <w:t xml:space="preserve">bandes de fréquences </w:t>
            </w:r>
            <w:r w:rsidRPr="00D7426B">
              <w:t>10,7-10,95 GHz (espace vers Terre), 11,2-11,45 GHz (espace vers Terre) et 12,75</w:t>
            </w:r>
            <w:r w:rsidRPr="00D7426B">
              <w:noBreakHyphen/>
              <w:t xml:space="preserve">13,25 GHz (Terre vers espace), ce qui permettrait de fournir ces services dans le cadre d'un statut réglementaire, et non pas conformément au numéro </w:t>
            </w:r>
            <w:r w:rsidRPr="00D7426B">
              <w:rPr>
                <w:b/>
                <w:bCs/>
              </w:rPr>
              <w:t>4.4</w:t>
            </w:r>
            <w:r w:rsidRPr="00D7426B">
              <w:t>.</w:t>
            </w:r>
          </w:p>
        </w:tc>
      </w:tr>
      <w:tr w:rsidR="00D7426B" w:rsidRPr="00D7426B" w14:paraId="5633BF53" w14:textId="77777777" w:rsidTr="00D7426B">
        <w:tc>
          <w:tcPr>
            <w:tcW w:w="9629" w:type="dxa"/>
            <w:gridSpan w:val="2"/>
            <w:tcBorders>
              <w:bottom w:val="single" w:sz="4" w:space="0" w:color="auto"/>
            </w:tcBorders>
          </w:tcPr>
          <w:p w14:paraId="6794E576" w14:textId="77777777" w:rsidR="00D7426B" w:rsidRPr="00D7426B" w:rsidRDefault="00D7426B" w:rsidP="00FD77E9">
            <w:pPr>
              <w:spacing w:after="120"/>
            </w:pPr>
            <w:r w:rsidRPr="00D7426B">
              <w:t xml:space="preserve">Cette utilisation additionnelle n'aura pas d'incidences sur les allotissements/assignations figurant dans l'Appendice </w:t>
            </w:r>
            <w:r w:rsidRPr="00D7426B">
              <w:rPr>
                <w:b/>
              </w:rPr>
              <w:t xml:space="preserve">30B. </w:t>
            </w:r>
            <w:r w:rsidRPr="00D7426B">
              <w:rPr>
                <w:bCs/>
              </w:rPr>
              <w:t xml:space="preserve">Les stations terriennes à bord d'aéronefs et de navires, comme d'autres stations utilisant des assignations de fréquence figurant dans </w:t>
            </w:r>
            <w:bookmarkStart w:id="9" w:name="_Hlk11696131"/>
            <w:r w:rsidRPr="00D7426B">
              <w:t xml:space="preserve">l'Appendice </w:t>
            </w:r>
            <w:r w:rsidRPr="00D7426B">
              <w:rPr>
                <w:b/>
              </w:rPr>
              <w:t>30B</w:t>
            </w:r>
            <w:r w:rsidRPr="00D7426B">
              <w:t xml:space="preserve">, doivent être exploitées à l'intérieur de la zone de service et conformément aux caractéristiques notifiées pour les stations terriennes des systèmes du SFS OSG (c'est-à-dire compte tenu de l'enveloppe de brouillage définie pour les stations terriennes des systèmes du SFS OSG). En conséquence, l'exploitation de ces stations ne devrait pas causer de brouillages aux autres allotissement/assignations figurant dans l'Appendice </w:t>
            </w:r>
            <w:r w:rsidRPr="00D7426B">
              <w:rPr>
                <w:b/>
              </w:rPr>
              <w:t>30B</w:t>
            </w:r>
            <w:r w:rsidRPr="00D7426B">
              <w:t>.</w:t>
            </w:r>
          </w:p>
        </w:tc>
      </w:tr>
      <w:bookmarkEnd w:id="9"/>
      <w:tr w:rsidR="00D7426B" w:rsidRPr="00D7426B" w14:paraId="1A3802CA" w14:textId="77777777" w:rsidTr="00D7426B">
        <w:tc>
          <w:tcPr>
            <w:tcW w:w="9629" w:type="dxa"/>
            <w:gridSpan w:val="2"/>
            <w:tcBorders>
              <w:top w:val="single" w:sz="4" w:space="0" w:color="auto"/>
              <w:bottom w:val="single" w:sz="4" w:space="0" w:color="auto"/>
            </w:tcBorders>
          </w:tcPr>
          <w:p w14:paraId="02C2286F" w14:textId="77777777" w:rsidR="00D7426B" w:rsidRDefault="00D7426B" w:rsidP="00EE6602">
            <w:pPr>
              <w:rPr>
                <w:b/>
                <w:bCs/>
                <w:i/>
                <w:iCs/>
                <w:color w:val="000000"/>
                <w:szCs w:val="22"/>
              </w:rPr>
            </w:pPr>
            <w:r w:rsidRPr="00D7426B">
              <w:rPr>
                <w:b/>
                <w:i/>
                <w:color w:val="000000"/>
                <w:szCs w:val="22"/>
              </w:rPr>
              <w:t>Services de radiocommunication concernés</w:t>
            </w:r>
            <w:r w:rsidRPr="00D7426B">
              <w:rPr>
                <w:b/>
                <w:bCs/>
                <w:i/>
                <w:iCs/>
                <w:color w:val="000000"/>
                <w:szCs w:val="22"/>
              </w:rPr>
              <w:t>:</w:t>
            </w:r>
          </w:p>
          <w:p w14:paraId="1A3FBCBB" w14:textId="120C73C6" w:rsidR="00D7426B" w:rsidRPr="00D7426B" w:rsidRDefault="00D7426B" w:rsidP="00D7426B">
            <w:pPr>
              <w:spacing w:after="120"/>
              <w:rPr>
                <w:color w:val="000000"/>
                <w:szCs w:val="22"/>
              </w:rPr>
            </w:pPr>
            <w:r w:rsidRPr="00D7426B">
              <w:rPr>
                <w:color w:val="000000"/>
                <w:szCs w:val="22"/>
              </w:rPr>
              <w:t>SFS, SF, SM et service de recherche spatiale (espace lointain)</w:t>
            </w:r>
          </w:p>
        </w:tc>
      </w:tr>
      <w:tr w:rsidR="00D7426B" w:rsidRPr="00D7426B" w14:paraId="4A85D724" w14:textId="77777777" w:rsidTr="00D7426B">
        <w:tc>
          <w:tcPr>
            <w:tcW w:w="9629" w:type="dxa"/>
            <w:gridSpan w:val="2"/>
            <w:tcBorders>
              <w:top w:val="single" w:sz="4" w:space="0" w:color="auto"/>
              <w:bottom w:val="single" w:sz="4" w:space="0" w:color="auto"/>
            </w:tcBorders>
          </w:tcPr>
          <w:p w14:paraId="27A4A795" w14:textId="77777777" w:rsidR="00D7426B" w:rsidRDefault="00D7426B" w:rsidP="00EE6602">
            <w:pPr>
              <w:rPr>
                <w:b/>
                <w:bCs/>
                <w:i/>
                <w:iCs/>
                <w:color w:val="000000"/>
                <w:szCs w:val="22"/>
              </w:rPr>
            </w:pPr>
            <w:r w:rsidRPr="00D7426B">
              <w:rPr>
                <w:b/>
                <w:i/>
                <w:color w:val="000000"/>
                <w:szCs w:val="22"/>
              </w:rPr>
              <w:t>Indication des difficultés éventuelles</w:t>
            </w:r>
            <w:r w:rsidRPr="00D7426B">
              <w:rPr>
                <w:b/>
                <w:bCs/>
                <w:i/>
                <w:iCs/>
                <w:color w:val="000000"/>
                <w:szCs w:val="22"/>
              </w:rPr>
              <w:t>:</w:t>
            </w:r>
          </w:p>
          <w:p w14:paraId="71CFC357" w14:textId="21BFEC17" w:rsidR="00D7426B" w:rsidRPr="00D7426B" w:rsidRDefault="00D7426B" w:rsidP="00D7426B">
            <w:pPr>
              <w:spacing w:after="120"/>
              <w:rPr>
                <w:b/>
                <w:bCs/>
                <w:i/>
                <w:color w:val="000000"/>
                <w:szCs w:val="22"/>
              </w:rPr>
            </w:pPr>
            <w:r w:rsidRPr="00D7426B">
              <w:rPr>
                <w:color w:val="000000"/>
                <w:szCs w:val="22"/>
              </w:rPr>
              <w:t>Aucune difficulté n'est prévue</w:t>
            </w:r>
            <w:r w:rsidR="00650B52">
              <w:rPr>
                <w:color w:val="000000"/>
                <w:szCs w:val="22"/>
              </w:rPr>
              <w:t>.</w:t>
            </w:r>
          </w:p>
        </w:tc>
      </w:tr>
      <w:tr w:rsidR="00D7426B" w:rsidRPr="00D7426B" w14:paraId="63E6463F" w14:textId="77777777" w:rsidTr="00D7426B">
        <w:tc>
          <w:tcPr>
            <w:tcW w:w="9629" w:type="dxa"/>
            <w:gridSpan w:val="2"/>
            <w:tcBorders>
              <w:top w:val="single" w:sz="4" w:space="0" w:color="auto"/>
            </w:tcBorders>
          </w:tcPr>
          <w:p w14:paraId="0B9B67B5" w14:textId="77777777" w:rsidR="00D7426B" w:rsidRPr="00D7426B" w:rsidRDefault="00D7426B" w:rsidP="00EE6602">
            <w:pPr>
              <w:pStyle w:val="Headingb"/>
              <w:rPr>
                <w:bCs/>
                <w:i/>
                <w:iCs/>
              </w:rPr>
            </w:pPr>
            <w:r w:rsidRPr="00D7426B">
              <w:rPr>
                <w:i/>
                <w:iCs/>
              </w:rPr>
              <w:lastRenderedPageBreak/>
              <w:t>Études précédentes ou en cours sur la question:</w:t>
            </w:r>
          </w:p>
        </w:tc>
      </w:tr>
      <w:tr w:rsidR="00D7426B" w:rsidRPr="00D7426B" w14:paraId="6E003A7F" w14:textId="77777777" w:rsidTr="00D7426B">
        <w:tc>
          <w:tcPr>
            <w:tcW w:w="9629" w:type="dxa"/>
            <w:gridSpan w:val="2"/>
          </w:tcPr>
          <w:p w14:paraId="1421C145" w14:textId="5AD0EAE5" w:rsidR="00D7426B" w:rsidRPr="00D7426B" w:rsidRDefault="00D7426B" w:rsidP="00EE6602">
            <w:r w:rsidRPr="00D7426B">
              <w:rPr>
                <w:iCs/>
              </w:rPr>
              <w:t>Des CMR précédentes ont adopté des</w:t>
            </w:r>
            <w:r w:rsidRPr="00D7426B">
              <w:t xml:space="preserve"> dispositions techniques et réglementaires </w:t>
            </w:r>
            <w:r w:rsidRPr="00D7426B">
              <w:rPr>
                <w:iCs/>
              </w:rPr>
              <w:t>permettant aux</w:t>
            </w:r>
            <w:r w:rsidRPr="00D7426B">
              <w:rPr>
                <w:i/>
              </w:rPr>
              <w:t xml:space="preserve"> </w:t>
            </w:r>
            <w:r w:rsidRPr="00D7426B">
              <w:t>stations terriennes à bord d'aéronefs de communiquer avec des stations spatiales OSG du SFS</w:t>
            </w:r>
            <w:r w:rsidR="00650B52">
              <w:t>.</w:t>
            </w:r>
            <w:bookmarkStart w:id="10" w:name="_GoBack"/>
            <w:bookmarkEnd w:id="10"/>
            <w:r w:rsidRPr="00D7426B">
              <w:t xml:space="preserve"> Ces décisions ont été prises sur la base des études effectuées par l'UIT-R.</w:t>
            </w:r>
          </w:p>
        </w:tc>
      </w:tr>
      <w:tr w:rsidR="00D7426B" w:rsidRPr="008C27D5" w14:paraId="0470DE6D" w14:textId="77777777" w:rsidTr="00D7426B">
        <w:tc>
          <w:tcPr>
            <w:tcW w:w="9629" w:type="dxa"/>
            <w:gridSpan w:val="2"/>
            <w:tcBorders>
              <w:bottom w:val="single" w:sz="4" w:space="0" w:color="auto"/>
            </w:tcBorders>
          </w:tcPr>
          <w:p w14:paraId="19D11073" w14:textId="77777777" w:rsidR="00D7426B" w:rsidRPr="008C27D5" w:rsidRDefault="00D7426B" w:rsidP="00D7426B">
            <w:pPr>
              <w:spacing w:after="120"/>
            </w:pPr>
            <w:r w:rsidRPr="00D7426B">
              <w:t>Une organisation régionale faisant partie de la Région 1 de l' UIT-R a mené des études techniques sur la mise en œuvre de stations terriennes à bord d'aéronefs dans la bande 12,75-13,25 GHz</w:t>
            </w:r>
          </w:p>
        </w:tc>
      </w:tr>
      <w:tr w:rsidR="00D7426B" w:rsidRPr="008C27D5" w14:paraId="3098C94D" w14:textId="77777777" w:rsidTr="00D7426B">
        <w:tc>
          <w:tcPr>
            <w:tcW w:w="4814" w:type="dxa"/>
            <w:tcBorders>
              <w:top w:val="single" w:sz="4" w:space="0" w:color="auto"/>
              <w:bottom w:val="single" w:sz="4" w:space="0" w:color="auto"/>
            </w:tcBorders>
          </w:tcPr>
          <w:p w14:paraId="140B931A" w14:textId="77777777" w:rsidR="00D7426B" w:rsidRDefault="00D7426B" w:rsidP="00EE6602">
            <w:pPr>
              <w:rPr>
                <w:b/>
                <w:i/>
                <w:color w:val="000000"/>
                <w:szCs w:val="24"/>
              </w:rPr>
            </w:pPr>
            <w:r w:rsidRPr="008C27D5">
              <w:rPr>
                <w:b/>
                <w:i/>
                <w:color w:val="000000"/>
                <w:szCs w:val="24"/>
              </w:rPr>
              <w:t>Études devant être réalisées par:</w:t>
            </w:r>
          </w:p>
          <w:p w14:paraId="577F71F5" w14:textId="1B171235" w:rsidR="00D7426B" w:rsidRPr="00D7426B" w:rsidRDefault="00D7426B" w:rsidP="00D7426B">
            <w:pPr>
              <w:spacing w:after="120"/>
            </w:pPr>
            <w:r w:rsidRPr="008C27D5">
              <w:rPr>
                <w:color w:val="000000"/>
                <w:szCs w:val="24"/>
              </w:rPr>
              <w:t xml:space="preserve">CE </w:t>
            </w:r>
            <w:r w:rsidRPr="008C27D5">
              <w:rPr>
                <w:bCs/>
                <w:iCs/>
                <w:color w:val="000000"/>
                <w:szCs w:val="24"/>
              </w:rPr>
              <w:t>4</w:t>
            </w:r>
          </w:p>
        </w:tc>
        <w:tc>
          <w:tcPr>
            <w:tcW w:w="4815" w:type="dxa"/>
            <w:tcBorders>
              <w:top w:val="single" w:sz="4" w:space="0" w:color="auto"/>
              <w:bottom w:val="single" w:sz="4" w:space="0" w:color="auto"/>
            </w:tcBorders>
          </w:tcPr>
          <w:p w14:paraId="67043AE4" w14:textId="77777777" w:rsidR="00D7426B" w:rsidRDefault="00D7426B" w:rsidP="00EE6602">
            <w:pPr>
              <w:rPr>
                <w:b/>
                <w:i/>
                <w:iCs/>
                <w:color w:val="000000"/>
                <w:szCs w:val="24"/>
                <w:lang w:eastAsia="x-none"/>
              </w:rPr>
            </w:pPr>
            <w:r w:rsidRPr="008C27D5">
              <w:rPr>
                <w:b/>
                <w:bCs/>
                <w:i/>
                <w:color w:val="000000"/>
                <w:szCs w:val="24"/>
                <w:lang w:eastAsia="x-none"/>
              </w:rPr>
              <w:t>avec la participation de</w:t>
            </w:r>
            <w:r w:rsidRPr="008C27D5">
              <w:rPr>
                <w:b/>
                <w:i/>
                <w:iCs/>
                <w:color w:val="000000"/>
                <w:szCs w:val="24"/>
                <w:lang w:eastAsia="x-none"/>
              </w:rPr>
              <w:t>:</w:t>
            </w:r>
          </w:p>
          <w:p w14:paraId="53BA63F0" w14:textId="5667CBD9" w:rsidR="00D7426B" w:rsidRPr="00D7426B" w:rsidRDefault="00D7426B" w:rsidP="00EE6602">
            <w:r w:rsidRPr="008C27D5">
              <w:rPr>
                <w:bCs/>
                <w:color w:val="000000"/>
                <w:szCs w:val="24"/>
                <w:lang w:eastAsia="x-none"/>
              </w:rPr>
              <w:t>CE 5 et CE 7</w:t>
            </w:r>
          </w:p>
        </w:tc>
      </w:tr>
      <w:tr w:rsidR="00D7426B" w:rsidRPr="008C27D5" w14:paraId="0F44EF56" w14:textId="77777777" w:rsidTr="00D7426B">
        <w:tc>
          <w:tcPr>
            <w:tcW w:w="9629" w:type="dxa"/>
            <w:gridSpan w:val="2"/>
            <w:tcBorders>
              <w:top w:val="single" w:sz="4" w:space="0" w:color="auto"/>
              <w:bottom w:val="single" w:sz="4" w:space="0" w:color="auto"/>
            </w:tcBorders>
          </w:tcPr>
          <w:p w14:paraId="4FD752C7" w14:textId="77777777" w:rsidR="00D7426B" w:rsidRDefault="00D7426B" w:rsidP="00EE6602">
            <w:pPr>
              <w:rPr>
                <w:b/>
                <w:bCs/>
                <w:i/>
                <w:iCs/>
                <w:color w:val="000000"/>
                <w:szCs w:val="22"/>
              </w:rPr>
            </w:pPr>
            <w:r w:rsidRPr="008C27D5">
              <w:rPr>
                <w:b/>
                <w:i/>
                <w:color w:val="000000"/>
                <w:szCs w:val="22"/>
              </w:rPr>
              <w:t>Commissions d'études de l'UIT-R concernés</w:t>
            </w:r>
            <w:r w:rsidRPr="008C27D5">
              <w:rPr>
                <w:b/>
                <w:bCs/>
                <w:i/>
                <w:iCs/>
                <w:color w:val="000000"/>
                <w:szCs w:val="22"/>
              </w:rPr>
              <w:t>:</w:t>
            </w:r>
          </w:p>
          <w:p w14:paraId="7C5CCD82" w14:textId="60FC7312" w:rsidR="00D7426B" w:rsidRPr="00D7426B" w:rsidRDefault="00D7426B" w:rsidP="00FD77E9">
            <w:pPr>
              <w:spacing w:after="120"/>
            </w:pPr>
            <w:r w:rsidRPr="008C27D5">
              <w:rPr>
                <w:bCs/>
                <w:iCs/>
                <w:color w:val="000000"/>
                <w:szCs w:val="22"/>
              </w:rPr>
              <w:t>CE 5 et CE 7</w:t>
            </w:r>
          </w:p>
        </w:tc>
      </w:tr>
      <w:tr w:rsidR="00D7426B" w:rsidRPr="008C27D5" w14:paraId="2E270DDA" w14:textId="77777777" w:rsidTr="00D7426B">
        <w:tc>
          <w:tcPr>
            <w:tcW w:w="9629" w:type="dxa"/>
            <w:gridSpan w:val="2"/>
            <w:tcBorders>
              <w:top w:val="single" w:sz="4" w:space="0" w:color="auto"/>
              <w:bottom w:val="single" w:sz="4" w:space="0" w:color="auto"/>
            </w:tcBorders>
          </w:tcPr>
          <w:p w14:paraId="74CE6C8B" w14:textId="7144ACEF" w:rsidR="00D7426B" w:rsidRPr="00D7426B" w:rsidRDefault="00D7426B" w:rsidP="00FD77E9">
            <w:pPr>
              <w:spacing w:after="120"/>
            </w:pPr>
            <w:r w:rsidRPr="008C27D5">
              <w:rPr>
                <w:b/>
                <w:bCs/>
                <w:i/>
                <w:color w:val="000000"/>
                <w:szCs w:val="22"/>
                <w:lang w:eastAsia="x-none"/>
              </w:rPr>
              <w:t xml:space="preserve">Répercussions au niveau des ressources de l'UIT, y compris incidences financières (voir le numéro 126 de la Convention): </w:t>
            </w:r>
            <w:r w:rsidRPr="008C27D5">
              <w:rPr>
                <w:iCs/>
                <w:color w:val="000000"/>
                <w:szCs w:val="22"/>
                <w:lang w:eastAsia="x-none"/>
              </w:rPr>
              <w:t>minimes</w:t>
            </w:r>
          </w:p>
        </w:tc>
      </w:tr>
      <w:tr w:rsidR="00D7426B" w:rsidRPr="008C27D5" w14:paraId="5A77E948" w14:textId="77777777" w:rsidTr="00D7426B">
        <w:tc>
          <w:tcPr>
            <w:tcW w:w="4814" w:type="dxa"/>
            <w:tcBorders>
              <w:top w:val="single" w:sz="4" w:space="0" w:color="auto"/>
              <w:bottom w:val="single" w:sz="4" w:space="0" w:color="auto"/>
            </w:tcBorders>
          </w:tcPr>
          <w:p w14:paraId="56A30A71" w14:textId="77777777" w:rsidR="00D7426B" w:rsidRDefault="00D7426B" w:rsidP="00EE6602">
            <w:pPr>
              <w:rPr>
                <w:b/>
                <w:bCs/>
                <w:i/>
                <w:iCs/>
                <w:color w:val="000000"/>
              </w:rPr>
            </w:pPr>
            <w:r w:rsidRPr="008C27D5">
              <w:rPr>
                <w:b/>
                <w:i/>
                <w:color w:val="000000"/>
              </w:rPr>
              <w:t>Proposition régionale commune</w:t>
            </w:r>
            <w:r w:rsidRPr="008C27D5">
              <w:rPr>
                <w:b/>
                <w:bCs/>
                <w:i/>
                <w:iCs/>
                <w:color w:val="000000"/>
              </w:rPr>
              <w:t>:</w:t>
            </w:r>
          </w:p>
          <w:p w14:paraId="4DD0F47A" w14:textId="47D470A9" w:rsidR="00D7426B" w:rsidRPr="00D7426B" w:rsidRDefault="00D7426B" w:rsidP="00EE6602">
            <w:r w:rsidRPr="008C27D5">
              <w:rPr>
                <w:color w:val="000000"/>
              </w:rPr>
              <w:t>Oui/Non</w:t>
            </w:r>
          </w:p>
        </w:tc>
        <w:tc>
          <w:tcPr>
            <w:tcW w:w="4815" w:type="dxa"/>
            <w:tcBorders>
              <w:top w:val="single" w:sz="4" w:space="0" w:color="auto"/>
              <w:bottom w:val="single" w:sz="4" w:space="0" w:color="auto"/>
            </w:tcBorders>
          </w:tcPr>
          <w:p w14:paraId="78B591AA" w14:textId="77777777" w:rsidR="00D7426B" w:rsidRDefault="00D7426B" w:rsidP="00EE6602">
            <w:pPr>
              <w:rPr>
                <w:b/>
                <w:bCs/>
                <w:i/>
                <w:iCs/>
                <w:color w:val="000000"/>
              </w:rPr>
            </w:pPr>
            <w:r w:rsidRPr="008C27D5">
              <w:rPr>
                <w:b/>
                <w:i/>
                <w:color w:val="000000"/>
              </w:rPr>
              <w:t>Proposition soumise par plusieurs pays</w:t>
            </w:r>
            <w:r w:rsidRPr="008C27D5">
              <w:rPr>
                <w:b/>
                <w:bCs/>
                <w:i/>
                <w:iCs/>
                <w:color w:val="000000"/>
              </w:rPr>
              <w:t>:</w:t>
            </w:r>
          </w:p>
          <w:p w14:paraId="649EC285" w14:textId="6DD0A778" w:rsidR="00D7426B" w:rsidRDefault="00D7426B" w:rsidP="00EE6602">
            <w:pPr>
              <w:rPr>
                <w:color w:val="000000"/>
              </w:rPr>
            </w:pPr>
            <w:r w:rsidRPr="008C27D5">
              <w:rPr>
                <w:color w:val="000000"/>
              </w:rPr>
              <w:t>Oui/Non</w:t>
            </w:r>
          </w:p>
          <w:p w14:paraId="7FF0F870" w14:textId="4F4D38AF" w:rsidR="00D7426B" w:rsidRPr="00D7426B" w:rsidRDefault="00D7426B" w:rsidP="00FD77E9">
            <w:pPr>
              <w:spacing w:after="120"/>
            </w:pPr>
            <w:r w:rsidRPr="008C27D5">
              <w:rPr>
                <w:b/>
                <w:i/>
                <w:color w:val="000000"/>
              </w:rPr>
              <w:t>Nombre de pays:</w:t>
            </w:r>
          </w:p>
        </w:tc>
      </w:tr>
    </w:tbl>
    <w:p w14:paraId="50BC5294" w14:textId="5533E2C2" w:rsidR="00413893" w:rsidRPr="008C27D5" w:rsidRDefault="00413893" w:rsidP="002F7BA5">
      <w:pPr>
        <w:pStyle w:val="Headingb"/>
        <w:rPr>
          <w:i/>
          <w:iCs/>
          <w:color w:val="231F20"/>
        </w:rPr>
      </w:pPr>
      <w:r w:rsidRPr="008C27D5">
        <w:rPr>
          <w:i/>
          <w:iCs/>
        </w:rPr>
        <w:t>Observations</w:t>
      </w:r>
    </w:p>
    <w:p w14:paraId="2107AD9D" w14:textId="77777777" w:rsidR="00413893" w:rsidRPr="008C27D5" w:rsidRDefault="00413893" w:rsidP="002F7BA5">
      <w:pPr>
        <w:jc w:val="center"/>
      </w:pPr>
      <w:r w:rsidRPr="008C27D5">
        <w:t>______________</w:t>
      </w:r>
    </w:p>
    <w:sectPr w:rsidR="00413893" w:rsidRPr="008C27D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B790" w14:textId="77777777" w:rsidR="00482559" w:rsidRDefault="00482559">
      <w:r>
        <w:separator/>
      </w:r>
    </w:p>
  </w:endnote>
  <w:endnote w:type="continuationSeparator" w:id="0">
    <w:p w14:paraId="23F9D8D7" w14:textId="77777777" w:rsidR="00482559" w:rsidRDefault="0048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A3C6" w14:textId="03F06AFB" w:rsidR="00482559" w:rsidRDefault="00482559">
    <w:pPr>
      <w:rPr>
        <w:lang w:val="en-US"/>
      </w:rPr>
    </w:pPr>
    <w:r>
      <w:fldChar w:fldCharType="begin"/>
    </w:r>
    <w:r>
      <w:rPr>
        <w:lang w:val="en-US"/>
      </w:rPr>
      <w:instrText xml:space="preserve"> FILENAME \p  \* MERGEFORMAT </w:instrText>
    </w:r>
    <w:r>
      <w:fldChar w:fldCharType="separate"/>
    </w:r>
    <w:r w:rsidR="001C73A0">
      <w:rPr>
        <w:noProof/>
        <w:lang w:val="en-US"/>
      </w:rPr>
      <w:t>P:\FRA\ITU-R\CONF-R\CMR19\000\011ADD24ADD11F.docx</w:t>
    </w:r>
    <w:r>
      <w:fldChar w:fldCharType="end"/>
    </w:r>
    <w:r>
      <w:rPr>
        <w:lang w:val="en-US"/>
      </w:rPr>
      <w:tab/>
    </w:r>
    <w:r>
      <w:fldChar w:fldCharType="begin"/>
    </w:r>
    <w:r>
      <w:instrText xml:space="preserve"> SAVEDATE \@ DD.MM.YY </w:instrText>
    </w:r>
    <w:r>
      <w:fldChar w:fldCharType="separate"/>
    </w:r>
    <w:r w:rsidR="00D7426B">
      <w:rPr>
        <w:noProof/>
      </w:rPr>
      <w:t>26.09.19</w:t>
    </w:r>
    <w:r>
      <w:fldChar w:fldCharType="end"/>
    </w:r>
    <w:r>
      <w:rPr>
        <w:lang w:val="en-US"/>
      </w:rPr>
      <w:tab/>
    </w:r>
    <w:r>
      <w:fldChar w:fldCharType="begin"/>
    </w:r>
    <w:r>
      <w:instrText xml:space="preserve"> PRINTDATE \@ DD.MM.YY </w:instrText>
    </w:r>
    <w:r>
      <w:fldChar w:fldCharType="separate"/>
    </w:r>
    <w:r w:rsidR="001C73A0">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A1D5" w14:textId="5952D2A5" w:rsidR="00482559" w:rsidRDefault="00482559" w:rsidP="00C87873">
    <w:pPr>
      <w:pStyle w:val="Footer"/>
      <w:rPr>
        <w:lang w:val="en-US"/>
      </w:rPr>
    </w:pPr>
    <w:r>
      <w:fldChar w:fldCharType="begin"/>
    </w:r>
    <w:r>
      <w:rPr>
        <w:lang w:val="en-US"/>
      </w:rPr>
      <w:instrText xml:space="preserve"> FILENAME \p  \* MERGEFORMAT </w:instrText>
    </w:r>
    <w:r>
      <w:fldChar w:fldCharType="separate"/>
    </w:r>
    <w:r w:rsidR="001C73A0">
      <w:rPr>
        <w:lang w:val="en-US"/>
      </w:rPr>
      <w:t>P:\FRA\ITU-R\CONF-R\CMR19\000\011ADD24ADD11F.docx</w:t>
    </w:r>
    <w:r>
      <w:fldChar w:fldCharType="end"/>
    </w:r>
    <w:r w:rsidRPr="0052320C">
      <w:rPr>
        <w:lang w:val="en-US"/>
      </w:rPr>
      <w:t xml:space="preserve"> (460776)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25EA" w14:textId="00103AB4" w:rsidR="00482559" w:rsidRDefault="00482559" w:rsidP="001A11F6">
    <w:pPr>
      <w:pStyle w:val="Footer"/>
      <w:rPr>
        <w:lang w:val="en-US"/>
      </w:rPr>
    </w:pPr>
    <w:r>
      <w:fldChar w:fldCharType="begin"/>
    </w:r>
    <w:r>
      <w:rPr>
        <w:lang w:val="en-US"/>
      </w:rPr>
      <w:instrText xml:space="preserve"> FILENAME \p  \* MERGEFORMAT </w:instrText>
    </w:r>
    <w:r>
      <w:fldChar w:fldCharType="separate"/>
    </w:r>
    <w:r w:rsidR="001C73A0">
      <w:rPr>
        <w:lang w:val="en-US"/>
      </w:rPr>
      <w:t>P:\FRA\ITU-R\CONF-R\CMR19\000\011ADD24ADD11F.docx</w:t>
    </w:r>
    <w:r>
      <w:fldChar w:fldCharType="end"/>
    </w:r>
    <w:r w:rsidRPr="0052320C">
      <w:rPr>
        <w:lang w:val="en-US"/>
      </w:rPr>
      <w:t xml:space="preserve"> (460776)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8117" w14:textId="77777777" w:rsidR="00482559" w:rsidRDefault="00482559">
      <w:r>
        <w:rPr>
          <w:b/>
        </w:rPr>
        <w:t>_______________</w:t>
      </w:r>
    </w:p>
  </w:footnote>
  <w:footnote w:type="continuationSeparator" w:id="0">
    <w:p w14:paraId="2FBA8BEA" w14:textId="77777777" w:rsidR="00482559" w:rsidRDefault="00482559">
      <w:r>
        <w:continuationSeparator/>
      </w:r>
    </w:p>
  </w:footnote>
  <w:footnote w:id="1">
    <w:p w14:paraId="5B84A927" w14:textId="77D59B56" w:rsidR="00482559" w:rsidRPr="002615E9" w:rsidRDefault="00482559" w:rsidP="00C02961">
      <w:pPr>
        <w:pStyle w:val="FootnoteText"/>
        <w:rPr>
          <w:lang w:val="fr-CH"/>
        </w:rPr>
      </w:pPr>
      <w:r>
        <w:rPr>
          <w:rStyle w:val="FootnoteReference"/>
        </w:rPr>
        <w:footnoteRef/>
      </w:r>
      <w:r>
        <w:rPr>
          <w:lang w:val="fr-CH"/>
        </w:rPr>
        <w:tab/>
      </w:r>
      <w:r w:rsidRPr="002615E9">
        <w:rPr>
          <w:szCs w:val="24"/>
          <w:lang w:val="fr-CH"/>
        </w:rPr>
        <w:t xml:space="preserve">En vertu du numéro </w:t>
      </w:r>
      <w:r w:rsidRPr="00DD6F90">
        <w:rPr>
          <w:b/>
          <w:bCs/>
          <w:szCs w:val="24"/>
          <w:lang w:val="fr-CH"/>
        </w:rPr>
        <w:t>5.441</w:t>
      </w:r>
      <w:r w:rsidRPr="002615E9">
        <w:rPr>
          <w:szCs w:val="24"/>
          <w:lang w:val="fr-CH"/>
        </w:rPr>
        <w:t>, l</w:t>
      </w:r>
      <w:r w:rsidR="002F7BA5">
        <w:rPr>
          <w:szCs w:val="24"/>
        </w:rPr>
        <w:t>'</w:t>
      </w:r>
      <w:r w:rsidRPr="002615E9">
        <w:rPr>
          <w:szCs w:val="24"/>
        </w:rPr>
        <w:t>utilisation de la bande de fréquences 12,75-13,25 GHz (Terre vers espace) par les systèmes à satellites géostationnaires du service fixe par satellite doit être conforme aux dispositions de l</w:t>
      </w:r>
      <w:r w:rsidR="002F7BA5">
        <w:rPr>
          <w:szCs w:val="24"/>
        </w:rPr>
        <w:t>'</w:t>
      </w:r>
      <w:r w:rsidRPr="002615E9">
        <w:rPr>
          <w:szCs w:val="24"/>
        </w:rPr>
        <w:t>Appendice </w:t>
      </w:r>
      <w:r w:rsidRPr="00577616">
        <w:rPr>
          <w:b/>
          <w:bCs/>
          <w:szCs w:val="24"/>
        </w:rPr>
        <w:t>30B</w:t>
      </w:r>
      <w:r w:rsidRPr="002615E9">
        <w:rPr>
          <w:szCs w:val="24"/>
        </w:rPr>
        <w:t>.</w:t>
      </w:r>
    </w:p>
  </w:footnote>
  <w:footnote w:id="2">
    <w:p w14:paraId="626D2661" w14:textId="1090FDD3" w:rsidR="00482559" w:rsidRPr="00972ECC" w:rsidRDefault="00482559" w:rsidP="00DD6F90">
      <w:pPr>
        <w:pStyle w:val="FootnoteText"/>
      </w:pPr>
      <w:r w:rsidRPr="00972ECC">
        <w:rPr>
          <w:rStyle w:val="FootnoteReference"/>
        </w:rPr>
        <w:footnoteRef/>
      </w:r>
      <w:r>
        <w:tab/>
      </w:r>
      <w:r w:rsidRPr="002615E9">
        <w:rPr>
          <w:szCs w:val="24"/>
          <w:lang w:val="fr-CH"/>
        </w:rPr>
        <w:t xml:space="preserve">En vertu du numéro </w:t>
      </w:r>
      <w:r w:rsidRPr="00DD6F90">
        <w:rPr>
          <w:b/>
          <w:bCs/>
          <w:szCs w:val="24"/>
          <w:lang w:val="fr-CH"/>
        </w:rPr>
        <w:t>5.441</w:t>
      </w:r>
      <w:r w:rsidRPr="00DD6F90">
        <w:rPr>
          <w:szCs w:val="24"/>
          <w:lang w:val="fr-CH"/>
        </w:rPr>
        <w:t>, l</w:t>
      </w:r>
      <w:r w:rsidR="002F7BA5">
        <w:rPr>
          <w:szCs w:val="24"/>
        </w:rPr>
        <w:t>'</w:t>
      </w:r>
      <w:r w:rsidRPr="002615E9">
        <w:rPr>
          <w:szCs w:val="24"/>
        </w:rPr>
        <w:t>utilisation de</w:t>
      </w:r>
      <w:r>
        <w:rPr>
          <w:szCs w:val="24"/>
        </w:rPr>
        <w:t>s</w:t>
      </w:r>
      <w:r w:rsidRPr="002615E9">
        <w:rPr>
          <w:szCs w:val="24"/>
        </w:rPr>
        <w:t xml:space="preserve"> bande</w:t>
      </w:r>
      <w:r>
        <w:rPr>
          <w:szCs w:val="24"/>
        </w:rPr>
        <w:t>s</w:t>
      </w:r>
      <w:r w:rsidRPr="002615E9">
        <w:rPr>
          <w:szCs w:val="24"/>
        </w:rPr>
        <w:t xml:space="preserve"> de fréquences </w:t>
      </w:r>
      <w:r w:rsidRPr="00972ECC">
        <w:t>10</w:t>
      </w:r>
      <w:r>
        <w:t>,</w:t>
      </w:r>
      <w:r w:rsidRPr="00972ECC">
        <w:t>7-10</w:t>
      </w:r>
      <w:r>
        <w:t>,</w:t>
      </w:r>
      <w:r w:rsidRPr="00972ECC">
        <w:t>95 GHz (</w:t>
      </w:r>
      <w:r>
        <w:t>espace vers Terre</w:t>
      </w:r>
      <w:r w:rsidRPr="00972ECC">
        <w:t xml:space="preserve">) </w:t>
      </w:r>
      <w:r>
        <w:t>et</w:t>
      </w:r>
      <w:r w:rsidRPr="00972ECC">
        <w:t xml:space="preserve"> 11</w:t>
      </w:r>
      <w:r>
        <w:t>,</w:t>
      </w:r>
      <w:r w:rsidRPr="00972ECC">
        <w:t>2-11</w:t>
      </w:r>
      <w:r>
        <w:t>,</w:t>
      </w:r>
      <w:r w:rsidRPr="00972ECC">
        <w:t>45 GHz (</w:t>
      </w:r>
      <w:r>
        <w:t>espace vers Terre</w:t>
      </w:r>
      <w:r w:rsidRPr="00972ECC">
        <w:t xml:space="preserve">) </w:t>
      </w:r>
      <w:r w:rsidRPr="002615E9">
        <w:rPr>
          <w:szCs w:val="24"/>
        </w:rPr>
        <w:t>par les systèmes à satellites géostationnaires du service fixe par satellite doit être conforme aux dispositions</w:t>
      </w:r>
      <w:r w:rsidR="002F7BA5">
        <w:rPr>
          <w:szCs w:val="24"/>
        </w:rPr>
        <w:t xml:space="preserve"> </w:t>
      </w:r>
      <w:r>
        <w:rPr>
          <w:szCs w:val="24"/>
        </w:rPr>
        <w:t xml:space="preserve">de </w:t>
      </w:r>
      <w:r>
        <w:t>l</w:t>
      </w:r>
      <w:r w:rsidR="002F7BA5">
        <w:t>'</w:t>
      </w:r>
      <w:r w:rsidRPr="00972ECC">
        <w:t>Appendi</w:t>
      </w:r>
      <w:r>
        <w:t>ce</w:t>
      </w:r>
      <w:r w:rsidRPr="00972ECC">
        <w:t xml:space="preserve"> </w:t>
      </w:r>
      <w:r w:rsidRPr="00972ECC">
        <w:rPr>
          <w:b/>
        </w:rPr>
        <w:t>30B</w:t>
      </w:r>
      <w:r w:rsidRPr="00972EC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9835" w14:textId="77777777" w:rsidR="00482559" w:rsidRDefault="00482559" w:rsidP="004F1F8E">
    <w:pPr>
      <w:pStyle w:val="Header"/>
    </w:pPr>
    <w:r>
      <w:fldChar w:fldCharType="begin"/>
    </w:r>
    <w:r>
      <w:instrText xml:space="preserve"> PAGE </w:instrText>
    </w:r>
    <w:r>
      <w:fldChar w:fldCharType="separate"/>
    </w:r>
    <w:r>
      <w:rPr>
        <w:noProof/>
      </w:rPr>
      <w:t>2</w:t>
    </w:r>
    <w:r>
      <w:fldChar w:fldCharType="end"/>
    </w:r>
  </w:p>
  <w:p w14:paraId="57A9CCEB" w14:textId="77777777" w:rsidR="00482559" w:rsidRDefault="00482559" w:rsidP="00FD7AA3">
    <w:pPr>
      <w:pStyle w:val="Header"/>
    </w:pPr>
    <w:r>
      <w:t>CMR19/11(Add.24)(Add.11)-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06DBC8-79E6-4D75-B439-BD54953E3EAE}"/>
    <w:docVar w:name="dgnword-eventsink" w:val="2936016470304"/>
  </w:docVars>
  <w:rsids>
    <w:rsidRoot w:val="00BB1D82"/>
    <w:rsid w:val="00007EC7"/>
    <w:rsid w:val="00010B43"/>
    <w:rsid w:val="00016648"/>
    <w:rsid w:val="00020035"/>
    <w:rsid w:val="0003522F"/>
    <w:rsid w:val="00063A1F"/>
    <w:rsid w:val="00080E2C"/>
    <w:rsid w:val="00081366"/>
    <w:rsid w:val="000863B3"/>
    <w:rsid w:val="000A4755"/>
    <w:rsid w:val="000A55AE"/>
    <w:rsid w:val="000B2E0C"/>
    <w:rsid w:val="000B3D0C"/>
    <w:rsid w:val="000C6CCA"/>
    <w:rsid w:val="001167B9"/>
    <w:rsid w:val="001267A0"/>
    <w:rsid w:val="00136B38"/>
    <w:rsid w:val="0015203F"/>
    <w:rsid w:val="00160C64"/>
    <w:rsid w:val="0018169B"/>
    <w:rsid w:val="0019352B"/>
    <w:rsid w:val="001960D0"/>
    <w:rsid w:val="001A11F6"/>
    <w:rsid w:val="001C73A0"/>
    <w:rsid w:val="001F17E8"/>
    <w:rsid w:val="00204306"/>
    <w:rsid w:val="00232FD2"/>
    <w:rsid w:val="00255D09"/>
    <w:rsid w:val="0026554E"/>
    <w:rsid w:val="002A4622"/>
    <w:rsid w:val="002A6F8F"/>
    <w:rsid w:val="002B17E5"/>
    <w:rsid w:val="002C0EBF"/>
    <w:rsid w:val="002C28A4"/>
    <w:rsid w:val="002D7E0A"/>
    <w:rsid w:val="002F7BA5"/>
    <w:rsid w:val="00315AFE"/>
    <w:rsid w:val="003606A6"/>
    <w:rsid w:val="00365DC0"/>
    <w:rsid w:val="0036650C"/>
    <w:rsid w:val="00393ACD"/>
    <w:rsid w:val="00397A5C"/>
    <w:rsid w:val="003A583E"/>
    <w:rsid w:val="003A6CF8"/>
    <w:rsid w:val="003E112B"/>
    <w:rsid w:val="003E1D1C"/>
    <w:rsid w:val="003E7B05"/>
    <w:rsid w:val="003F3719"/>
    <w:rsid w:val="003F6F2D"/>
    <w:rsid w:val="00413893"/>
    <w:rsid w:val="00466211"/>
    <w:rsid w:val="00482559"/>
    <w:rsid w:val="00483196"/>
    <w:rsid w:val="004834A9"/>
    <w:rsid w:val="004873F1"/>
    <w:rsid w:val="004D01FC"/>
    <w:rsid w:val="004E28C3"/>
    <w:rsid w:val="004F1F8E"/>
    <w:rsid w:val="00512A32"/>
    <w:rsid w:val="0052320C"/>
    <w:rsid w:val="005343DA"/>
    <w:rsid w:val="005353E7"/>
    <w:rsid w:val="00560874"/>
    <w:rsid w:val="00561BE2"/>
    <w:rsid w:val="00577616"/>
    <w:rsid w:val="00586CF2"/>
    <w:rsid w:val="005A7C75"/>
    <w:rsid w:val="005C3768"/>
    <w:rsid w:val="005C6C3F"/>
    <w:rsid w:val="005E575B"/>
    <w:rsid w:val="00610AF8"/>
    <w:rsid w:val="00613635"/>
    <w:rsid w:val="0062093D"/>
    <w:rsid w:val="00637ECF"/>
    <w:rsid w:val="00647B59"/>
    <w:rsid w:val="00650B52"/>
    <w:rsid w:val="006736DA"/>
    <w:rsid w:val="00683D03"/>
    <w:rsid w:val="00690C7B"/>
    <w:rsid w:val="006A4B45"/>
    <w:rsid w:val="006D4724"/>
    <w:rsid w:val="006E672E"/>
    <w:rsid w:val="006F5FA2"/>
    <w:rsid w:val="0070076C"/>
    <w:rsid w:val="00701BAE"/>
    <w:rsid w:val="00720F35"/>
    <w:rsid w:val="00721F04"/>
    <w:rsid w:val="00730E95"/>
    <w:rsid w:val="007426B9"/>
    <w:rsid w:val="00764342"/>
    <w:rsid w:val="00773968"/>
    <w:rsid w:val="00774362"/>
    <w:rsid w:val="00786598"/>
    <w:rsid w:val="00790C74"/>
    <w:rsid w:val="00797BFF"/>
    <w:rsid w:val="007A04E8"/>
    <w:rsid w:val="007B2C34"/>
    <w:rsid w:val="00830086"/>
    <w:rsid w:val="00851625"/>
    <w:rsid w:val="00863C0A"/>
    <w:rsid w:val="008A3120"/>
    <w:rsid w:val="008A3210"/>
    <w:rsid w:val="008A4B97"/>
    <w:rsid w:val="008C27D5"/>
    <w:rsid w:val="008C5B8E"/>
    <w:rsid w:val="008C5DD5"/>
    <w:rsid w:val="008D2F4F"/>
    <w:rsid w:val="008D41BE"/>
    <w:rsid w:val="008D58D3"/>
    <w:rsid w:val="008E3BC9"/>
    <w:rsid w:val="00923064"/>
    <w:rsid w:val="00930FFD"/>
    <w:rsid w:val="00936D25"/>
    <w:rsid w:val="00941EA5"/>
    <w:rsid w:val="00964700"/>
    <w:rsid w:val="00966C16"/>
    <w:rsid w:val="00971634"/>
    <w:rsid w:val="0098732F"/>
    <w:rsid w:val="009A045F"/>
    <w:rsid w:val="009A6A2B"/>
    <w:rsid w:val="009C7E7C"/>
    <w:rsid w:val="00A00473"/>
    <w:rsid w:val="00A03C9B"/>
    <w:rsid w:val="00A33C78"/>
    <w:rsid w:val="00A37105"/>
    <w:rsid w:val="00A606C3"/>
    <w:rsid w:val="00A83B09"/>
    <w:rsid w:val="00A84541"/>
    <w:rsid w:val="00AE36A0"/>
    <w:rsid w:val="00B00294"/>
    <w:rsid w:val="00B3749C"/>
    <w:rsid w:val="00B47B60"/>
    <w:rsid w:val="00B64FD0"/>
    <w:rsid w:val="00BA5BD0"/>
    <w:rsid w:val="00BB1D82"/>
    <w:rsid w:val="00BD51C5"/>
    <w:rsid w:val="00BE5265"/>
    <w:rsid w:val="00BF26E7"/>
    <w:rsid w:val="00C02961"/>
    <w:rsid w:val="00C53FCA"/>
    <w:rsid w:val="00C76BAF"/>
    <w:rsid w:val="00C8033E"/>
    <w:rsid w:val="00C814B9"/>
    <w:rsid w:val="00C87873"/>
    <w:rsid w:val="00CD516F"/>
    <w:rsid w:val="00D119A7"/>
    <w:rsid w:val="00D25FBA"/>
    <w:rsid w:val="00D32B28"/>
    <w:rsid w:val="00D42954"/>
    <w:rsid w:val="00D66EAC"/>
    <w:rsid w:val="00D730DF"/>
    <w:rsid w:val="00D7426B"/>
    <w:rsid w:val="00D772F0"/>
    <w:rsid w:val="00D77BDC"/>
    <w:rsid w:val="00DC402B"/>
    <w:rsid w:val="00DD555D"/>
    <w:rsid w:val="00DD6F90"/>
    <w:rsid w:val="00DE0932"/>
    <w:rsid w:val="00E03A27"/>
    <w:rsid w:val="00E049F1"/>
    <w:rsid w:val="00E37A25"/>
    <w:rsid w:val="00E537FF"/>
    <w:rsid w:val="00E6539B"/>
    <w:rsid w:val="00E70A31"/>
    <w:rsid w:val="00E723A7"/>
    <w:rsid w:val="00EA3F38"/>
    <w:rsid w:val="00EA5AB6"/>
    <w:rsid w:val="00EC7615"/>
    <w:rsid w:val="00ED16AA"/>
    <w:rsid w:val="00ED6B8D"/>
    <w:rsid w:val="00ED74E8"/>
    <w:rsid w:val="00EE3D7B"/>
    <w:rsid w:val="00EF662E"/>
    <w:rsid w:val="00F10064"/>
    <w:rsid w:val="00F148F1"/>
    <w:rsid w:val="00F379F1"/>
    <w:rsid w:val="00F711A7"/>
    <w:rsid w:val="00F74EA7"/>
    <w:rsid w:val="00F8019C"/>
    <w:rsid w:val="00F83AE4"/>
    <w:rsid w:val="00F92155"/>
    <w:rsid w:val="00FA3BBF"/>
    <w:rsid w:val="00FC41F8"/>
    <w:rsid w:val="00FD77E9"/>
    <w:rsid w:val="00FD7AA3"/>
    <w:rsid w:val="00FE446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D0622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C02961"/>
    <w:rPr>
      <w:rFonts w:ascii="Times New Roman" w:hAnsi="Times New Roman"/>
      <w:sz w:val="24"/>
      <w:lang w:val="fr-FR" w:eastAsia="en-US"/>
    </w:rPr>
  </w:style>
  <w:style w:type="character" w:customStyle="1" w:styleId="NormalaftertitleChar">
    <w:name w:val="Normal after title Char"/>
    <w:basedOn w:val="DefaultParagraphFont"/>
    <w:link w:val="Normalaftertitle"/>
    <w:rsid w:val="00C02961"/>
    <w:rPr>
      <w:rFonts w:ascii="Times New Roman" w:hAnsi="Times New Roman"/>
      <w:sz w:val="24"/>
      <w:lang w:val="fr-FR" w:eastAsia="en-US"/>
    </w:rPr>
  </w:style>
  <w:style w:type="character" w:customStyle="1" w:styleId="CallChar">
    <w:name w:val="Call Char"/>
    <w:basedOn w:val="DefaultParagraphFont"/>
    <w:link w:val="Call"/>
    <w:locked/>
    <w:rsid w:val="00C02961"/>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90FE2F6-C56D-47B3-A2A5-8C7B5C0B4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A3F4D-19E2-4D39-8124-1F2E17F9E087}">
  <ds:schemaRefs>
    <ds:schemaRef ds:uri="http://schemas.openxmlformats.org/package/2006/metadata/core-properties"/>
    <ds:schemaRef ds:uri="http://www.w3.org/XML/1998/namespace"/>
    <ds:schemaRef ds:uri="32a1a8c5-2265-4ebc-b7a0-2071e2c5c9bb"/>
    <ds:schemaRef ds:uri="http://schemas.microsoft.com/office/2006/documentManagement/types"/>
    <ds:schemaRef ds:uri="http://schemas.microsoft.com/office/2006/metadata/properties"/>
    <ds:schemaRef ds:uri="996b2e75-67fd-4955-a3b0-5ab9934cb50b"/>
    <ds:schemaRef ds:uri="http://purl.org/dc/dcmityp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3D19D6F-AA6C-4051-8FAE-E78C41F51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2312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R16-WRC19-C-0011!A24-A11!MSW-F</vt:lpstr>
    </vt:vector>
  </TitlesOfParts>
  <Manager>Secrétariat général - Pool</Manager>
  <Company>Union internationale des télécommunications (UIT)</Company>
  <LinksUpToDate>false</LinksUpToDate>
  <CharactersWithSpaces>16029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R16-WRC19-C-0011!A24-A11!MSW-F</dc:title>
  <dc:subject>Conférence mondiale des radiocommunications - 2019</dc:subject>
  <dc:creator>Documents Proposals Manager (DPM)</dc:creator>
  <cp:keywords>DPM_v2019.9.20.1_prod</cp:keywords>
  <dc:description/>
  <cp:lastModifiedBy>French</cp:lastModifiedBy>
  <cp:revision>9</cp:revision>
  <cp:lastPrinted>2019-09-26T14:56:00Z</cp:lastPrinted>
  <dcterms:created xsi:type="dcterms:W3CDTF">2019-09-26T14:22:00Z</dcterms:created>
  <dcterms:modified xsi:type="dcterms:W3CDTF">2019-10-04T07:34:00Z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