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C3103" w14:paraId="4DF275AC" w14:textId="77777777" w:rsidTr="00D8253F">
        <w:trPr>
          <w:cantSplit/>
        </w:trPr>
        <w:tc>
          <w:tcPr>
            <w:tcW w:w="6804" w:type="dxa"/>
          </w:tcPr>
          <w:p w14:paraId="323D585D" w14:textId="77777777" w:rsidR="0090121B" w:rsidRPr="006C3103" w:rsidRDefault="005D46FB" w:rsidP="00C44E9E">
            <w:pPr>
              <w:spacing w:before="400" w:after="48" w:line="240" w:lineRule="atLeast"/>
              <w:rPr>
                <w:rFonts w:ascii="Verdana" w:hAnsi="Verdana"/>
                <w:position w:val="6"/>
                <w:lang w:val="es-ES"/>
              </w:rPr>
            </w:pPr>
            <w:r w:rsidRPr="006C3103">
              <w:rPr>
                <w:rFonts w:ascii="Verdana" w:hAnsi="Verdana" w:cs="Times"/>
                <w:b/>
                <w:position w:val="6"/>
                <w:sz w:val="20"/>
                <w:lang w:val="es-ES"/>
              </w:rPr>
              <w:t>Conferencia Mundial de Radiocomunicaciones (CMR-1</w:t>
            </w:r>
            <w:r w:rsidR="00C44E9E" w:rsidRPr="006C3103">
              <w:rPr>
                <w:rFonts w:ascii="Verdana" w:hAnsi="Verdana" w:cs="Times"/>
                <w:b/>
                <w:position w:val="6"/>
                <w:sz w:val="20"/>
                <w:lang w:val="es-ES"/>
              </w:rPr>
              <w:t>9</w:t>
            </w:r>
            <w:r w:rsidRPr="006C3103">
              <w:rPr>
                <w:rFonts w:ascii="Verdana" w:hAnsi="Verdana" w:cs="Times"/>
                <w:b/>
                <w:position w:val="6"/>
                <w:sz w:val="20"/>
                <w:lang w:val="es-ES"/>
              </w:rPr>
              <w:t>)</w:t>
            </w:r>
            <w:r w:rsidRPr="006C3103">
              <w:rPr>
                <w:rFonts w:ascii="Verdana" w:hAnsi="Verdana" w:cs="Times"/>
                <w:b/>
                <w:position w:val="6"/>
                <w:sz w:val="20"/>
                <w:lang w:val="es-ES"/>
              </w:rPr>
              <w:br/>
            </w:r>
            <w:r w:rsidR="006124AD" w:rsidRPr="006C3103">
              <w:rPr>
                <w:rFonts w:ascii="Verdana" w:hAnsi="Verdana"/>
                <w:b/>
                <w:bCs/>
                <w:position w:val="6"/>
                <w:sz w:val="17"/>
                <w:szCs w:val="17"/>
                <w:lang w:val="es-ES"/>
              </w:rPr>
              <w:t>Sharm el-Sheikh (Egipto)</w:t>
            </w:r>
            <w:r w:rsidRPr="006C3103">
              <w:rPr>
                <w:rFonts w:ascii="Verdana" w:hAnsi="Verdana"/>
                <w:b/>
                <w:bCs/>
                <w:position w:val="6"/>
                <w:sz w:val="17"/>
                <w:szCs w:val="17"/>
                <w:lang w:val="es-ES"/>
              </w:rPr>
              <w:t>, 2</w:t>
            </w:r>
            <w:r w:rsidR="00C44E9E" w:rsidRPr="006C3103">
              <w:rPr>
                <w:rFonts w:ascii="Verdana" w:hAnsi="Verdana"/>
                <w:b/>
                <w:bCs/>
                <w:position w:val="6"/>
                <w:sz w:val="17"/>
                <w:szCs w:val="17"/>
                <w:lang w:val="es-ES"/>
              </w:rPr>
              <w:t xml:space="preserve">8 de octubre </w:t>
            </w:r>
            <w:r w:rsidR="00DE1C31" w:rsidRPr="006C3103">
              <w:rPr>
                <w:rFonts w:ascii="Verdana" w:hAnsi="Verdana"/>
                <w:b/>
                <w:bCs/>
                <w:position w:val="6"/>
                <w:sz w:val="17"/>
                <w:szCs w:val="17"/>
                <w:lang w:val="es-ES"/>
              </w:rPr>
              <w:t>–</w:t>
            </w:r>
            <w:r w:rsidR="00C44E9E" w:rsidRPr="006C3103">
              <w:rPr>
                <w:rFonts w:ascii="Verdana" w:hAnsi="Verdana"/>
                <w:b/>
                <w:bCs/>
                <w:position w:val="6"/>
                <w:sz w:val="17"/>
                <w:szCs w:val="17"/>
                <w:lang w:val="es-ES"/>
              </w:rPr>
              <w:t xml:space="preserve"> </w:t>
            </w:r>
            <w:r w:rsidRPr="006C3103">
              <w:rPr>
                <w:rFonts w:ascii="Verdana" w:hAnsi="Verdana"/>
                <w:b/>
                <w:bCs/>
                <w:position w:val="6"/>
                <w:sz w:val="17"/>
                <w:szCs w:val="17"/>
                <w:lang w:val="es-ES"/>
              </w:rPr>
              <w:t>2</w:t>
            </w:r>
            <w:r w:rsidR="00C44E9E" w:rsidRPr="006C3103">
              <w:rPr>
                <w:rFonts w:ascii="Verdana" w:hAnsi="Verdana"/>
                <w:b/>
                <w:bCs/>
                <w:position w:val="6"/>
                <w:sz w:val="17"/>
                <w:szCs w:val="17"/>
                <w:lang w:val="es-ES"/>
              </w:rPr>
              <w:t>2</w:t>
            </w:r>
            <w:r w:rsidRPr="006C3103">
              <w:rPr>
                <w:rFonts w:ascii="Verdana" w:hAnsi="Verdana"/>
                <w:b/>
                <w:bCs/>
                <w:position w:val="6"/>
                <w:sz w:val="17"/>
                <w:szCs w:val="17"/>
                <w:lang w:val="es-ES"/>
              </w:rPr>
              <w:t xml:space="preserve"> de noviembre de 201</w:t>
            </w:r>
            <w:r w:rsidR="00C44E9E" w:rsidRPr="006C3103">
              <w:rPr>
                <w:rFonts w:ascii="Verdana" w:hAnsi="Verdana"/>
                <w:b/>
                <w:bCs/>
                <w:position w:val="6"/>
                <w:sz w:val="17"/>
                <w:szCs w:val="17"/>
                <w:lang w:val="es-ES"/>
              </w:rPr>
              <w:t>9</w:t>
            </w:r>
          </w:p>
        </w:tc>
        <w:tc>
          <w:tcPr>
            <w:tcW w:w="3227" w:type="dxa"/>
          </w:tcPr>
          <w:p w14:paraId="7673A79F" w14:textId="77777777" w:rsidR="0090121B" w:rsidRPr="006C3103" w:rsidRDefault="00DA71A3" w:rsidP="00CE7431">
            <w:pPr>
              <w:spacing w:before="0" w:line="240" w:lineRule="atLeast"/>
              <w:jc w:val="right"/>
              <w:rPr>
                <w:lang w:val="es-ES"/>
              </w:rPr>
            </w:pPr>
            <w:bookmarkStart w:id="0" w:name="ditulogo"/>
            <w:bookmarkEnd w:id="0"/>
            <w:r w:rsidRPr="006C3103">
              <w:rPr>
                <w:rFonts w:ascii="Verdana" w:hAnsi="Verdana"/>
                <w:b/>
                <w:bCs/>
                <w:szCs w:val="24"/>
                <w:lang w:val="es-ES" w:eastAsia="zh-CN"/>
              </w:rPr>
              <w:drawing>
                <wp:inline distT="0" distB="0" distL="0" distR="0" wp14:anchorId="72513CB2" wp14:editId="31927CD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C3103" w14:paraId="5DFF3F2C" w14:textId="77777777" w:rsidTr="00D8253F">
        <w:trPr>
          <w:cantSplit/>
        </w:trPr>
        <w:tc>
          <w:tcPr>
            <w:tcW w:w="6804" w:type="dxa"/>
            <w:tcBorders>
              <w:bottom w:val="single" w:sz="12" w:space="0" w:color="auto"/>
            </w:tcBorders>
          </w:tcPr>
          <w:p w14:paraId="69992B83" w14:textId="77777777" w:rsidR="0090121B" w:rsidRPr="006C3103"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34272D3D" w14:textId="77777777" w:rsidR="0090121B" w:rsidRPr="006C3103" w:rsidRDefault="0090121B" w:rsidP="0090121B">
            <w:pPr>
              <w:spacing w:before="0" w:line="240" w:lineRule="atLeast"/>
              <w:rPr>
                <w:rFonts w:ascii="Verdana" w:hAnsi="Verdana"/>
                <w:szCs w:val="24"/>
                <w:lang w:val="es-ES"/>
              </w:rPr>
            </w:pPr>
          </w:p>
        </w:tc>
      </w:tr>
      <w:tr w:rsidR="0090121B" w:rsidRPr="006C3103" w14:paraId="44564E1F" w14:textId="77777777" w:rsidTr="00D8253F">
        <w:trPr>
          <w:cantSplit/>
        </w:trPr>
        <w:tc>
          <w:tcPr>
            <w:tcW w:w="6804" w:type="dxa"/>
            <w:tcBorders>
              <w:top w:val="single" w:sz="12" w:space="0" w:color="auto"/>
            </w:tcBorders>
          </w:tcPr>
          <w:p w14:paraId="242755CD" w14:textId="77777777" w:rsidR="0090121B" w:rsidRPr="006C3103"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141352A5" w14:textId="77777777" w:rsidR="0090121B" w:rsidRPr="006C3103" w:rsidRDefault="0090121B" w:rsidP="0090121B">
            <w:pPr>
              <w:spacing w:before="0" w:line="240" w:lineRule="atLeast"/>
              <w:rPr>
                <w:rFonts w:ascii="Verdana" w:hAnsi="Verdana"/>
                <w:sz w:val="20"/>
                <w:lang w:val="es-ES"/>
              </w:rPr>
            </w:pPr>
          </w:p>
        </w:tc>
      </w:tr>
      <w:tr w:rsidR="0090121B" w:rsidRPr="006C3103" w14:paraId="1FABD621" w14:textId="77777777" w:rsidTr="00D8253F">
        <w:trPr>
          <w:cantSplit/>
        </w:trPr>
        <w:tc>
          <w:tcPr>
            <w:tcW w:w="6804" w:type="dxa"/>
          </w:tcPr>
          <w:p w14:paraId="3DFFCE5C" w14:textId="77777777" w:rsidR="0090121B" w:rsidRPr="006C3103" w:rsidRDefault="001E7D42" w:rsidP="00EA77F0">
            <w:pPr>
              <w:pStyle w:val="Committee"/>
              <w:framePr w:hSpace="0" w:wrap="auto" w:hAnchor="text" w:yAlign="inline"/>
              <w:rPr>
                <w:lang w:val="es-ES"/>
              </w:rPr>
            </w:pPr>
            <w:r w:rsidRPr="006C3103">
              <w:rPr>
                <w:lang w:val="es-ES"/>
              </w:rPr>
              <w:t>SESIÓN PLENARIA</w:t>
            </w:r>
          </w:p>
        </w:tc>
        <w:tc>
          <w:tcPr>
            <w:tcW w:w="3227" w:type="dxa"/>
          </w:tcPr>
          <w:p w14:paraId="199C63C2" w14:textId="77777777" w:rsidR="0090121B" w:rsidRPr="006C3103" w:rsidRDefault="00AE658F" w:rsidP="0045384C">
            <w:pPr>
              <w:spacing w:before="0"/>
              <w:rPr>
                <w:rFonts w:ascii="Verdana" w:hAnsi="Verdana"/>
                <w:sz w:val="20"/>
                <w:lang w:val="es-ES"/>
              </w:rPr>
            </w:pPr>
            <w:r w:rsidRPr="006C3103">
              <w:rPr>
                <w:rFonts w:ascii="Verdana" w:hAnsi="Verdana"/>
                <w:b/>
                <w:sz w:val="20"/>
                <w:lang w:val="es-ES"/>
              </w:rPr>
              <w:t>Addéndum 10 al</w:t>
            </w:r>
            <w:r w:rsidRPr="006C3103">
              <w:rPr>
                <w:rFonts w:ascii="Verdana" w:hAnsi="Verdana"/>
                <w:b/>
                <w:sz w:val="20"/>
                <w:lang w:val="es-ES"/>
              </w:rPr>
              <w:br/>
              <w:t>Documento 11(Add.24)</w:t>
            </w:r>
            <w:r w:rsidR="0090121B" w:rsidRPr="006C3103">
              <w:rPr>
                <w:rFonts w:ascii="Verdana" w:hAnsi="Verdana"/>
                <w:b/>
                <w:sz w:val="20"/>
                <w:lang w:val="es-ES"/>
              </w:rPr>
              <w:t>-</w:t>
            </w:r>
            <w:r w:rsidRPr="006C3103">
              <w:rPr>
                <w:rFonts w:ascii="Verdana" w:hAnsi="Verdana"/>
                <w:b/>
                <w:sz w:val="20"/>
                <w:lang w:val="es-ES"/>
              </w:rPr>
              <w:t>S</w:t>
            </w:r>
          </w:p>
        </w:tc>
      </w:tr>
      <w:bookmarkEnd w:id="1"/>
      <w:tr w:rsidR="000A5B9A" w:rsidRPr="006C3103" w14:paraId="216BD07F" w14:textId="77777777" w:rsidTr="00D8253F">
        <w:trPr>
          <w:cantSplit/>
        </w:trPr>
        <w:tc>
          <w:tcPr>
            <w:tcW w:w="6804" w:type="dxa"/>
          </w:tcPr>
          <w:p w14:paraId="1E4282DD" w14:textId="77777777" w:rsidR="000A5B9A" w:rsidRPr="006C3103" w:rsidRDefault="000A5B9A" w:rsidP="0045384C">
            <w:pPr>
              <w:spacing w:before="0" w:after="48"/>
              <w:rPr>
                <w:rFonts w:ascii="Verdana" w:hAnsi="Verdana"/>
                <w:b/>
                <w:smallCaps/>
                <w:sz w:val="20"/>
                <w:lang w:val="es-ES"/>
              </w:rPr>
            </w:pPr>
          </w:p>
        </w:tc>
        <w:tc>
          <w:tcPr>
            <w:tcW w:w="3227" w:type="dxa"/>
          </w:tcPr>
          <w:p w14:paraId="78A307B6" w14:textId="14A58962" w:rsidR="000A5B9A" w:rsidRPr="006C3103" w:rsidRDefault="00D8253F" w:rsidP="0045384C">
            <w:pPr>
              <w:spacing w:before="0"/>
              <w:rPr>
                <w:rFonts w:ascii="Verdana" w:hAnsi="Verdana"/>
                <w:b/>
                <w:sz w:val="20"/>
                <w:lang w:val="es-ES"/>
              </w:rPr>
            </w:pPr>
            <w:r w:rsidRPr="006C3103">
              <w:rPr>
                <w:rFonts w:ascii="Verdana" w:hAnsi="Verdana"/>
                <w:b/>
                <w:sz w:val="20"/>
                <w:lang w:val="es-ES"/>
              </w:rPr>
              <w:t>13</w:t>
            </w:r>
            <w:r w:rsidR="000A5B9A" w:rsidRPr="006C3103">
              <w:rPr>
                <w:rFonts w:ascii="Verdana" w:hAnsi="Verdana"/>
                <w:b/>
                <w:sz w:val="20"/>
                <w:lang w:val="es-ES"/>
              </w:rPr>
              <w:t xml:space="preserve"> de septiembre de 2019</w:t>
            </w:r>
          </w:p>
        </w:tc>
      </w:tr>
      <w:tr w:rsidR="000A5B9A" w:rsidRPr="006C3103" w14:paraId="731EEFF8" w14:textId="77777777" w:rsidTr="00D8253F">
        <w:trPr>
          <w:cantSplit/>
        </w:trPr>
        <w:tc>
          <w:tcPr>
            <w:tcW w:w="6804" w:type="dxa"/>
          </w:tcPr>
          <w:p w14:paraId="402A69E2" w14:textId="77777777" w:rsidR="000A5B9A" w:rsidRPr="006C3103" w:rsidRDefault="000A5B9A" w:rsidP="0045384C">
            <w:pPr>
              <w:spacing w:before="0" w:after="48"/>
              <w:rPr>
                <w:rFonts w:ascii="Verdana" w:hAnsi="Verdana"/>
                <w:b/>
                <w:smallCaps/>
                <w:sz w:val="20"/>
                <w:lang w:val="es-ES"/>
              </w:rPr>
            </w:pPr>
          </w:p>
        </w:tc>
        <w:tc>
          <w:tcPr>
            <w:tcW w:w="3227" w:type="dxa"/>
          </w:tcPr>
          <w:p w14:paraId="362CE376" w14:textId="02C7A553" w:rsidR="000A5B9A" w:rsidRPr="006C3103" w:rsidRDefault="000A5B9A" w:rsidP="0045384C">
            <w:pPr>
              <w:spacing w:before="0"/>
              <w:rPr>
                <w:rFonts w:ascii="Verdana" w:hAnsi="Verdana"/>
                <w:b/>
                <w:sz w:val="20"/>
                <w:lang w:val="es-ES"/>
              </w:rPr>
            </w:pPr>
            <w:r w:rsidRPr="006C3103">
              <w:rPr>
                <w:rFonts w:ascii="Verdana" w:hAnsi="Verdana"/>
                <w:b/>
                <w:sz w:val="20"/>
                <w:lang w:val="es-ES"/>
              </w:rPr>
              <w:t>Original: inglés</w:t>
            </w:r>
            <w:r w:rsidR="00D8253F" w:rsidRPr="006C3103">
              <w:rPr>
                <w:rFonts w:ascii="Verdana" w:hAnsi="Verdana"/>
                <w:b/>
                <w:sz w:val="20"/>
                <w:lang w:val="es-ES"/>
              </w:rPr>
              <w:t>/español</w:t>
            </w:r>
          </w:p>
        </w:tc>
      </w:tr>
      <w:tr w:rsidR="000A5B9A" w:rsidRPr="006C3103" w14:paraId="773C15F2" w14:textId="77777777" w:rsidTr="006744FC">
        <w:trPr>
          <w:cantSplit/>
        </w:trPr>
        <w:tc>
          <w:tcPr>
            <w:tcW w:w="10031" w:type="dxa"/>
            <w:gridSpan w:val="2"/>
          </w:tcPr>
          <w:p w14:paraId="04E8EF97" w14:textId="77777777" w:rsidR="000A5B9A" w:rsidRPr="006C3103" w:rsidRDefault="000A5B9A" w:rsidP="0045384C">
            <w:pPr>
              <w:spacing w:before="0"/>
              <w:rPr>
                <w:rFonts w:ascii="Verdana" w:hAnsi="Verdana"/>
                <w:b/>
                <w:sz w:val="20"/>
                <w:lang w:val="es-ES"/>
              </w:rPr>
            </w:pPr>
          </w:p>
        </w:tc>
      </w:tr>
      <w:tr w:rsidR="000A5B9A" w:rsidRPr="006C3103" w14:paraId="6EB43920" w14:textId="77777777" w:rsidTr="0050008E">
        <w:trPr>
          <w:cantSplit/>
        </w:trPr>
        <w:tc>
          <w:tcPr>
            <w:tcW w:w="10031" w:type="dxa"/>
            <w:gridSpan w:val="2"/>
          </w:tcPr>
          <w:p w14:paraId="5722D78E" w14:textId="77777777" w:rsidR="000A5B9A" w:rsidRPr="006C3103" w:rsidRDefault="000A5B9A" w:rsidP="000A5B9A">
            <w:pPr>
              <w:pStyle w:val="Source"/>
              <w:rPr>
                <w:lang w:val="es-ES"/>
              </w:rPr>
            </w:pPr>
            <w:bookmarkStart w:id="2" w:name="dsource" w:colFirst="0" w:colLast="0"/>
            <w:r w:rsidRPr="006C3103">
              <w:rPr>
                <w:lang w:val="es-ES"/>
              </w:rPr>
              <w:t>Estados Miembros de la Comisión Interamericana de Telecomunicaciones (CITEL)</w:t>
            </w:r>
          </w:p>
        </w:tc>
      </w:tr>
      <w:tr w:rsidR="000A5B9A" w:rsidRPr="006C3103" w14:paraId="142D446B" w14:textId="77777777" w:rsidTr="0050008E">
        <w:trPr>
          <w:cantSplit/>
        </w:trPr>
        <w:tc>
          <w:tcPr>
            <w:tcW w:w="10031" w:type="dxa"/>
            <w:gridSpan w:val="2"/>
          </w:tcPr>
          <w:p w14:paraId="130078F7" w14:textId="2CB21DB8" w:rsidR="000A5B9A" w:rsidRPr="006C3103" w:rsidRDefault="00D85EDA" w:rsidP="000A5B9A">
            <w:pPr>
              <w:pStyle w:val="Title1"/>
              <w:rPr>
                <w:lang w:val="es-ES"/>
              </w:rPr>
            </w:pPr>
            <w:bookmarkStart w:id="3" w:name="dtitle1" w:colFirst="0" w:colLast="0"/>
            <w:bookmarkEnd w:id="2"/>
            <w:r w:rsidRPr="006C3103">
              <w:rPr>
                <w:lang w:val="es-ES"/>
              </w:rPr>
              <w:t>PROPUESTAS PARA LOS TRABAJOS DE LA CONFERENCIA</w:t>
            </w:r>
          </w:p>
        </w:tc>
      </w:tr>
      <w:tr w:rsidR="000A5B9A" w:rsidRPr="006C3103" w14:paraId="3AD14E3B" w14:textId="77777777" w:rsidTr="0050008E">
        <w:trPr>
          <w:cantSplit/>
        </w:trPr>
        <w:tc>
          <w:tcPr>
            <w:tcW w:w="10031" w:type="dxa"/>
            <w:gridSpan w:val="2"/>
          </w:tcPr>
          <w:p w14:paraId="27A6888D" w14:textId="77777777" w:rsidR="000A5B9A" w:rsidRPr="006C3103" w:rsidRDefault="000A5B9A" w:rsidP="000A5B9A">
            <w:pPr>
              <w:pStyle w:val="Title2"/>
              <w:rPr>
                <w:lang w:val="es-ES"/>
              </w:rPr>
            </w:pPr>
            <w:bookmarkStart w:id="4" w:name="dtitle2" w:colFirst="0" w:colLast="0"/>
            <w:bookmarkEnd w:id="3"/>
          </w:p>
        </w:tc>
      </w:tr>
      <w:tr w:rsidR="000A5B9A" w:rsidRPr="006C3103" w14:paraId="12D726D6" w14:textId="77777777" w:rsidTr="0050008E">
        <w:trPr>
          <w:cantSplit/>
        </w:trPr>
        <w:tc>
          <w:tcPr>
            <w:tcW w:w="10031" w:type="dxa"/>
            <w:gridSpan w:val="2"/>
          </w:tcPr>
          <w:p w14:paraId="0AB31271" w14:textId="77777777" w:rsidR="000A5B9A" w:rsidRPr="006C3103" w:rsidRDefault="000A5B9A" w:rsidP="000A5B9A">
            <w:pPr>
              <w:pStyle w:val="Agendaitem"/>
              <w:rPr>
                <w:lang w:val="es-ES"/>
              </w:rPr>
            </w:pPr>
            <w:bookmarkStart w:id="5" w:name="dtitle3" w:colFirst="0" w:colLast="0"/>
            <w:bookmarkEnd w:id="4"/>
            <w:r w:rsidRPr="006C3103">
              <w:rPr>
                <w:lang w:val="es-ES"/>
              </w:rPr>
              <w:t>Punto 10 del orden del día</w:t>
            </w:r>
          </w:p>
        </w:tc>
      </w:tr>
    </w:tbl>
    <w:bookmarkEnd w:id="5"/>
    <w:p w14:paraId="198A09DF" w14:textId="77777777" w:rsidR="001C0E40" w:rsidRPr="006C3103" w:rsidRDefault="007F5D83" w:rsidP="003A37B0">
      <w:pPr>
        <w:rPr>
          <w:lang w:val="es-ES"/>
        </w:rPr>
      </w:pPr>
      <w:r w:rsidRPr="006C3103">
        <w:rPr>
          <w:lang w:val="es-ES"/>
        </w:rPr>
        <w:t>10</w:t>
      </w:r>
      <w:r w:rsidRPr="006C3103">
        <w:rPr>
          <w:lang w:val="es-ES"/>
        </w:rPr>
        <w:tab/>
        <w:t>recomendar al Consejo los puntos que han de incluirse en el orden del día de la próxima CMR, y formular</w:t>
      </w:r>
      <w:r w:rsidRPr="006C3103">
        <w:rPr>
          <w:lang w:val="es-ES"/>
        </w:rPr>
        <w:t xml:space="preserve"> opiniones sobre el orden del día preliminar de la conferencia subsiguiente y sobre los posibles órdenes del día de futuras conferencias,</w:t>
      </w:r>
    </w:p>
    <w:p w14:paraId="66029169" w14:textId="2A63B68D" w:rsidR="00D8253F" w:rsidRPr="006C3103" w:rsidRDefault="00D8253F" w:rsidP="00D8253F">
      <w:pPr>
        <w:pStyle w:val="Headingb"/>
        <w:rPr>
          <w:lang w:val="es-ES"/>
        </w:rPr>
      </w:pPr>
      <w:r w:rsidRPr="006C3103">
        <w:rPr>
          <w:lang w:val="es-ES"/>
        </w:rPr>
        <w:t>Antecedentes</w:t>
      </w:r>
    </w:p>
    <w:p w14:paraId="0B91466F" w14:textId="77777777" w:rsidR="00D8253F" w:rsidRPr="00D8253F" w:rsidRDefault="00D8253F" w:rsidP="00D8253F">
      <w:pPr>
        <w:rPr>
          <w:bCs/>
          <w:lang w:val="es-ES"/>
        </w:rPr>
      </w:pPr>
      <w:r w:rsidRPr="00D8253F">
        <w:rPr>
          <w:bCs/>
          <w:lang w:val="es-ES"/>
        </w:rPr>
        <w:t xml:space="preserve">La CMR-15 adoptó la resolución </w:t>
      </w:r>
      <w:r w:rsidRPr="00D8253F">
        <w:rPr>
          <w:b/>
          <w:bCs/>
          <w:lang w:val="es-ES"/>
        </w:rPr>
        <w:t>155 (CMR-15)</w:t>
      </w:r>
      <w:r w:rsidRPr="00D8253F">
        <w:rPr>
          <w:bCs/>
          <w:lang w:val="es-ES"/>
        </w:rPr>
        <w:t xml:space="preserve"> </w:t>
      </w:r>
      <w:bookmarkStart w:id="6" w:name="_Hlk8823058"/>
      <w:r w:rsidRPr="00D8253F">
        <w:rPr>
          <w:lang w:val="es-ES"/>
        </w:rPr>
        <w:t>para autorizar</w:t>
      </w:r>
      <w:bookmarkEnd w:id="6"/>
      <w:r w:rsidRPr="00D8253F">
        <w:rPr>
          <w:bCs/>
          <w:lang w:val="es-ES"/>
        </w:rPr>
        <w:t xml:space="preserve"> estaciones terrenas a bordo de aeronaves no tripuladas que funcionan con redes de satélites geoestacionarios en las bandas de frecuencias 10,95-11,2 GHz (espacio-Tierra), 11,45-11,7 GHz (espacio-Tierra), 11,7-12,2 GHz (espacio-Tierra) en la Región 2, 12,2-12,5 GHz (espacio-Tierra) en la Región 3, 12,5-12,75 GHz (espacio-Tierra) en las Regiones 1 y 3 y 19,7-20,2 GHz (espacio-Tierra), y en las bandas de frecuencias 14-14,47 GHz (Tierra-espacio) y 29,5-30,0 GHz (Tierra-espacio) asignadas al servicio fijo por satélite no sujetas a los Apéndices </w:t>
      </w:r>
      <w:r w:rsidRPr="00D8253F">
        <w:rPr>
          <w:b/>
          <w:bCs/>
          <w:lang w:val="es-ES"/>
        </w:rPr>
        <w:t>30</w:t>
      </w:r>
      <w:r w:rsidRPr="00D8253F">
        <w:rPr>
          <w:bCs/>
          <w:lang w:val="es-ES"/>
        </w:rPr>
        <w:t xml:space="preserve">, </w:t>
      </w:r>
      <w:r w:rsidRPr="00D8253F">
        <w:rPr>
          <w:b/>
          <w:bCs/>
          <w:lang w:val="es-ES"/>
        </w:rPr>
        <w:t>30A</w:t>
      </w:r>
      <w:r w:rsidRPr="00D8253F">
        <w:rPr>
          <w:bCs/>
          <w:lang w:val="es-ES"/>
        </w:rPr>
        <w:t xml:space="preserve"> y </w:t>
      </w:r>
      <w:r w:rsidRPr="00D8253F">
        <w:rPr>
          <w:b/>
          <w:bCs/>
          <w:lang w:val="es-ES"/>
        </w:rPr>
        <w:t>30B</w:t>
      </w:r>
      <w:r w:rsidRPr="00D8253F">
        <w:rPr>
          <w:bCs/>
          <w:lang w:val="es-ES"/>
        </w:rPr>
        <w:t xml:space="preserve">. Estas estaciones terrenas apoyarán los enlaces de control y comunicación sin carga útil (CNPC) de sistemas de aeronaves no tripuladas (SANT). La CMT-15 también adoptó el número </w:t>
      </w:r>
      <w:r w:rsidRPr="00D8253F">
        <w:rPr>
          <w:b/>
          <w:bCs/>
          <w:lang w:val="es-ES"/>
        </w:rPr>
        <w:t>5.484B</w:t>
      </w:r>
      <w:r w:rsidRPr="00D8253F">
        <w:rPr>
          <w:bCs/>
          <w:lang w:val="es-ES"/>
        </w:rPr>
        <w:t xml:space="preserve"> del RR en el Cuadro de atribución de bandas de frecuencias mencionadas en la Resolución </w:t>
      </w:r>
      <w:r w:rsidRPr="00D8253F">
        <w:rPr>
          <w:b/>
          <w:bCs/>
          <w:lang w:val="es-ES"/>
        </w:rPr>
        <w:t>155 (CMR-15)</w:t>
      </w:r>
      <w:r w:rsidRPr="00D8253F">
        <w:rPr>
          <w:bCs/>
          <w:lang w:val="es-ES"/>
        </w:rPr>
        <w:t>.</w:t>
      </w:r>
    </w:p>
    <w:p w14:paraId="600137B4" w14:textId="401E1A19" w:rsidR="00D8253F" w:rsidRPr="00D8253F" w:rsidRDefault="00D8253F" w:rsidP="00D8253F">
      <w:pPr>
        <w:pStyle w:val="Headingb"/>
        <w:rPr>
          <w:lang w:val="es-ES"/>
        </w:rPr>
      </w:pPr>
      <w:r w:rsidRPr="00D8253F">
        <w:rPr>
          <w:lang w:val="es-ES"/>
        </w:rPr>
        <w:t>Propuesta</w:t>
      </w:r>
      <w:r w:rsidRPr="006C3103">
        <w:rPr>
          <w:lang w:val="es-ES"/>
        </w:rPr>
        <w:t>s</w:t>
      </w:r>
    </w:p>
    <w:p w14:paraId="32461568" w14:textId="6EF7ED86" w:rsidR="00D8253F" w:rsidRPr="00D8253F" w:rsidRDefault="00D8253F" w:rsidP="00D8253F">
      <w:pPr>
        <w:rPr>
          <w:bCs/>
          <w:lang w:val="es-ES"/>
        </w:rPr>
      </w:pPr>
      <w:r w:rsidRPr="00D8253F">
        <w:rPr>
          <w:bCs/>
          <w:lang w:val="es-ES"/>
        </w:rPr>
        <w:t xml:space="preserve">La Resolución </w:t>
      </w:r>
      <w:r w:rsidRPr="00D8253F">
        <w:rPr>
          <w:b/>
          <w:bCs/>
          <w:lang w:val="es-ES"/>
        </w:rPr>
        <w:t>155 (CMR-15)</w:t>
      </w:r>
      <w:r w:rsidRPr="00D8253F">
        <w:rPr>
          <w:bCs/>
          <w:lang w:val="es-ES"/>
        </w:rPr>
        <w:t xml:space="preserve"> incluye en los párrafos resolutivos cuestiones que se deben tener en cuenta para la comunicación entre una estación terrena a bordo de una aeronave no tripulada y una red de satélites geoestacionarios del servicio fijo por satélite. Dado que el contenido de las normas y métodos recomendados (SARP) aeronáuticos internacionales aún no estaba en vigor al momento de la celebración de la conferencia, la CMR-15 resolvió 1) invitar a la CMR-23 a considerar los resultados de esos estudios que aún no se han realizado con miras a examinar y, si procede, revisar la Resolución </w:t>
      </w:r>
      <w:r w:rsidRPr="00D8253F">
        <w:rPr>
          <w:b/>
          <w:bCs/>
          <w:lang w:val="es-ES"/>
        </w:rPr>
        <w:t>155</w:t>
      </w:r>
      <w:r w:rsidR="00C9321D" w:rsidRPr="006C3103">
        <w:rPr>
          <w:bCs/>
          <w:lang w:val="es-ES"/>
        </w:rPr>
        <w:t>;</w:t>
      </w:r>
      <w:r w:rsidRPr="00D8253F">
        <w:rPr>
          <w:bCs/>
          <w:lang w:val="es-ES"/>
        </w:rPr>
        <w:t xml:space="preserve"> y 2) tomar las medidas necesarias, según convenga.</w:t>
      </w:r>
    </w:p>
    <w:p w14:paraId="45B00DFF" w14:textId="5BF91912" w:rsidR="00D8253F" w:rsidRPr="00D8253F" w:rsidRDefault="00D8253F" w:rsidP="00D8253F">
      <w:pPr>
        <w:rPr>
          <w:bCs/>
          <w:lang w:val="es-ES"/>
        </w:rPr>
      </w:pPr>
      <w:r w:rsidRPr="00D8253F">
        <w:rPr>
          <w:bCs/>
          <w:lang w:val="es-ES"/>
        </w:rPr>
        <w:t>La finalización de este asunto sirve de base para que el Director de la Oficina de Radiocomunicaciones decida sobre la tramitación de notificaciones respectivas de redes de satélite</w:t>
      </w:r>
      <w:r w:rsidR="00C87BD9" w:rsidRPr="006C3103">
        <w:rPr>
          <w:bCs/>
          <w:lang w:val="es-ES"/>
        </w:rPr>
        <w:t>s</w:t>
      </w:r>
      <w:r w:rsidRPr="00D8253F">
        <w:rPr>
          <w:bCs/>
          <w:lang w:val="es-ES"/>
        </w:rPr>
        <w:t xml:space="preserve"> mediante</w:t>
      </w:r>
      <w:r w:rsidR="00C87BD9" w:rsidRPr="006C3103">
        <w:rPr>
          <w:bCs/>
          <w:lang w:val="es-ES"/>
        </w:rPr>
        <w:t xml:space="preserve"> el</w:t>
      </w:r>
      <w:r w:rsidRPr="00D8253F">
        <w:rPr>
          <w:bCs/>
          <w:lang w:val="es-ES"/>
        </w:rPr>
        <w:t xml:space="preserve"> </w:t>
      </w:r>
      <w:r w:rsidRPr="00D8253F">
        <w:rPr>
          <w:bCs/>
          <w:i/>
          <w:lang w:val="es-ES"/>
        </w:rPr>
        <w:t xml:space="preserve">encarga al Director de la Oficina de Radiocomunicaciones </w:t>
      </w:r>
      <w:r w:rsidRPr="00D8253F">
        <w:rPr>
          <w:bCs/>
          <w:iCs/>
          <w:lang w:val="es-ES"/>
        </w:rPr>
        <w:t>4</w:t>
      </w:r>
      <w:r w:rsidRPr="00D8253F">
        <w:rPr>
          <w:bCs/>
          <w:lang w:val="es-ES"/>
        </w:rPr>
        <w:t xml:space="preserve"> de la Resolución </w:t>
      </w:r>
      <w:r w:rsidRPr="00D8253F">
        <w:rPr>
          <w:b/>
          <w:bCs/>
          <w:lang w:val="es-ES"/>
        </w:rPr>
        <w:t>155 (CMR-15)</w:t>
      </w:r>
      <w:r w:rsidRPr="00D8253F">
        <w:rPr>
          <w:bCs/>
          <w:lang w:val="es-ES"/>
        </w:rPr>
        <w:t>.</w:t>
      </w:r>
    </w:p>
    <w:p w14:paraId="0E15D9F7" w14:textId="23199FC4" w:rsidR="00D8253F" w:rsidRPr="00D8253F" w:rsidRDefault="00D8253F" w:rsidP="00D8253F">
      <w:pPr>
        <w:rPr>
          <w:bCs/>
          <w:lang w:val="es-ES"/>
        </w:rPr>
      </w:pPr>
      <w:r w:rsidRPr="00D8253F">
        <w:rPr>
          <w:bCs/>
          <w:lang w:val="es-ES"/>
        </w:rPr>
        <w:lastRenderedPageBreak/>
        <w:t>Durante el per</w:t>
      </w:r>
      <w:r w:rsidR="005208E9" w:rsidRPr="006C3103">
        <w:rPr>
          <w:bCs/>
          <w:lang w:val="es-ES"/>
        </w:rPr>
        <w:t>i</w:t>
      </w:r>
      <w:r w:rsidRPr="00D8253F">
        <w:rPr>
          <w:bCs/>
          <w:lang w:val="es-ES"/>
        </w:rPr>
        <w:t>odo de estudios 2015</w:t>
      </w:r>
      <w:r w:rsidR="005208E9" w:rsidRPr="006C3103">
        <w:rPr>
          <w:bCs/>
          <w:lang w:val="es-ES"/>
        </w:rPr>
        <w:t>-</w:t>
      </w:r>
      <w:r w:rsidRPr="00D8253F">
        <w:rPr>
          <w:bCs/>
          <w:lang w:val="es-ES"/>
        </w:rPr>
        <w:t xml:space="preserve">2019, se realizaron estudios en respuesta al </w:t>
      </w:r>
      <w:r w:rsidRPr="00D8253F">
        <w:rPr>
          <w:bCs/>
          <w:i/>
          <w:lang w:val="es-ES"/>
        </w:rPr>
        <w:t>resuelve</w:t>
      </w:r>
      <w:r w:rsidRPr="00D8253F">
        <w:rPr>
          <w:bCs/>
          <w:lang w:val="es-ES"/>
        </w:rPr>
        <w:t xml:space="preserve"> </w:t>
      </w:r>
      <w:r w:rsidRPr="00D8253F">
        <w:rPr>
          <w:bCs/>
          <w:iCs/>
          <w:lang w:val="es-ES"/>
        </w:rPr>
        <w:t>16</w:t>
      </w:r>
      <w:r w:rsidRPr="00D8253F">
        <w:rPr>
          <w:bCs/>
          <w:lang w:val="es-ES"/>
        </w:rPr>
        <w:t xml:space="preserve"> y los </w:t>
      </w:r>
      <w:r w:rsidRPr="00D8253F">
        <w:rPr>
          <w:bCs/>
          <w:i/>
          <w:lang w:val="es-ES"/>
        </w:rPr>
        <w:t xml:space="preserve">resuelve </w:t>
      </w:r>
      <w:r w:rsidRPr="00D8253F">
        <w:rPr>
          <w:bCs/>
          <w:iCs/>
          <w:lang w:val="es-ES"/>
        </w:rPr>
        <w:t>4</w:t>
      </w:r>
      <w:r w:rsidRPr="00D8253F">
        <w:rPr>
          <w:bCs/>
          <w:lang w:val="es-ES"/>
        </w:rPr>
        <w:t xml:space="preserve"> y </w:t>
      </w:r>
      <w:r w:rsidRPr="00D8253F">
        <w:rPr>
          <w:bCs/>
          <w:iCs/>
          <w:lang w:val="es-ES"/>
        </w:rPr>
        <w:t>5:</w:t>
      </w:r>
    </w:p>
    <w:p w14:paraId="7757828A" w14:textId="14DAEE58" w:rsidR="00D8253F" w:rsidRPr="006C3103" w:rsidRDefault="00867498" w:rsidP="00867498">
      <w:pPr>
        <w:pStyle w:val="enumlev1"/>
        <w:rPr>
          <w:lang w:val="es-ES"/>
        </w:rPr>
      </w:pPr>
      <w:r w:rsidRPr="00D8253F">
        <w:rPr>
          <w:bCs/>
          <w:lang w:val="es-ES"/>
        </w:rPr>
        <w:t>•</w:t>
      </w:r>
      <w:r w:rsidRPr="00D8253F">
        <w:rPr>
          <w:bCs/>
          <w:lang w:val="es-ES"/>
        </w:rPr>
        <w:tab/>
      </w:r>
      <w:r w:rsidR="00D8253F" w:rsidRPr="006C3103">
        <w:rPr>
          <w:lang w:val="es-ES"/>
        </w:rPr>
        <w:t xml:space="preserve">En el </w:t>
      </w:r>
      <w:r w:rsidRPr="006C3103">
        <w:rPr>
          <w:lang w:val="es-ES"/>
        </w:rPr>
        <w:t xml:space="preserve">Informe </w:t>
      </w:r>
      <w:r w:rsidR="00D8253F" w:rsidRPr="006C3103">
        <w:rPr>
          <w:lang w:val="es-ES"/>
        </w:rPr>
        <w:t xml:space="preserve">UIT-R M.[UAV_SYS_CHAR], se está preparando la identificación y </w:t>
      </w:r>
      <w:r w:rsidR="00D8253F" w:rsidRPr="006C3103">
        <w:rPr>
          <w:bCs/>
          <w:lang w:val="es-ES"/>
        </w:rPr>
        <w:t>compilación</w:t>
      </w:r>
      <w:r w:rsidR="00D8253F" w:rsidRPr="006C3103">
        <w:rPr>
          <w:lang w:val="es-ES"/>
        </w:rPr>
        <w:t xml:space="preserve"> de redes de satélites notificadas que operan en el SFS y de las características de las estaciones terrenas CNPC SANT en respuesta a los </w:t>
      </w:r>
      <w:r w:rsidR="00D8253F" w:rsidRPr="006C3103">
        <w:rPr>
          <w:i/>
          <w:lang w:val="es-ES"/>
        </w:rPr>
        <w:t>resuelve</w:t>
      </w:r>
      <w:r w:rsidR="00D8253F" w:rsidRPr="006C3103">
        <w:rPr>
          <w:lang w:val="es-ES"/>
        </w:rPr>
        <w:t xml:space="preserve"> </w:t>
      </w:r>
      <w:r w:rsidR="00D8253F" w:rsidRPr="006C3103">
        <w:rPr>
          <w:iCs/>
          <w:lang w:val="es-ES"/>
        </w:rPr>
        <w:t>4 y 5</w:t>
      </w:r>
      <w:r w:rsidR="00D8253F" w:rsidRPr="006C3103">
        <w:rPr>
          <w:lang w:val="es-ES"/>
        </w:rPr>
        <w:t xml:space="preserve"> considerando:</w:t>
      </w:r>
    </w:p>
    <w:p w14:paraId="7337CF9B" w14:textId="77777777" w:rsidR="00D8253F" w:rsidRPr="00D8253F" w:rsidRDefault="00D8253F" w:rsidP="00D8253F">
      <w:pPr>
        <w:pStyle w:val="enumlev1"/>
        <w:rPr>
          <w:bCs/>
          <w:lang w:val="es-ES"/>
        </w:rPr>
      </w:pPr>
      <w:r w:rsidRPr="00D8253F">
        <w:rPr>
          <w:bCs/>
          <w:lang w:val="es-ES"/>
        </w:rPr>
        <w:t>•</w:t>
      </w:r>
      <w:r w:rsidRPr="00D8253F">
        <w:rPr>
          <w:bCs/>
          <w:lang w:val="es-ES"/>
        </w:rPr>
        <w:tab/>
        <w:t xml:space="preserve">Las </w:t>
      </w:r>
      <w:r w:rsidRPr="00D8253F">
        <w:rPr>
          <w:lang w:val="es-ES"/>
        </w:rPr>
        <w:t>velocidades</w:t>
      </w:r>
      <w:r w:rsidRPr="00D8253F">
        <w:rPr>
          <w:bCs/>
          <w:lang w:val="es-ES"/>
        </w:rPr>
        <w:t xml:space="preserve"> de transmisión de datos para los enlaces CNPC basadas, en parte, en el Informe UIT-R M.2171-0 y suministradas por la OACI.</w:t>
      </w:r>
    </w:p>
    <w:p w14:paraId="3F2467AB" w14:textId="77777777" w:rsidR="00D8253F" w:rsidRPr="00D8253F" w:rsidRDefault="00D8253F" w:rsidP="00D8253F">
      <w:pPr>
        <w:pStyle w:val="enumlev1"/>
        <w:rPr>
          <w:bCs/>
          <w:lang w:val="es-ES"/>
        </w:rPr>
      </w:pPr>
      <w:r w:rsidRPr="00D8253F">
        <w:rPr>
          <w:bCs/>
          <w:lang w:val="es-ES"/>
        </w:rPr>
        <w:t>•</w:t>
      </w:r>
      <w:r w:rsidRPr="00D8253F">
        <w:rPr>
          <w:bCs/>
          <w:lang w:val="es-ES"/>
        </w:rPr>
        <w:tab/>
        <w:t>Las características de funcionamiento y del sistema de las estaciones espaciales del SFS representativas que operan dentro de los parámetros técnicos notificados y registrados que publica la Oficina de Radiocomunicaciones.</w:t>
      </w:r>
    </w:p>
    <w:p w14:paraId="72A9D66C" w14:textId="77777777" w:rsidR="00D8253F" w:rsidRPr="00D8253F" w:rsidRDefault="00D8253F" w:rsidP="002E682F">
      <w:pPr>
        <w:pStyle w:val="enumlev1"/>
        <w:rPr>
          <w:bCs/>
          <w:lang w:val="es-ES"/>
        </w:rPr>
      </w:pPr>
      <w:r w:rsidRPr="00D8253F">
        <w:rPr>
          <w:bCs/>
          <w:lang w:val="es-ES"/>
        </w:rPr>
        <w:t>•</w:t>
      </w:r>
      <w:r w:rsidRPr="00D8253F">
        <w:rPr>
          <w:bCs/>
          <w:lang w:val="es-ES"/>
        </w:rPr>
        <w:tab/>
        <w:t>Las situaciones de operación suministradas por la OACI.</w:t>
      </w:r>
    </w:p>
    <w:p w14:paraId="7893DC20" w14:textId="6163E715" w:rsidR="00D8253F" w:rsidRPr="00D8253F" w:rsidRDefault="002E682F" w:rsidP="002E682F">
      <w:pPr>
        <w:pStyle w:val="enumlev1"/>
        <w:rPr>
          <w:bCs/>
          <w:lang w:val="es-ES"/>
        </w:rPr>
      </w:pPr>
      <w:r w:rsidRPr="00D8253F">
        <w:rPr>
          <w:bCs/>
          <w:lang w:val="es-ES"/>
        </w:rPr>
        <w:t>•</w:t>
      </w:r>
      <w:r w:rsidRPr="00D8253F">
        <w:rPr>
          <w:bCs/>
          <w:lang w:val="es-ES"/>
        </w:rPr>
        <w:tab/>
      </w:r>
      <w:r w:rsidR="00D8253F" w:rsidRPr="00D8253F">
        <w:rPr>
          <w:bCs/>
          <w:lang w:val="es-ES"/>
        </w:rPr>
        <w:t xml:space="preserve">En respuesta a los </w:t>
      </w:r>
      <w:r w:rsidR="00D8253F" w:rsidRPr="00D8253F">
        <w:rPr>
          <w:bCs/>
          <w:i/>
          <w:lang w:val="es-ES"/>
        </w:rPr>
        <w:t xml:space="preserve">resuelve </w:t>
      </w:r>
      <w:r w:rsidR="00D8253F" w:rsidRPr="00D8253F">
        <w:rPr>
          <w:bCs/>
          <w:iCs/>
          <w:lang w:val="es-ES"/>
        </w:rPr>
        <w:t>14 y 15</w:t>
      </w:r>
      <w:r w:rsidR="00D8253F" w:rsidRPr="00D8253F">
        <w:rPr>
          <w:bCs/>
          <w:lang w:val="es-ES"/>
        </w:rPr>
        <w:t xml:space="preserve"> para reconsiderar los límites estrictos de densidad de flujo de potencia en el Anexo 2 de la Resolución </w:t>
      </w:r>
      <w:r w:rsidR="00D8253F" w:rsidRPr="00D8253F">
        <w:rPr>
          <w:b/>
          <w:bCs/>
          <w:lang w:val="es-ES"/>
        </w:rPr>
        <w:t>155 (CMR-15)</w:t>
      </w:r>
      <w:r w:rsidR="00D8253F" w:rsidRPr="00D8253F">
        <w:rPr>
          <w:bCs/>
          <w:lang w:val="es-ES"/>
        </w:rPr>
        <w:t xml:space="preserve"> para proteger los servicios terrestres de interferencia perjudicial en la banda de frecuencias aplicable 14</w:t>
      </w:r>
      <w:r w:rsidRPr="006C3103">
        <w:rPr>
          <w:bCs/>
          <w:lang w:val="es-ES"/>
        </w:rPr>
        <w:noBreakHyphen/>
      </w:r>
      <w:r w:rsidR="00D8253F" w:rsidRPr="00D8253F">
        <w:rPr>
          <w:bCs/>
          <w:lang w:val="es-ES"/>
        </w:rPr>
        <w:t xml:space="preserve">14,47 GHz, el UIT-R ha estado formulando una máscara nueva en el </w:t>
      </w:r>
      <w:r w:rsidRPr="006C3103">
        <w:rPr>
          <w:bCs/>
          <w:lang w:val="es-ES"/>
        </w:rPr>
        <w:t xml:space="preserve">Informe </w:t>
      </w:r>
      <w:r w:rsidR="00D8253F" w:rsidRPr="00D8253F">
        <w:rPr>
          <w:bCs/>
          <w:lang w:val="es-ES"/>
        </w:rPr>
        <w:t>UIT</w:t>
      </w:r>
      <w:r w:rsidRPr="006C3103">
        <w:rPr>
          <w:bCs/>
          <w:lang w:val="es-ES"/>
        </w:rPr>
        <w:noBreakHyphen/>
      </w:r>
      <w:r w:rsidR="00D8253F" w:rsidRPr="00D8253F">
        <w:rPr>
          <w:bCs/>
          <w:lang w:val="es-ES"/>
        </w:rPr>
        <w:t>R</w:t>
      </w:r>
      <w:r w:rsidRPr="006C3103">
        <w:rPr>
          <w:bCs/>
          <w:lang w:val="es-ES"/>
        </w:rPr>
        <w:t> </w:t>
      </w:r>
      <w:r w:rsidR="00D8253F" w:rsidRPr="00D8253F">
        <w:rPr>
          <w:bCs/>
          <w:lang w:val="es-ES"/>
        </w:rPr>
        <w:t xml:space="preserve">M.[UAV_PFD]. El </w:t>
      </w:r>
      <w:r w:rsidR="00D8253F" w:rsidRPr="00D8253F">
        <w:rPr>
          <w:bCs/>
          <w:i/>
          <w:lang w:val="es-ES"/>
        </w:rPr>
        <w:t xml:space="preserve">resuelve </w:t>
      </w:r>
      <w:r w:rsidR="00D8253F" w:rsidRPr="00D8253F">
        <w:rPr>
          <w:bCs/>
          <w:iCs/>
          <w:lang w:val="es-ES"/>
        </w:rPr>
        <w:t>16</w:t>
      </w:r>
      <w:r w:rsidR="00D8253F" w:rsidRPr="00D8253F">
        <w:rPr>
          <w:bCs/>
          <w:lang w:val="es-ES"/>
        </w:rPr>
        <w:t xml:space="preserve"> de la Resolución </w:t>
      </w:r>
      <w:r w:rsidR="00D8253F" w:rsidRPr="00D8253F">
        <w:rPr>
          <w:b/>
          <w:bCs/>
          <w:lang w:val="es-ES"/>
        </w:rPr>
        <w:t>155 (CMR-15)</w:t>
      </w:r>
      <w:r w:rsidR="00D8253F" w:rsidRPr="00D8253F">
        <w:rPr>
          <w:bCs/>
          <w:lang w:val="es-ES"/>
        </w:rPr>
        <w:t xml:space="preserve"> indica que se prevé actualizar el Anexo 2 de la Resolución </w:t>
      </w:r>
      <w:r w:rsidR="00D8253F" w:rsidRPr="00D8253F">
        <w:rPr>
          <w:b/>
          <w:bCs/>
          <w:lang w:val="es-ES"/>
        </w:rPr>
        <w:t>155 (CMR-15)</w:t>
      </w:r>
      <w:r w:rsidR="00D8253F" w:rsidRPr="00D8253F">
        <w:rPr>
          <w:bCs/>
          <w:lang w:val="es-ES"/>
        </w:rPr>
        <w:t xml:space="preserve"> en la CMR-19.</w:t>
      </w:r>
    </w:p>
    <w:p w14:paraId="5B70B13B" w14:textId="05EAC95B" w:rsidR="00D8253F" w:rsidRPr="00D8253F" w:rsidRDefault="00D8253F" w:rsidP="00D8253F">
      <w:pPr>
        <w:rPr>
          <w:bCs/>
          <w:lang w:val="es-ES"/>
        </w:rPr>
      </w:pPr>
      <w:r w:rsidRPr="00D8253F">
        <w:rPr>
          <w:bCs/>
          <w:lang w:val="es-ES"/>
        </w:rPr>
        <w:t xml:space="preserve">Cabe destacar además que la OACI formuló su primer paquete de normas y métodos recomendados sobre CNPC para SANT. La OACI trabaja actualmente en su segundo paquete de SARP (el cual ha indicado que planea finalizar para 2022) sobre técnicas específicas para enlaces CNPC que funcionarán dentro del entorno reglamentario requerido de la UIT con respecto al uso de las redes SFS para los enlaces CNPC SANT. Los </w:t>
      </w:r>
      <w:r w:rsidR="00392BED" w:rsidRPr="006C3103">
        <w:rPr>
          <w:bCs/>
          <w:i/>
          <w:lang w:val="es-ES"/>
        </w:rPr>
        <w:t>resuelve</w:t>
      </w:r>
      <w:r w:rsidR="00392BED" w:rsidRPr="006C3103">
        <w:rPr>
          <w:bCs/>
          <w:lang w:val="es-ES"/>
        </w:rPr>
        <w:t xml:space="preserve"> </w:t>
      </w:r>
      <w:r w:rsidRPr="00D8253F">
        <w:rPr>
          <w:bCs/>
          <w:lang w:val="es-ES"/>
        </w:rPr>
        <w:t xml:space="preserve">5 y 6 de la Resolución </w:t>
      </w:r>
      <w:r w:rsidRPr="00D8253F">
        <w:rPr>
          <w:b/>
          <w:lang w:val="es-ES"/>
        </w:rPr>
        <w:t>155 (CMR-15)</w:t>
      </w:r>
      <w:r w:rsidRPr="00D8253F">
        <w:rPr>
          <w:bCs/>
          <w:lang w:val="es-ES"/>
        </w:rPr>
        <w:t xml:space="preserve"> requieren que las estaciones terrenas a bordo del UAS operen dentro de los parámetros técnicos notificados y registrados de la red de satélites asociada y que tales estaciones terrenas del UAS no reclamarán más protección ni causarán más interferencia de otr</w:t>
      </w:r>
      <w:r w:rsidR="00392BED" w:rsidRPr="006C3103">
        <w:rPr>
          <w:bCs/>
          <w:lang w:val="es-ES"/>
        </w:rPr>
        <w:t>a</w:t>
      </w:r>
      <w:r w:rsidRPr="00D8253F">
        <w:rPr>
          <w:bCs/>
          <w:lang w:val="es-ES"/>
        </w:rPr>
        <w:t xml:space="preserve"> </w:t>
      </w:r>
      <w:r w:rsidR="00392BED" w:rsidRPr="006C3103">
        <w:rPr>
          <w:bCs/>
          <w:lang w:val="es-ES"/>
        </w:rPr>
        <w:t xml:space="preserve">red de satélites </w:t>
      </w:r>
      <w:r w:rsidRPr="00D8253F">
        <w:rPr>
          <w:bCs/>
          <w:lang w:val="es-ES"/>
        </w:rPr>
        <w:t xml:space="preserve">y sistemas que las estaciones terrenas específicas o típicas de la red de satélite notificada y grabada. Las obligaciones bajo los </w:t>
      </w:r>
      <w:r w:rsidR="00392BED" w:rsidRPr="006C3103">
        <w:rPr>
          <w:bCs/>
          <w:i/>
          <w:lang w:val="es-ES"/>
        </w:rPr>
        <w:t>resuelve</w:t>
      </w:r>
      <w:r w:rsidR="00392BED" w:rsidRPr="006C3103">
        <w:rPr>
          <w:bCs/>
          <w:lang w:val="es-ES"/>
        </w:rPr>
        <w:t xml:space="preserve"> </w:t>
      </w:r>
      <w:r w:rsidRPr="00D8253F">
        <w:rPr>
          <w:bCs/>
          <w:lang w:val="es-ES"/>
        </w:rPr>
        <w:t xml:space="preserve">5 y 6 se mantendrán en cualquier modificación de la Resolución </w:t>
      </w:r>
      <w:r w:rsidRPr="00D8253F">
        <w:rPr>
          <w:b/>
          <w:lang w:val="es-ES"/>
        </w:rPr>
        <w:t>155 (CMR-15)</w:t>
      </w:r>
      <w:r w:rsidRPr="00D8253F">
        <w:rPr>
          <w:bCs/>
          <w:lang w:val="es-ES"/>
        </w:rPr>
        <w:t>.</w:t>
      </w:r>
    </w:p>
    <w:p w14:paraId="0D4C1D26" w14:textId="042F6AF3" w:rsidR="00D8253F" w:rsidRPr="00D8253F" w:rsidRDefault="00D8253F" w:rsidP="00D8253F">
      <w:pPr>
        <w:rPr>
          <w:bCs/>
          <w:lang w:val="es-ES"/>
        </w:rPr>
      </w:pPr>
      <w:r w:rsidRPr="00D8253F">
        <w:rPr>
          <w:bCs/>
          <w:lang w:val="es-ES"/>
        </w:rPr>
        <w:t xml:space="preserve">Finalmente, a fin de garantizar el cumplimiento de las disposiciones de la Resolución </w:t>
      </w:r>
      <w:r w:rsidRPr="00D8253F">
        <w:rPr>
          <w:b/>
          <w:iCs/>
          <w:lang w:val="es-ES"/>
        </w:rPr>
        <w:t>155 (CMR</w:t>
      </w:r>
      <w:r w:rsidR="008A2E62" w:rsidRPr="006C3103">
        <w:rPr>
          <w:b/>
          <w:iCs/>
          <w:lang w:val="es-ES"/>
        </w:rPr>
        <w:noBreakHyphen/>
      </w:r>
      <w:r w:rsidRPr="00D8253F">
        <w:rPr>
          <w:b/>
          <w:iCs/>
          <w:lang w:val="es-ES"/>
        </w:rPr>
        <w:t>15)</w:t>
      </w:r>
      <w:r w:rsidRPr="00D8253F">
        <w:rPr>
          <w:iCs/>
          <w:lang w:val="es-ES"/>
        </w:rPr>
        <w:t xml:space="preserve"> </w:t>
      </w:r>
      <w:r w:rsidRPr="00D8253F">
        <w:rPr>
          <w:bCs/>
          <w:lang w:val="es-ES"/>
        </w:rPr>
        <w:t xml:space="preserve">en la aplicación de CNPC para SANT, la CMR-23 también debe emprender un análisis y posible revisión de la nota al pie número </w:t>
      </w:r>
      <w:r w:rsidRPr="00D8253F">
        <w:rPr>
          <w:b/>
          <w:bCs/>
          <w:lang w:val="es-ES"/>
        </w:rPr>
        <w:t>5.484B</w:t>
      </w:r>
      <w:r w:rsidRPr="00D8253F">
        <w:rPr>
          <w:bCs/>
          <w:lang w:val="es-ES"/>
        </w:rPr>
        <w:t xml:space="preserve"> del RR.</w:t>
      </w:r>
    </w:p>
    <w:p w14:paraId="02FE05B2" w14:textId="77777777" w:rsidR="008750A8" w:rsidRPr="006C3103" w:rsidRDefault="008750A8" w:rsidP="008750A8">
      <w:pPr>
        <w:tabs>
          <w:tab w:val="clear" w:pos="1134"/>
          <w:tab w:val="clear" w:pos="1871"/>
          <w:tab w:val="clear" w:pos="2268"/>
        </w:tabs>
        <w:overflowPunct/>
        <w:autoSpaceDE/>
        <w:autoSpaceDN/>
        <w:adjustRightInd/>
        <w:spacing w:before="0"/>
        <w:textAlignment w:val="auto"/>
        <w:rPr>
          <w:lang w:val="es-ES"/>
        </w:rPr>
      </w:pPr>
      <w:r w:rsidRPr="006C3103">
        <w:rPr>
          <w:lang w:val="es-ES"/>
        </w:rPr>
        <w:br w:type="page"/>
      </w:r>
    </w:p>
    <w:p w14:paraId="662D2752" w14:textId="77777777" w:rsidR="00AF0653" w:rsidRPr="006C3103" w:rsidRDefault="007F5D83">
      <w:pPr>
        <w:pStyle w:val="Proposal"/>
        <w:rPr>
          <w:lang w:val="es-ES"/>
        </w:rPr>
      </w:pPr>
      <w:r w:rsidRPr="006C3103">
        <w:rPr>
          <w:lang w:val="es-ES"/>
        </w:rPr>
        <w:lastRenderedPageBreak/>
        <w:t>ADD</w:t>
      </w:r>
      <w:r w:rsidRPr="006C3103">
        <w:rPr>
          <w:lang w:val="es-ES"/>
        </w:rPr>
        <w:tab/>
        <w:t>IAP/11A24A10/1</w:t>
      </w:r>
    </w:p>
    <w:p w14:paraId="6D4A74B1" w14:textId="6988A3F2" w:rsidR="00AF0653" w:rsidRPr="006C3103" w:rsidRDefault="007F5D83">
      <w:pPr>
        <w:pStyle w:val="ResNo"/>
        <w:rPr>
          <w:lang w:val="es-ES"/>
        </w:rPr>
      </w:pPr>
      <w:r w:rsidRPr="006C3103">
        <w:rPr>
          <w:lang w:val="es-ES"/>
        </w:rPr>
        <w:t>Proyecto de nueva Resolución</w:t>
      </w:r>
      <w:r w:rsidR="00D8253F" w:rsidRPr="006C3103">
        <w:rPr>
          <w:lang w:val="es-ES"/>
        </w:rPr>
        <w:t xml:space="preserve"> [IAP/10(J) </w:t>
      </w:r>
      <w:r w:rsidR="00D8253F" w:rsidRPr="006C3103">
        <w:rPr>
          <w:lang w:val="es-ES"/>
        </w:rPr>
        <w:t>–</w:t>
      </w:r>
      <w:r w:rsidR="00D8253F" w:rsidRPr="006C3103">
        <w:rPr>
          <w:lang w:val="es-ES"/>
        </w:rPr>
        <w:t xml:space="preserve"> 2023</w:t>
      </w:r>
      <w:r w:rsidR="00B437C8" w:rsidRPr="006C3103">
        <w:rPr>
          <w:lang w:val="es-ES"/>
        </w:rPr>
        <w:t>]</w:t>
      </w:r>
      <w:r w:rsidR="00DE4F25" w:rsidRPr="006C3103">
        <w:rPr>
          <w:lang w:val="es-ES"/>
        </w:rPr>
        <w:t xml:space="preserve"> </w:t>
      </w:r>
      <w:r w:rsidR="00D8253F" w:rsidRPr="006C3103">
        <w:rPr>
          <w:lang w:val="es-ES"/>
        </w:rPr>
        <w:t>(CMR-19)</w:t>
      </w:r>
    </w:p>
    <w:p w14:paraId="2784BF1D" w14:textId="18C0BB49" w:rsidR="00AF0653" w:rsidRPr="006C3103" w:rsidRDefault="00D8253F" w:rsidP="00095C89">
      <w:pPr>
        <w:pStyle w:val="Restitle"/>
        <w:rPr>
          <w:lang w:val="es-ES"/>
        </w:rPr>
      </w:pPr>
      <w:r w:rsidRPr="006C3103">
        <w:rPr>
          <w:lang w:val="es-ES"/>
        </w:rPr>
        <w:t>Orden del día de la Conferencia Mundial de Radiocomunicaciones de 2023</w:t>
      </w:r>
    </w:p>
    <w:p w14:paraId="6233144F" w14:textId="0D21BED5" w:rsidR="00D8253F" w:rsidRPr="006C3103" w:rsidRDefault="00D8253F" w:rsidP="00095C89">
      <w:pPr>
        <w:pStyle w:val="Normalaftertitle"/>
        <w:rPr>
          <w:lang w:val="es-ES"/>
        </w:rPr>
      </w:pPr>
      <w:r w:rsidRPr="006C3103">
        <w:rPr>
          <w:lang w:val="es-ES"/>
        </w:rPr>
        <w:t>La Conferencia Mundial de Radiocomunicaciones (Sharm-el-Sheikh,</w:t>
      </w:r>
      <w:r w:rsidR="00095C89" w:rsidRPr="006C3103">
        <w:rPr>
          <w:lang w:val="es-ES"/>
        </w:rPr>
        <w:t> </w:t>
      </w:r>
      <w:r w:rsidRPr="006C3103">
        <w:rPr>
          <w:lang w:val="es-ES"/>
        </w:rPr>
        <w:t>2019),</w:t>
      </w:r>
    </w:p>
    <w:p w14:paraId="5C9F13DB" w14:textId="77777777" w:rsidR="00D8253F" w:rsidRPr="006C3103" w:rsidRDefault="00D8253F" w:rsidP="001B1268">
      <w:pPr>
        <w:pStyle w:val="Call"/>
        <w:rPr>
          <w:lang w:val="es-ES"/>
        </w:rPr>
      </w:pPr>
      <w:r w:rsidRPr="006C3103">
        <w:rPr>
          <w:lang w:val="es-ES"/>
        </w:rPr>
        <w:t>considerando</w:t>
      </w:r>
    </w:p>
    <w:p w14:paraId="5DC9ADBF" w14:textId="77777777" w:rsidR="00D8253F" w:rsidRPr="00D8253F" w:rsidRDefault="00D8253F" w:rsidP="001B1268">
      <w:pPr>
        <w:rPr>
          <w:szCs w:val="24"/>
          <w:lang w:val="es-ES"/>
        </w:rPr>
      </w:pPr>
      <w:r w:rsidRPr="00D8253F">
        <w:rPr>
          <w:i/>
          <w:iCs/>
          <w:szCs w:val="24"/>
          <w:lang w:val="es-ES"/>
        </w:rPr>
        <w:t>a)</w:t>
      </w:r>
      <w:r w:rsidRPr="00D8253F">
        <w:rPr>
          <w:szCs w:val="24"/>
          <w:lang w:val="es-ES"/>
        </w:rPr>
        <w:tab/>
        <w:t>que, de acuerdo con el número 118 del Convenio de la UIT, el ámbito general del orden del día de una conferencia mundial de radiocomunicaciones debe establecerse con una antelación de cuatro a seis años, y que el orden del día definitivo será establecido por el Consejo dos años antes de la conferencia;</w:t>
      </w:r>
    </w:p>
    <w:p w14:paraId="1D1B5586" w14:textId="44C47B88" w:rsidR="00D8253F" w:rsidRPr="00D8253F" w:rsidRDefault="00D8253F" w:rsidP="00682DCE">
      <w:pPr>
        <w:rPr>
          <w:szCs w:val="24"/>
          <w:lang w:val="es-ES"/>
        </w:rPr>
      </w:pPr>
      <w:r w:rsidRPr="00D8253F">
        <w:rPr>
          <w:i/>
          <w:iCs/>
          <w:szCs w:val="24"/>
          <w:lang w:val="es-ES"/>
        </w:rPr>
        <w:t>b)</w:t>
      </w:r>
      <w:r w:rsidRPr="00D8253F">
        <w:rPr>
          <w:szCs w:val="24"/>
          <w:lang w:val="es-ES"/>
        </w:rPr>
        <w:tab/>
        <w:t>el Artículo 13 de la Constitución de la UIT, sobre competencia y</w:t>
      </w:r>
      <w:r w:rsidR="00682DCE" w:rsidRPr="006C3103">
        <w:rPr>
          <w:szCs w:val="24"/>
          <w:lang w:val="es-ES"/>
        </w:rPr>
        <w:t xml:space="preserve"> </w:t>
      </w:r>
      <w:r w:rsidRPr="00D8253F">
        <w:rPr>
          <w:szCs w:val="24"/>
          <w:lang w:val="es-ES"/>
        </w:rPr>
        <w:t>calendario de las conferencias mundiales de radiocomunicaciones, y el Artículo 7 del Convenio, relativo a sus órdenes del día;</w:t>
      </w:r>
    </w:p>
    <w:p w14:paraId="3CACC70D" w14:textId="097A508E" w:rsidR="00D8253F" w:rsidRPr="00D8253F" w:rsidRDefault="00D8253F" w:rsidP="000D3808">
      <w:pPr>
        <w:rPr>
          <w:szCs w:val="24"/>
          <w:lang w:val="es-ES"/>
        </w:rPr>
      </w:pPr>
      <w:r w:rsidRPr="00D8253F">
        <w:rPr>
          <w:i/>
          <w:iCs/>
          <w:szCs w:val="24"/>
          <w:lang w:val="es-ES"/>
        </w:rPr>
        <w:t>c)</w:t>
      </w:r>
      <w:r w:rsidRPr="00D8253F">
        <w:rPr>
          <w:szCs w:val="24"/>
          <w:lang w:val="es-ES"/>
        </w:rPr>
        <w:tab/>
        <w:t>las Resoluciones y Recomendaciones pertinentes de las anteriores Conferencias</w:t>
      </w:r>
      <w:r w:rsidR="000D3808" w:rsidRPr="006C3103">
        <w:rPr>
          <w:szCs w:val="24"/>
          <w:lang w:val="es-ES"/>
        </w:rPr>
        <w:t xml:space="preserve"> </w:t>
      </w:r>
      <w:r w:rsidRPr="00D8253F">
        <w:rPr>
          <w:szCs w:val="24"/>
          <w:lang w:val="es-ES"/>
        </w:rPr>
        <w:t>Administrativas Mundiales de Radiocomunicaciones (CAMR) y Conferencias Mundiales de Radiocomunicaciones (CMR),</w:t>
      </w:r>
    </w:p>
    <w:p w14:paraId="4B5D219A" w14:textId="77777777" w:rsidR="00D8253F" w:rsidRPr="00D8253F" w:rsidRDefault="00D8253F" w:rsidP="00E63937">
      <w:pPr>
        <w:pStyle w:val="Call"/>
        <w:rPr>
          <w:lang w:val="es-ES"/>
        </w:rPr>
      </w:pPr>
      <w:r w:rsidRPr="00D8253F">
        <w:rPr>
          <w:lang w:val="es-ES"/>
        </w:rPr>
        <w:t>resuelve</w:t>
      </w:r>
    </w:p>
    <w:p w14:paraId="4EDEEFA7" w14:textId="1FDC60FF" w:rsidR="00D8253F" w:rsidRPr="00D8253F" w:rsidRDefault="00D8253F" w:rsidP="000E0027">
      <w:pPr>
        <w:rPr>
          <w:szCs w:val="24"/>
          <w:lang w:val="es-ES"/>
        </w:rPr>
      </w:pPr>
      <w:r w:rsidRPr="00D8253F">
        <w:rPr>
          <w:szCs w:val="24"/>
          <w:lang w:val="es-ES"/>
        </w:rPr>
        <w:t>recomendar al Consejo que se celebre una Conferencia Mundial de Radiocomunicaciones en 2023 por un per</w:t>
      </w:r>
      <w:r w:rsidR="000E0027" w:rsidRPr="006C3103">
        <w:rPr>
          <w:szCs w:val="24"/>
          <w:lang w:val="es-ES"/>
        </w:rPr>
        <w:t>i</w:t>
      </w:r>
      <w:r w:rsidRPr="00D8253F">
        <w:rPr>
          <w:szCs w:val="24"/>
          <w:lang w:val="es-ES"/>
        </w:rPr>
        <w:t>odo máximo de cuatro semanas, con el siguiente orden del día:</w:t>
      </w:r>
    </w:p>
    <w:p w14:paraId="599CCA49" w14:textId="77777777" w:rsidR="00D8253F" w:rsidRPr="00D8253F" w:rsidRDefault="00D8253F" w:rsidP="002F6FBD">
      <w:pPr>
        <w:rPr>
          <w:szCs w:val="24"/>
          <w:lang w:val="es-ES"/>
        </w:rPr>
      </w:pPr>
      <w:r w:rsidRPr="00D8253F">
        <w:rPr>
          <w:szCs w:val="24"/>
          <w:lang w:val="es-ES"/>
        </w:rPr>
        <w:t>1</w:t>
      </w:r>
      <w:r w:rsidRPr="00D8253F">
        <w:rPr>
          <w:szCs w:val="24"/>
          <w:lang w:val="es-ES"/>
        </w:rPr>
        <w:tab/>
        <w:t>sobre la base de las propuestas de las administraciones, tomando en consideración los resultados de la CMR</w:t>
      </w:r>
      <w:r w:rsidRPr="00D8253F">
        <w:rPr>
          <w:szCs w:val="24"/>
          <w:lang w:val="es-ES"/>
        </w:rPr>
        <w:noBreakHyphen/>
        <w:t>19 y el Informe de la Reunión Preparatoria de la Conferencia, y con la debida consideración de los requisitos de los servicios existentes y futuros en las bandas bajo estudio, analizar y tomar las medidas apropiadas con respecto a los siguientes puntos:</w:t>
      </w:r>
    </w:p>
    <w:p w14:paraId="6F092C95" w14:textId="30EF2062" w:rsidR="00D8253F" w:rsidRPr="00D8253F" w:rsidRDefault="00D8253F" w:rsidP="007E16C0">
      <w:pPr>
        <w:rPr>
          <w:szCs w:val="24"/>
          <w:lang w:val="es-ES"/>
        </w:rPr>
      </w:pPr>
      <w:r w:rsidRPr="00D8253F">
        <w:rPr>
          <w:szCs w:val="24"/>
          <w:lang w:val="es-ES"/>
        </w:rPr>
        <w:t>1.[SANT.CNPC]</w:t>
      </w:r>
      <w:r w:rsidRPr="00D8253F">
        <w:rPr>
          <w:szCs w:val="24"/>
          <w:lang w:val="es-ES"/>
        </w:rPr>
        <w:tab/>
      </w:r>
      <w:r w:rsidRPr="00D8253F">
        <w:rPr>
          <w:rFonts w:ascii="TimesNewRomanPSMT" w:hAnsi="TimesNewRomanPSMT"/>
          <w:szCs w:val="24"/>
          <w:lang w:val="es-ES"/>
        </w:rPr>
        <w:t xml:space="preserve">considerar, por referencia a </w:t>
      </w:r>
      <w:r w:rsidRPr="00D8253F">
        <w:rPr>
          <w:szCs w:val="24"/>
          <w:lang w:val="es-ES"/>
        </w:rPr>
        <w:t>los</w:t>
      </w:r>
      <w:r w:rsidRPr="00D8253F">
        <w:rPr>
          <w:rFonts w:ascii="TimesNewRomanPSMT" w:hAnsi="TimesNewRomanPSMT"/>
          <w:szCs w:val="24"/>
          <w:lang w:val="es-ES"/>
        </w:rPr>
        <w:t xml:space="preserve"> estudios del UIT-R de conformidad con la Resolución </w:t>
      </w:r>
      <w:r w:rsidRPr="00D8253F">
        <w:rPr>
          <w:rFonts w:ascii="TimesNewRomanPSMT" w:hAnsi="TimesNewRomanPSMT"/>
          <w:b/>
          <w:szCs w:val="24"/>
          <w:lang w:val="es-ES"/>
        </w:rPr>
        <w:t>[</w:t>
      </w:r>
      <w:r w:rsidRPr="00D8253F">
        <w:rPr>
          <w:b/>
          <w:szCs w:val="24"/>
          <w:lang w:val="es-ES"/>
        </w:rPr>
        <w:t>IAP/10(J)/Res155</w:t>
      </w:r>
      <w:r w:rsidRPr="00D8253F">
        <w:rPr>
          <w:rFonts w:ascii="TimesNewRomanPSMT" w:hAnsi="TimesNewRomanPSMT"/>
          <w:b/>
          <w:szCs w:val="24"/>
          <w:lang w:val="es-ES"/>
        </w:rPr>
        <w:t>] (CMR-19)</w:t>
      </w:r>
      <w:r w:rsidRPr="00D8253F">
        <w:rPr>
          <w:rFonts w:ascii="TimesNewRomanPSMT" w:hAnsi="TimesNewRomanPSMT"/>
          <w:szCs w:val="24"/>
          <w:lang w:val="es-ES"/>
        </w:rPr>
        <w:t xml:space="preserve">, medidas regulatorias adecuadas, con miras a examinar y, de ser necesario, enmendar la Resolución </w:t>
      </w:r>
      <w:r w:rsidRPr="00D8253F">
        <w:rPr>
          <w:rFonts w:ascii="TimesNewRomanPSMT" w:hAnsi="TimesNewRomanPSMT"/>
          <w:b/>
          <w:szCs w:val="24"/>
          <w:lang w:val="es-ES"/>
        </w:rPr>
        <w:t>155 (CMR-15)</w:t>
      </w:r>
      <w:r w:rsidRPr="00D8253F">
        <w:rPr>
          <w:rFonts w:ascii="TimesNewRomanPSMT" w:hAnsi="TimesNewRomanPSMT"/>
          <w:szCs w:val="24"/>
          <w:lang w:val="es-ES"/>
        </w:rPr>
        <w:t xml:space="preserve"> y el número </w:t>
      </w:r>
      <w:r w:rsidRPr="00D8253F">
        <w:rPr>
          <w:rFonts w:ascii="TimesNewRomanPSMT" w:hAnsi="TimesNewRomanPSMT"/>
          <w:b/>
          <w:szCs w:val="24"/>
          <w:lang w:val="es-ES"/>
        </w:rPr>
        <w:t>5.484B</w:t>
      </w:r>
      <w:r w:rsidRPr="00D8253F">
        <w:rPr>
          <w:rFonts w:ascii="TimesNewRomanPSMT" w:hAnsi="TimesNewRomanPSMT"/>
          <w:szCs w:val="24"/>
          <w:lang w:val="es-ES"/>
        </w:rPr>
        <w:t xml:space="preserve"> del RR para contemplar el uso de redes de satélites del servicio fijo (SFS) por el control y las comunicaciones sin carga útil de sistemas de aeronaves no tripuladas</w:t>
      </w:r>
      <w:r w:rsidR="007E16C0" w:rsidRPr="006C3103">
        <w:rPr>
          <w:szCs w:val="24"/>
          <w:lang w:val="es-ES"/>
        </w:rPr>
        <w:t>,</w:t>
      </w:r>
    </w:p>
    <w:p w14:paraId="4E0036B5" w14:textId="77777777" w:rsidR="00D8253F" w:rsidRPr="00D8253F" w:rsidRDefault="00D8253F" w:rsidP="00E63937">
      <w:pPr>
        <w:pStyle w:val="Call"/>
        <w:rPr>
          <w:lang w:val="es-ES"/>
        </w:rPr>
      </w:pPr>
      <w:r w:rsidRPr="00D8253F">
        <w:rPr>
          <w:lang w:val="es-ES"/>
        </w:rPr>
        <w:t>resuelve además</w:t>
      </w:r>
    </w:p>
    <w:p w14:paraId="793F8ADA" w14:textId="77777777" w:rsidR="00D8253F" w:rsidRPr="00D8253F" w:rsidRDefault="00D8253F" w:rsidP="0039634B">
      <w:pPr>
        <w:rPr>
          <w:szCs w:val="24"/>
          <w:lang w:val="es-ES"/>
        </w:rPr>
      </w:pPr>
      <w:r w:rsidRPr="00D8253F">
        <w:rPr>
          <w:szCs w:val="24"/>
          <w:lang w:val="es-ES"/>
        </w:rPr>
        <w:t>poner en funcionamiento la Reunión Preparatoria de la Conferencia,</w:t>
      </w:r>
    </w:p>
    <w:p w14:paraId="15BEC9E1" w14:textId="77777777" w:rsidR="00D8253F" w:rsidRPr="00D8253F" w:rsidRDefault="00D8253F" w:rsidP="00E63937">
      <w:pPr>
        <w:pStyle w:val="Call"/>
        <w:rPr>
          <w:lang w:val="es-ES"/>
        </w:rPr>
      </w:pPr>
      <w:r w:rsidRPr="00D8253F">
        <w:rPr>
          <w:lang w:val="es-ES"/>
        </w:rPr>
        <w:t>invita al Consejo</w:t>
      </w:r>
    </w:p>
    <w:p w14:paraId="535379CE" w14:textId="77777777" w:rsidR="00D8253F" w:rsidRPr="00D8253F" w:rsidRDefault="00D8253F" w:rsidP="00675EF7">
      <w:pPr>
        <w:rPr>
          <w:szCs w:val="24"/>
          <w:lang w:val="es-ES"/>
        </w:rPr>
      </w:pPr>
      <w:r w:rsidRPr="00D8253F">
        <w:rPr>
          <w:szCs w:val="24"/>
          <w:lang w:val="es-ES"/>
        </w:rPr>
        <w:t>a que complete el orden del día y organice la convocatoria de la CMR</w:t>
      </w:r>
      <w:r w:rsidRPr="00D8253F">
        <w:rPr>
          <w:szCs w:val="24"/>
          <w:lang w:val="es-ES"/>
        </w:rPr>
        <w:noBreakHyphen/>
        <w:t>23, y que inicie lo antes posible las consultas necesarias con los Estados Miembros,</w:t>
      </w:r>
    </w:p>
    <w:p w14:paraId="4474AF19" w14:textId="77777777" w:rsidR="00D8253F" w:rsidRPr="00D8253F" w:rsidRDefault="00D8253F" w:rsidP="00E63937">
      <w:pPr>
        <w:pStyle w:val="Call"/>
        <w:rPr>
          <w:lang w:val="es-ES"/>
        </w:rPr>
      </w:pPr>
      <w:r w:rsidRPr="00D8253F">
        <w:rPr>
          <w:lang w:val="es-ES"/>
        </w:rPr>
        <w:t>encarga al Director de la Oficina de Radiocomunicaciones</w:t>
      </w:r>
    </w:p>
    <w:p w14:paraId="4B6E3510" w14:textId="77777777" w:rsidR="00D8253F" w:rsidRPr="00D8253F" w:rsidRDefault="00D8253F" w:rsidP="00111A83">
      <w:pPr>
        <w:rPr>
          <w:szCs w:val="24"/>
          <w:lang w:val="es-ES"/>
        </w:rPr>
      </w:pPr>
      <w:r w:rsidRPr="00D8253F">
        <w:rPr>
          <w:szCs w:val="24"/>
          <w:lang w:val="es-ES"/>
        </w:rPr>
        <w:t>realizar los arreglos necesarios para convocar a sesiones de la Reunión Preparatoria de la Conferencia y preparar un informe para la CMR</w:t>
      </w:r>
      <w:r w:rsidRPr="00D8253F">
        <w:rPr>
          <w:szCs w:val="24"/>
          <w:lang w:val="es-ES"/>
        </w:rPr>
        <w:noBreakHyphen/>
        <w:t>23,</w:t>
      </w:r>
    </w:p>
    <w:p w14:paraId="5DF67EA1" w14:textId="77777777" w:rsidR="00D8253F" w:rsidRPr="00D8253F" w:rsidRDefault="00D8253F" w:rsidP="00E63937">
      <w:pPr>
        <w:pStyle w:val="Call"/>
        <w:rPr>
          <w:lang w:val="es-ES"/>
        </w:rPr>
      </w:pPr>
      <w:r w:rsidRPr="00D8253F">
        <w:rPr>
          <w:lang w:val="es-ES"/>
        </w:rPr>
        <w:t>encarga al Secretario General</w:t>
      </w:r>
    </w:p>
    <w:p w14:paraId="5464BBD5" w14:textId="77777777" w:rsidR="00D8253F" w:rsidRPr="00D8253F" w:rsidRDefault="00D8253F" w:rsidP="00324AD4">
      <w:pPr>
        <w:rPr>
          <w:szCs w:val="24"/>
          <w:lang w:val="es-ES"/>
        </w:rPr>
      </w:pPr>
      <w:r w:rsidRPr="00D8253F">
        <w:rPr>
          <w:szCs w:val="24"/>
          <w:lang w:val="es-ES"/>
        </w:rPr>
        <w:t>que comunique la presente Resolución a las organizaciones internacionales y regionales interesadas.</w:t>
      </w:r>
    </w:p>
    <w:p w14:paraId="2AA4900E" w14:textId="4EC58C74" w:rsidR="00AF0653" w:rsidRPr="006C3103" w:rsidRDefault="007F5D83">
      <w:pPr>
        <w:pStyle w:val="Reasons"/>
        <w:rPr>
          <w:lang w:val="es-ES"/>
        </w:rPr>
      </w:pPr>
      <w:r w:rsidRPr="006C3103">
        <w:rPr>
          <w:b/>
          <w:lang w:val="es-ES"/>
        </w:rPr>
        <w:t>Motivos</w:t>
      </w:r>
      <w:r w:rsidRPr="006C3103">
        <w:rPr>
          <w:bCs/>
          <w:lang w:val="es-ES"/>
        </w:rPr>
        <w:t>:</w:t>
      </w:r>
      <w:r w:rsidRPr="006C3103">
        <w:rPr>
          <w:bCs/>
          <w:lang w:val="es-ES"/>
        </w:rPr>
        <w:tab/>
      </w:r>
      <w:r w:rsidR="00D8253F" w:rsidRPr="006C3103">
        <w:rPr>
          <w:lang w:val="es-ES"/>
        </w:rPr>
        <w:t xml:space="preserve">La Resolución </w:t>
      </w:r>
      <w:r w:rsidR="00D8253F" w:rsidRPr="006C3103">
        <w:rPr>
          <w:b/>
          <w:bCs/>
          <w:lang w:val="es-ES"/>
        </w:rPr>
        <w:t>155 (CMR-15)</w:t>
      </w:r>
      <w:r w:rsidR="00D8253F" w:rsidRPr="006C3103">
        <w:rPr>
          <w:lang w:val="es-ES"/>
        </w:rPr>
        <w:t xml:space="preserve"> requiere de análisis y posible revisión en la CMR-23.</w:t>
      </w:r>
    </w:p>
    <w:p w14:paraId="06373EBC" w14:textId="77777777" w:rsidR="00AF0653" w:rsidRPr="006C3103" w:rsidRDefault="007F5D83">
      <w:pPr>
        <w:pStyle w:val="Proposal"/>
        <w:rPr>
          <w:lang w:val="es-ES"/>
        </w:rPr>
      </w:pPr>
      <w:r w:rsidRPr="006C3103">
        <w:rPr>
          <w:lang w:val="es-ES"/>
        </w:rPr>
        <w:lastRenderedPageBreak/>
        <w:t>ADD</w:t>
      </w:r>
      <w:r w:rsidRPr="006C3103">
        <w:rPr>
          <w:lang w:val="es-ES"/>
        </w:rPr>
        <w:tab/>
        <w:t>IAP/11A24A10/2</w:t>
      </w:r>
    </w:p>
    <w:p w14:paraId="106E5704" w14:textId="3A066709" w:rsidR="00AF0653" w:rsidRPr="006C3103" w:rsidRDefault="007F5D83">
      <w:pPr>
        <w:pStyle w:val="ResNo"/>
        <w:rPr>
          <w:lang w:val="es-ES"/>
        </w:rPr>
      </w:pPr>
      <w:r w:rsidRPr="006C3103">
        <w:rPr>
          <w:lang w:val="es-ES"/>
        </w:rPr>
        <w:t xml:space="preserve">Proyecto de </w:t>
      </w:r>
      <w:r w:rsidRPr="006C3103">
        <w:rPr>
          <w:lang w:val="es-ES"/>
        </w:rPr>
        <w:t xml:space="preserve">nueva Resolución </w:t>
      </w:r>
      <w:r w:rsidR="00D8253F" w:rsidRPr="006C3103">
        <w:rPr>
          <w:lang w:val="es-ES"/>
        </w:rPr>
        <w:t>[IAP/10(J)/RES155] (CMR-19)</w:t>
      </w:r>
    </w:p>
    <w:p w14:paraId="740CE813" w14:textId="5080DEA3" w:rsidR="00AF0653" w:rsidRPr="006C3103" w:rsidRDefault="00D8253F" w:rsidP="00F96B6F">
      <w:pPr>
        <w:pStyle w:val="Restitle"/>
        <w:rPr>
          <w:lang w:val="es-ES"/>
        </w:rPr>
      </w:pPr>
      <w:r w:rsidRPr="006C3103">
        <w:rPr>
          <w:lang w:val="es-ES"/>
        </w:rPr>
        <w:t xml:space="preserve">Análisis y posible revisión de la Resolución 155 (CMR-15) y el número 5.484B del RR en las </w:t>
      </w:r>
      <w:r w:rsidRPr="00F96B6F">
        <w:t>bandas</w:t>
      </w:r>
      <w:r w:rsidRPr="006C3103">
        <w:rPr>
          <w:lang w:val="es-ES"/>
        </w:rPr>
        <w:t xml:space="preserve"> de frecuencias a las que se aplican para contemplar </w:t>
      </w:r>
      <w:r w:rsidR="00B437C8" w:rsidRPr="006C3103">
        <w:rPr>
          <w:lang w:val="es-ES"/>
        </w:rPr>
        <w:br/>
      </w:r>
      <w:r w:rsidRPr="006C3103">
        <w:rPr>
          <w:lang w:val="es-ES"/>
        </w:rPr>
        <w:t xml:space="preserve">el uso de las redes de SFS por control y comunicaciones sin </w:t>
      </w:r>
      <w:r w:rsidR="0034744B">
        <w:rPr>
          <w:lang w:val="es-ES"/>
        </w:rPr>
        <w:br/>
      </w:r>
      <w:r w:rsidRPr="006C3103">
        <w:rPr>
          <w:lang w:val="es-ES"/>
        </w:rPr>
        <w:t>carga útil de sistemas de aeronaves no tripuladas</w:t>
      </w:r>
    </w:p>
    <w:p w14:paraId="4DA1955F" w14:textId="773754B2" w:rsidR="00D8253F" w:rsidRPr="006C3103" w:rsidRDefault="00D8253F" w:rsidP="00B437C8">
      <w:pPr>
        <w:pStyle w:val="Normalaftertitle"/>
        <w:rPr>
          <w:rFonts w:cs="TimesNewRomanPSMT"/>
          <w:lang w:val="es-ES"/>
        </w:rPr>
      </w:pPr>
      <w:r w:rsidRPr="006C3103">
        <w:rPr>
          <w:lang w:val="es-ES"/>
        </w:rPr>
        <w:t>La Conferencia Mundial de Radiocomunicaciones (Sharm el-Sheikh,</w:t>
      </w:r>
      <w:r w:rsidR="00B437C8" w:rsidRPr="006C3103">
        <w:rPr>
          <w:lang w:val="es-ES"/>
        </w:rPr>
        <w:t> </w:t>
      </w:r>
      <w:r w:rsidRPr="006C3103">
        <w:rPr>
          <w:lang w:val="es-ES"/>
        </w:rPr>
        <w:t>2019),</w:t>
      </w:r>
    </w:p>
    <w:p w14:paraId="4AEC42E4" w14:textId="21AC23C6" w:rsidR="00D8253F" w:rsidRPr="006C3103" w:rsidRDefault="00D8253F" w:rsidP="00F550FE">
      <w:pPr>
        <w:pStyle w:val="Call"/>
        <w:rPr>
          <w:lang w:val="es-ES"/>
        </w:rPr>
      </w:pPr>
      <w:r w:rsidRPr="006C3103">
        <w:rPr>
          <w:lang w:val="es-ES"/>
        </w:rPr>
        <w:t>considerando</w:t>
      </w:r>
    </w:p>
    <w:p w14:paraId="64CEF573" w14:textId="77777777" w:rsidR="00D8253F" w:rsidRPr="006C3103" w:rsidRDefault="00D8253F" w:rsidP="00F550FE">
      <w:pPr>
        <w:rPr>
          <w:rFonts w:cs="TimesNewRomanPS-ItalicMT"/>
          <w:lang w:val="es-ES"/>
        </w:rPr>
      </w:pPr>
      <w:r w:rsidRPr="006C3103">
        <w:rPr>
          <w:i/>
          <w:lang w:val="es-ES"/>
        </w:rPr>
        <w:t>a)</w:t>
      </w:r>
      <w:r w:rsidRPr="006C3103">
        <w:rPr>
          <w:i/>
          <w:lang w:val="es-ES"/>
        </w:rPr>
        <w:tab/>
      </w:r>
      <w:r w:rsidRPr="006C3103">
        <w:rPr>
          <w:lang w:val="es-ES"/>
        </w:rPr>
        <w:t>que existe urgencia para concluir la formulación de disposiciones regulatorias para permitir el acceso a atribuciones del servicio fijo por satélite (SFS) para respaldar la aplicación de enlaces de control y comunicaciones sin carga útil (CNPC) de sistemas de aeronaves no tripuladas (SANT);</w:t>
      </w:r>
    </w:p>
    <w:p w14:paraId="72AB27B2" w14:textId="77777777" w:rsidR="00D8253F" w:rsidRPr="006C3103" w:rsidRDefault="00D8253F" w:rsidP="00F550FE">
      <w:pPr>
        <w:rPr>
          <w:lang w:val="es-ES"/>
        </w:rPr>
      </w:pPr>
      <w:r w:rsidRPr="006C3103">
        <w:rPr>
          <w:i/>
          <w:iCs/>
          <w:lang w:val="es-ES"/>
        </w:rPr>
        <w:t>b)</w:t>
      </w:r>
      <w:r w:rsidRPr="006C3103">
        <w:rPr>
          <w:lang w:val="es-ES"/>
        </w:rPr>
        <w:tab/>
        <w:t xml:space="preserve">que el UIT-R ha avanzado apreciablemente en la ejecución de los resuelve de la Resolución </w:t>
      </w:r>
      <w:r w:rsidRPr="006C3103">
        <w:rPr>
          <w:b/>
          <w:bCs/>
          <w:lang w:val="es-ES"/>
        </w:rPr>
        <w:t>155 (CMR-15)</w:t>
      </w:r>
      <w:r w:rsidRPr="006C3103">
        <w:rPr>
          <w:lang w:val="es-ES"/>
        </w:rPr>
        <w:t>;</w:t>
      </w:r>
    </w:p>
    <w:p w14:paraId="2B1EDF96" w14:textId="11CED5B2" w:rsidR="00D8253F" w:rsidRPr="006C3103" w:rsidRDefault="00D8253F" w:rsidP="00F550FE">
      <w:pPr>
        <w:rPr>
          <w:lang w:val="es-ES"/>
        </w:rPr>
      </w:pPr>
      <w:r w:rsidRPr="006C3103">
        <w:rPr>
          <w:i/>
          <w:iCs/>
          <w:lang w:val="es-ES"/>
        </w:rPr>
        <w:t>c)</w:t>
      </w:r>
      <w:r w:rsidRPr="006C3103">
        <w:rPr>
          <w:lang w:val="es-ES"/>
        </w:rPr>
        <w:tab/>
        <w:t>que la OACI está formulando normas y métodos recomendados (SARP) para garantizar que los aspectos técnicos de los satélites del SFS puedan ofrecer enlaces CNPC SANT seguros y</w:t>
      </w:r>
      <w:r w:rsidR="00335BC1" w:rsidRPr="006C3103">
        <w:rPr>
          <w:lang w:val="es-ES"/>
        </w:rPr>
        <w:t> </w:t>
      </w:r>
      <w:r w:rsidRPr="006C3103">
        <w:rPr>
          <w:lang w:val="es-ES"/>
        </w:rPr>
        <w:t>fiables,</w:t>
      </w:r>
    </w:p>
    <w:p w14:paraId="5A744426" w14:textId="3257EBAF" w:rsidR="00D8253F" w:rsidRPr="006C3103" w:rsidRDefault="00D8253F" w:rsidP="00F550FE">
      <w:pPr>
        <w:pStyle w:val="Call"/>
        <w:rPr>
          <w:lang w:val="es-ES"/>
        </w:rPr>
      </w:pPr>
      <w:r w:rsidRPr="006C3103">
        <w:rPr>
          <w:lang w:val="es-ES"/>
        </w:rPr>
        <w:t>reconociendo</w:t>
      </w:r>
    </w:p>
    <w:p w14:paraId="39674AA9" w14:textId="77777777" w:rsidR="00D8253F" w:rsidRPr="006C3103" w:rsidRDefault="00D8253F" w:rsidP="00F550FE">
      <w:pPr>
        <w:rPr>
          <w:lang w:val="es-ES"/>
        </w:rPr>
      </w:pPr>
      <w:r w:rsidRPr="006C3103">
        <w:rPr>
          <w:i/>
          <w:iCs/>
          <w:lang w:val="es-ES"/>
        </w:rPr>
        <w:t>a)</w:t>
      </w:r>
      <w:r w:rsidRPr="006C3103">
        <w:rPr>
          <w:lang w:val="es-ES"/>
        </w:rPr>
        <w:tab/>
        <w:t xml:space="preserve">que la Resolución </w:t>
      </w:r>
      <w:r w:rsidRPr="006C3103">
        <w:rPr>
          <w:b/>
          <w:bCs/>
          <w:lang w:val="es-ES"/>
        </w:rPr>
        <w:t>155 (CMR-15)</w:t>
      </w:r>
      <w:r w:rsidRPr="006C3103">
        <w:rPr>
          <w:lang w:val="es-ES"/>
        </w:rPr>
        <w:t xml:space="preserve"> resuelve invitar a la Conferencia Mundial de Radiocomunicaciones de 2023 a considerar los resultados de los estudios del UIT-R con miras a examinar y, si procede, revisar la Resolución </w:t>
      </w:r>
      <w:r w:rsidRPr="006C3103">
        <w:rPr>
          <w:b/>
          <w:bCs/>
          <w:lang w:val="es-ES"/>
        </w:rPr>
        <w:t>155 (CMR-15)</w:t>
      </w:r>
      <w:r w:rsidRPr="006C3103">
        <w:rPr>
          <w:lang w:val="es-ES"/>
        </w:rPr>
        <w:t>, y tomar las medidas necesarias, según convenga;</w:t>
      </w:r>
    </w:p>
    <w:p w14:paraId="4AA7FB9A" w14:textId="6924D362" w:rsidR="00D8253F" w:rsidRPr="006C3103" w:rsidRDefault="00D8253F" w:rsidP="006A1C3E">
      <w:pPr>
        <w:rPr>
          <w:lang w:val="es-ES"/>
        </w:rPr>
      </w:pPr>
      <w:r w:rsidRPr="006C3103">
        <w:rPr>
          <w:i/>
          <w:iCs/>
          <w:lang w:val="es-ES"/>
        </w:rPr>
        <w:t>b)</w:t>
      </w:r>
      <w:r w:rsidRPr="006C3103">
        <w:rPr>
          <w:lang w:val="es-ES"/>
        </w:rPr>
        <w:tab/>
        <w:t xml:space="preserve">que el número </w:t>
      </w:r>
      <w:r w:rsidRPr="006C3103">
        <w:rPr>
          <w:b/>
          <w:bCs/>
          <w:lang w:val="es-ES"/>
        </w:rPr>
        <w:t>5.484B</w:t>
      </w:r>
      <w:r w:rsidRPr="006C3103">
        <w:rPr>
          <w:lang w:val="es-ES"/>
        </w:rPr>
        <w:t xml:space="preserve"> del RR aprobado en la CMR-15 hace referencia a la Resolución</w:t>
      </w:r>
      <w:r w:rsidR="006A1C3E" w:rsidRPr="006C3103">
        <w:rPr>
          <w:lang w:val="es-ES"/>
        </w:rPr>
        <w:t> </w:t>
      </w:r>
      <w:r w:rsidRPr="006C3103">
        <w:rPr>
          <w:b/>
          <w:bCs/>
          <w:lang w:val="es-ES"/>
        </w:rPr>
        <w:t>155 (CMR-15)</w:t>
      </w:r>
      <w:r w:rsidRPr="006C3103">
        <w:rPr>
          <w:lang w:val="es-ES"/>
        </w:rPr>
        <w:t xml:space="preserve"> en el Cuadro de atribuciones de frecuencias sin texto que garantice el cumplimiento de esas disposiciones</w:t>
      </w:r>
      <w:r w:rsidR="006A1C3E" w:rsidRPr="006C3103">
        <w:rPr>
          <w:lang w:val="es-ES"/>
        </w:rPr>
        <w:t>;</w:t>
      </w:r>
    </w:p>
    <w:p w14:paraId="296C245B" w14:textId="57B1EE99" w:rsidR="00D8253F" w:rsidRPr="006C3103" w:rsidRDefault="00D8253F" w:rsidP="006F6738">
      <w:pPr>
        <w:rPr>
          <w:lang w:val="es-ES"/>
        </w:rPr>
      </w:pPr>
      <w:r w:rsidRPr="006C3103">
        <w:rPr>
          <w:i/>
          <w:iCs/>
          <w:lang w:val="es-ES"/>
        </w:rPr>
        <w:t>c)</w:t>
      </w:r>
      <w:r w:rsidRPr="006C3103">
        <w:rPr>
          <w:lang w:val="es-ES"/>
        </w:rPr>
        <w:tab/>
        <w:t xml:space="preserve">que las obligaciones en virtud de los </w:t>
      </w:r>
      <w:r w:rsidR="006F6738" w:rsidRPr="006C3103">
        <w:rPr>
          <w:i/>
          <w:iCs/>
          <w:lang w:val="es-ES"/>
        </w:rPr>
        <w:t>resuelve</w:t>
      </w:r>
      <w:r w:rsidR="006F6738" w:rsidRPr="006C3103">
        <w:rPr>
          <w:lang w:val="es-ES"/>
        </w:rPr>
        <w:t xml:space="preserve"> </w:t>
      </w:r>
      <w:r w:rsidRPr="006C3103">
        <w:rPr>
          <w:lang w:val="es-ES"/>
        </w:rPr>
        <w:t xml:space="preserve">5 y 6 deben mantenerse en cualquier modificación de la Resolución </w:t>
      </w:r>
      <w:r w:rsidRPr="006C3103">
        <w:rPr>
          <w:b/>
          <w:bCs/>
          <w:lang w:val="es-ES"/>
        </w:rPr>
        <w:t>155 (CMR-15)</w:t>
      </w:r>
      <w:r w:rsidRPr="006C3103">
        <w:rPr>
          <w:lang w:val="es-ES"/>
        </w:rPr>
        <w:t>,</w:t>
      </w:r>
    </w:p>
    <w:p w14:paraId="34BB6FA1" w14:textId="747731A6" w:rsidR="00D8253F" w:rsidRPr="006C3103" w:rsidRDefault="00D8253F" w:rsidP="00AE2C7E">
      <w:pPr>
        <w:pStyle w:val="Call"/>
        <w:rPr>
          <w:lang w:val="es-ES"/>
        </w:rPr>
      </w:pPr>
      <w:r w:rsidRPr="006C3103">
        <w:rPr>
          <w:lang w:val="es-ES"/>
        </w:rPr>
        <w:t>resuelve invitar al UIT-R</w:t>
      </w:r>
    </w:p>
    <w:p w14:paraId="15B652A6" w14:textId="1BB8996E" w:rsidR="00D8253F" w:rsidRPr="006C3103" w:rsidRDefault="00D8253F" w:rsidP="00AE2C7E">
      <w:pPr>
        <w:rPr>
          <w:rFonts w:cs="TimesNewRomanPS-ItalicMT"/>
          <w:lang w:val="es-ES"/>
        </w:rPr>
      </w:pPr>
      <w:r w:rsidRPr="006C3103">
        <w:rPr>
          <w:lang w:val="es-ES"/>
        </w:rPr>
        <w:t>1</w:t>
      </w:r>
      <w:r w:rsidRPr="006C3103">
        <w:rPr>
          <w:lang w:val="es-ES"/>
        </w:rPr>
        <w:tab/>
        <w:t xml:space="preserve">a llevar a cabo a tiempo para la CMR-23 estudios pertinentes de los aspectos técnicos, operativos y regulatorios en relación con la aplicación de la Resolución </w:t>
      </w:r>
      <w:r w:rsidRPr="006C3103">
        <w:rPr>
          <w:b/>
          <w:lang w:val="es-ES"/>
        </w:rPr>
        <w:t>155 (CMR-15)</w:t>
      </w:r>
      <w:r w:rsidRPr="006C3103">
        <w:rPr>
          <w:lang w:val="es-ES"/>
        </w:rPr>
        <w:t>;</w:t>
      </w:r>
    </w:p>
    <w:p w14:paraId="0E8D7802" w14:textId="13E2C8A3" w:rsidR="00D8253F" w:rsidRPr="006C3103" w:rsidRDefault="00D8253F" w:rsidP="00AE2C7E">
      <w:pPr>
        <w:rPr>
          <w:rFonts w:cs="TimesNewRomanPS-ItalicMT"/>
          <w:i/>
          <w:lang w:val="es-ES"/>
        </w:rPr>
      </w:pPr>
      <w:r w:rsidRPr="006C3103">
        <w:rPr>
          <w:lang w:val="es-ES"/>
        </w:rPr>
        <w:t>2</w:t>
      </w:r>
      <w:r w:rsidRPr="006C3103">
        <w:rPr>
          <w:lang w:val="es-ES"/>
        </w:rPr>
        <w:tab/>
        <w:t xml:space="preserve">a llevar a cabo a tiempo para la CMR-23 estudios pertinentes del número </w:t>
      </w:r>
      <w:r w:rsidRPr="006C3103">
        <w:rPr>
          <w:b/>
          <w:lang w:val="es-ES"/>
        </w:rPr>
        <w:t>5.484B</w:t>
      </w:r>
      <w:r w:rsidRPr="006C3103">
        <w:rPr>
          <w:lang w:val="es-ES"/>
        </w:rPr>
        <w:t xml:space="preserve"> del RR e identificar toda revisión necesaria para garantizar el cumplimiento de las disposiciones de la Resolución </w:t>
      </w:r>
      <w:r w:rsidRPr="006C3103">
        <w:rPr>
          <w:b/>
          <w:lang w:val="es-ES"/>
        </w:rPr>
        <w:t>155 (CMR-15)</w:t>
      </w:r>
      <w:r w:rsidRPr="006C3103">
        <w:rPr>
          <w:lang w:val="es-ES"/>
        </w:rPr>
        <w:t xml:space="preserve"> durante la implementación de CPNC para SANT,</w:t>
      </w:r>
    </w:p>
    <w:p w14:paraId="6441A610" w14:textId="44141D38" w:rsidR="00D8253F" w:rsidRPr="006C3103" w:rsidRDefault="00D8253F" w:rsidP="00AE2C7E">
      <w:pPr>
        <w:pStyle w:val="Call"/>
        <w:rPr>
          <w:lang w:val="es-ES"/>
        </w:rPr>
      </w:pPr>
      <w:r w:rsidRPr="006C3103">
        <w:rPr>
          <w:lang w:val="es-ES"/>
        </w:rPr>
        <w:t>resuelve además invitar a la CMR-23</w:t>
      </w:r>
    </w:p>
    <w:p w14:paraId="458C9CA3" w14:textId="77777777" w:rsidR="00D8253F" w:rsidRPr="006C3103" w:rsidRDefault="00D8253F" w:rsidP="00AE2C7E">
      <w:pPr>
        <w:rPr>
          <w:lang w:val="es-ES"/>
        </w:rPr>
      </w:pPr>
      <w:r w:rsidRPr="006C3103">
        <w:rPr>
          <w:lang w:val="es-ES"/>
        </w:rPr>
        <w:t>a tomar, sobre la base de los estudios realizados conforme a los resuelve invitar al UIT-R antes mencionados, medidas regulatorias adecuadas.</w:t>
      </w:r>
    </w:p>
    <w:p w14:paraId="08503087" w14:textId="47ABC8F1" w:rsidR="00AF0653" w:rsidRPr="006C3103" w:rsidRDefault="007F5D83">
      <w:pPr>
        <w:pStyle w:val="Reasons"/>
        <w:rPr>
          <w:lang w:val="es-ES"/>
        </w:rPr>
      </w:pPr>
      <w:r w:rsidRPr="006C3103">
        <w:rPr>
          <w:b/>
          <w:lang w:val="es-ES"/>
        </w:rPr>
        <w:t>Motivos</w:t>
      </w:r>
      <w:r w:rsidRPr="006C3103">
        <w:rPr>
          <w:bCs/>
          <w:lang w:val="es-ES"/>
        </w:rPr>
        <w:t>:</w:t>
      </w:r>
      <w:r w:rsidRPr="006C3103">
        <w:rPr>
          <w:bCs/>
          <w:lang w:val="es-ES"/>
        </w:rPr>
        <w:tab/>
      </w:r>
      <w:r w:rsidR="00D8253F" w:rsidRPr="006C3103">
        <w:rPr>
          <w:lang w:val="es-ES"/>
        </w:rPr>
        <w:t>Una resolución respaldará los estudios del UIT-R necesarios según el punto pertinente del orden del día de la CMR-23.</w:t>
      </w:r>
    </w:p>
    <w:p w14:paraId="076253A8" w14:textId="77777777" w:rsidR="00AF0653" w:rsidRPr="006C3103" w:rsidRDefault="007F5D83">
      <w:pPr>
        <w:pStyle w:val="Proposal"/>
        <w:rPr>
          <w:lang w:val="es-ES"/>
        </w:rPr>
      </w:pPr>
      <w:r w:rsidRPr="006C3103">
        <w:rPr>
          <w:lang w:val="es-ES"/>
        </w:rPr>
        <w:lastRenderedPageBreak/>
        <w:t>SUP</w:t>
      </w:r>
      <w:r w:rsidRPr="006C3103">
        <w:rPr>
          <w:lang w:val="es-ES"/>
        </w:rPr>
        <w:tab/>
        <w:t>IAP/11A24A10/3</w:t>
      </w:r>
    </w:p>
    <w:p w14:paraId="623018BD" w14:textId="77777777" w:rsidR="007B7DBC" w:rsidRPr="006C3103" w:rsidRDefault="007F5D83" w:rsidP="000E1074">
      <w:pPr>
        <w:pStyle w:val="ResNo"/>
        <w:rPr>
          <w:lang w:val="es-ES"/>
        </w:rPr>
      </w:pPr>
      <w:r w:rsidRPr="006C3103">
        <w:rPr>
          <w:lang w:val="es-ES"/>
        </w:rPr>
        <w:t xml:space="preserve">RESOLUCIÓN </w:t>
      </w:r>
      <w:r w:rsidRPr="006C3103">
        <w:rPr>
          <w:rStyle w:val="href"/>
          <w:lang w:val="es-ES"/>
        </w:rPr>
        <w:t>810</w:t>
      </w:r>
      <w:r w:rsidRPr="006C3103">
        <w:rPr>
          <w:lang w:val="es-ES"/>
        </w:rPr>
        <w:t xml:space="preserve"> (CMR-15)</w:t>
      </w:r>
    </w:p>
    <w:p w14:paraId="6A31FA27" w14:textId="77777777" w:rsidR="007B7DBC" w:rsidRPr="006C3103" w:rsidRDefault="007F5D83" w:rsidP="007B7DBC">
      <w:pPr>
        <w:pStyle w:val="Restitle"/>
        <w:rPr>
          <w:lang w:val="es-ES"/>
        </w:rPr>
      </w:pPr>
      <w:bookmarkStart w:id="7" w:name="_Toc320536610"/>
      <w:r w:rsidRPr="006C3103">
        <w:rPr>
          <w:lang w:val="es-ES"/>
        </w:rPr>
        <w:t>Orden del día preliminar de la Conferencia Mundial</w:t>
      </w:r>
      <w:r w:rsidRPr="006C3103">
        <w:rPr>
          <w:lang w:val="es-ES"/>
        </w:rPr>
        <w:br/>
        <w:t>de Radiocomunicaciones de 20</w:t>
      </w:r>
      <w:bookmarkEnd w:id="7"/>
      <w:r w:rsidRPr="006C3103">
        <w:rPr>
          <w:lang w:val="es-ES"/>
        </w:rPr>
        <w:t>23</w:t>
      </w:r>
    </w:p>
    <w:p w14:paraId="05B0FFC8" w14:textId="10454A96" w:rsidR="00AF0653" w:rsidRPr="006C3103" w:rsidRDefault="007F5D83">
      <w:pPr>
        <w:pStyle w:val="Reasons"/>
        <w:rPr>
          <w:lang w:val="es-ES"/>
        </w:rPr>
      </w:pPr>
      <w:r w:rsidRPr="006C3103">
        <w:rPr>
          <w:b/>
          <w:lang w:val="es-ES"/>
        </w:rPr>
        <w:t>Motivos</w:t>
      </w:r>
      <w:r w:rsidRPr="006C3103">
        <w:rPr>
          <w:bCs/>
          <w:lang w:val="es-ES"/>
        </w:rPr>
        <w:t>:</w:t>
      </w:r>
      <w:r w:rsidRPr="006C3103">
        <w:rPr>
          <w:bCs/>
          <w:lang w:val="es-ES"/>
        </w:rPr>
        <w:tab/>
      </w:r>
      <w:r w:rsidR="00D8253F" w:rsidRPr="006C3103">
        <w:rPr>
          <w:lang w:val="es-ES"/>
        </w:rPr>
        <w:t>Esta Resolución debe suprimirse, ya que la CMR-19 establecerá una nueva Resolución que incorporará el orden del día de la CMR-23.</w:t>
      </w:r>
      <w:bookmarkStart w:id="8" w:name="_GoBack"/>
      <w:bookmarkEnd w:id="8"/>
    </w:p>
    <w:p w14:paraId="4D4B0ED9" w14:textId="3FE87288" w:rsidR="00D8253F" w:rsidRPr="006C3103" w:rsidRDefault="00D8253F" w:rsidP="007F5D83">
      <w:pPr>
        <w:rPr>
          <w:lang w:val="es-ES"/>
        </w:rPr>
      </w:pPr>
      <w:r w:rsidRPr="006C3103">
        <w:rPr>
          <w:lang w:val="es-ES"/>
        </w:rPr>
        <w:br w:type="page"/>
      </w:r>
    </w:p>
    <w:p w14:paraId="52C3618B" w14:textId="77777777" w:rsidR="00D8253F" w:rsidRPr="006C3103" w:rsidRDefault="00D8253F" w:rsidP="00D8253F">
      <w:pPr>
        <w:jc w:val="center"/>
        <w:rPr>
          <w:rFonts w:ascii="TimesNewRomanPS-BoldMT" w:hAnsi="TimesNewRomanPS-BoldMT" w:cs="TimesNewRomanPS-BoldMT"/>
          <w:b/>
          <w:bCs/>
          <w:sz w:val="22"/>
          <w:szCs w:val="22"/>
          <w:lang w:val="es-ES"/>
        </w:rPr>
      </w:pPr>
      <w:r w:rsidRPr="006C3103">
        <w:rPr>
          <w:rFonts w:ascii="TimesNewRomanPS-BoldMT" w:hAnsi="TimesNewRomanPS-BoldMT"/>
          <w:b/>
          <w:bCs/>
          <w:sz w:val="22"/>
          <w:szCs w:val="22"/>
          <w:lang w:val="es-ES"/>
        </w:rPr>
        <w:lastRenderedPageBreak/>
        <w:t>DOCUMENTO ADJUNTO</w:t>
      </w:r>
    </w:p>
    <w:p w14:paraId="2C81E99D" w14:textId="77777777" w:rsidR="00D8253F" w:rsidRPr="006C3103" w:rsidRDefault="00D8253F" w:rsidP="00D8253F">
      <w:pPr>
        <w:rPr>
          <w:rFonts w:ascii="TimesNewRomanPSMT" w:hAnsi="TimesNewRomanPSMT" w:cs="TimesNewRomanPSMT"/>
          <w:sz w:val="22"/>
          <w:szCs w:val="22"/>
          <w:lang w:val="es-ES"/>
        </w:rPr>
      </w:pPr>
    </w:p>
    <w:p w14:paraId="0EEBF6E4" w14:textId="4999C7BB" w:rsidR="00D8253F" w:rsidRPr="006C3103" w:rsidRDefault="00D8253F" w:rsidP="00D8253F">
      <w:pPr>
        <w:jc w:val="both"/>
        <w:rPr>
          <w:rFonts w:ascii="TimesNewRomanPS-BoldMT" w:hAnsi="TimesNewRomanPS-BoldMT" w:cs="TimesNewRomanPS-BoldMT"/>
          <w:b/>
          <w:bCs/>
          <w:sz w:val="22"/>
          <w:szCs w:val="22"/>
          <w:lang w:val="es-ES"/>
        </w:rPr>
      </w:pPr>
      <w:r w:rsidRPr="006C3103">
        <w:rPr>
          <w:rFonts w:ascii="TimesNewRomanPSMT" w:hAnsi="TimesNewRomanPSMT"/>
          <w:b/>
          <w:sz w:val="22"/>
          <w:szCs w:val="22"/>
          <w:lang w:val="es-ES"/>
        </w:rPr>
        <w:t>Asunto</w:t>
      </w:r>
      <w:r w:rsidRPr="006C3103">
        <w:rPr>
          <w:rFonts w:ascii="TimesNewRomanPSMT" w:hAnsi="TimesNewRomanPSMT"/>
          <w:bCs/>
          <w:sz w:val="22"/>
          <w:szCs w:val="22"/>
          <w:lang w:val="es-ES"/>
        </w:rPr>
        <w:t xml:space="preserve">: </w:t>
      </w:r>
      <w:r w:rsidRPr="006C3103">
        <w:rPr>
          <w:rFonts w:ascii="TimesNewRomanPSMT" w:hAnsi="TimesNewRomanPSMT"/>
          <w:sz w:val="22"/>
          <w:szCs w:val="22"/>
          <w:lang w:val="es-ES"/>
        </w:rPr>
        <w:t xml:space="preserve">Propuesta de punto del orden del día de la CMR futuro para la CMR-2023 con el fin de considerar los resultados de los estudios sobre el Examen y posible revisión de la Resolución </w:t>
      </w:r>
      <w:r w:rsidRPr="006C3103">
        <w:rPr>
          <w:rFonts w:ascii="TimesNewRomanPSMT" w:hAnsi="TimesNewRomanPSMT"/>
          <w:b/>
          <w:bCs/>
          <w:sz w:val="22"/>
          <w:szCs w:val="22"/>
          <w:lang w:val="es-ES"/>
        </w:rPr>
        <w:t>155</w:t>
      </w:r>
      <w:r w:rsidRPr="006C3103">
        <w:rPr>
          <w:rFonts w:ascii="TimesNewRomanPSMT" w:hAnsi="TimesNewRomanPSMT"/>
          <w:sz w:val="22"/>
          <w:szCs w:val="22"/>
          <w:lang w:val="es-ES"/>
        </w:rPr>
        <w:t xml:space="preserve"> (</w:t>
      </w:r>
      <w:r w:rsidRPr="006C3103">
        <w:rPr>
          <w:rFonts w:ascii="TimesNewRomanPSMT" w:hAnsi="TimesNewRomanPSMT"/>
          <w:b/>
          <w:bCs/>
          <w:sz w:val="22"/>
          <w:szCs w:val="22"/>
          <w:lang w:val="es-ES"/>
        </w:rPr>
        <w:t>CMR-15</w:t>
      </w:r>
      <w:r w:rsidRPr="006C3103">
        <w:rPr>
          <w:rFonts w:ascii="TimesNewRomanPSMT" w:hAnsi="TimesNewRomanPSMT"/>
          <w:sz w:val="22"/>
          <w:szCs w:val="22"/>
          <w:lang w:val="es-ES"/>
        </w:rPr>
        <w:t>) y el número</w:t>
      </w:r>
      <w:r w:rsidR="00072CA8" w:rsidRPr="006C3103">
        <w:rPr>
          <w:rFonts w:ascii="TimesNewRomanPSMT" w:hAnsi="TimesNewRomanPSMT"/>
          <w:sz w:val="22"/>
          <w:szCs w:val="22"/>
          <w:lang w:val="es-ES"/>
        </w:rPr>
        <w:t> </w:t>
      </w:r>
      <w:r w:rsidRPr="006C3103">
        <w:rPr>
          <w:rFonts w:ascii="TimesNewRomanPSMT" w:hAnsi="TimesNewRomanPSMT"/>
          <w:b/>
          <w:bCs/>
          <w:sz w:val="22"/>
          <w:szCs w:val="22"/>
          <w:lang w:val="es-ES"/>
        </w:rPr>
        <w:t>5.484B</w:t>
      </w:r>
      <w:r w:rsidRPr="006C3103">
        <w:rPr>
          <w:rFonts w:ascii="TimesNewRomanPSMT" w:hAnsi="TimesNewRomanPSMT"/>
          <w:sz w:val="22"/>
          <w:szCs w:val="22"/>
          <w:lang w:val="es-ES"/>
        </w:rPr>
        <w:t xml:space="preserve"> del RR en las bandas de frecuencias a las que se aplican para contemplar el uso de las redes del servicio fijo por satélite (SFS) por el control y las comunicaciones sin carga útil (CNPC) de sistemas de aeronaves no tripuladas</w:t>
      </w:r>
    </w:p>
    <w:p w14:paraId="0D6B4DEA" w14:textId="77777777" w:rsidR="00D8253F" w:rsidRPr="006C3103" w:rsidRDefault="00D8253F" w:rsidP="00D8253F">
      <w:pPr>
        <w:rPr>
          <w:rFonts w:ascii="TimesNewRomanPSMT" w:hAnsi="TimesNewRomanPSMT" w:cs="TimesNewRomanPSMT"/>
          <w:b/>
          <w:sz w:val="22"/>
          <w:szCs w:val="22"/>
          <w:lang w:val="es-ES"/>
        </w:rPr>
      </w:pPr>
      <w:r w:rsidRPr="006C3103">
        <w:rPr>
          <w:rFonts w:ascii="TimesNewRomanPS-BoldMT" w:hAnsi="TimesNewRomanPS-BoldMT"/>
          <w:b/>
          <w:bCs/>
          <w:sz w:val="22"/>
          <w:szCs w:val="22"/>
          <w:lang w:val="es-ES"/>
        </w:rPr>
        <w:t>Origen</w:t>
      </w:r>
      <w:r w:rsidRPr="006C3103">
        <w:rPr>
          <w:rFonts w:ascii="TimesNewRomanPSMT" w:hAnsi="TimesNewRomanPSMT"/>
          <w:sz w:val="22"/>
          <w:szCs w:val="22"/>
          <w:lang w:val="es-ES"/>
        </w:rPr>
        <w:t xml:space="preserve">: </w:t>
      </w:r>
      <w:r w:rsidRPr="006C3103">
        <w:rPr>
          <w:rFonts w:ascii="TimesNewRomanPSMT" w:hAnsi="TimesNewRomanPSMT"/>
          <w:bCs/>
          <w:sz w:val="22"/>
          <w:szCs w:val="22"/>
          <w:lang w:val="es-ES"/>
        </w:rPr>
        <w:t>Estados Miembros de la CITEL</w:t>
      </w:r>
    </w:p>
    <w:p w14:paraId="6898CF9D"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p w14:paraId="4961B06C" w14:textId="2B903E8E" w:rsidR="00D8253F" w:rsidRPr="006C3103" w:rsidRDefault="00D8253F" w:rsidP="00D8253F">
      <w:pPr>
        <w:rPr>
          <w:rFonts w:ascii="TimesNewRomanPS-ItalicMT" w:hAnsi="TimesNewRomanPS-ItalicMT" w:cs="TimesNewRomanPS-ItalicMT"/>
          <w:iCs/>
          <w:sz w:val="22"/>
          <w:szCs w:val="22"/>
          <w:lang w:val="es-ES"/>
        </w:rPr>
      </w:pPr>
      <w:r w:rsidRPr="006C3103">
        <w:rPr>
          <w:rFonts w:ascii="TimesNewRomanPS-ItalicMT" w:hAnsi="TimesNewRomanPS-ItalicMT"/>
          <w:i/>
          <w:iCs/>
          <w:sz w:val="22"/>
          <w:szCs w:val="22"/>
          <w:lang w:val="es-ES"/>
        </w:rPr>
        <w:t>Propuesta:</w:t>
      </w:r>
    </w:p>
    <w:p w14:paraId="43B9F8C6" w14:textId="2F02929E" w:rsidR="00D8253F" w:rsidRPr="006C3103" w:rsidRDefault="00D8253F" w:rsidP="00D8253F">
      <w:pPr>
        <w:jc w:val="both"/>
        <w:rPr>
          <w:rFonts w:ascii="TimesNewRomanPS-ItalicMT" w:hAnsi="TimesNewRomanPS-ItalicMT" w:cs="TimesNewRomanPS-ItalicMT"/>
          <w:iCs/>
          <w:sz w:val="22"/>
          <w:szCs w:val="22"/>
          <w:lang w:val="es-ES"/>
        </w:rPr>
      </w:pPr>
      <w:r w:rsidRPr="006C3103">
        <w:rPr>
          <w:sz w:val="22"/>
          <w:szCs w:val="22"/>
          <w:lang w:val="es-ES"/>
        </w:rPr>
        <w:t>1.[SANT.CNPC]</w:t>
      </w:r>
      <w:r w:rsidRPr="006C3103">
        <w:rPr>
          <w:sz w:val="22"/>
          <w:szCs w:val="22"/>
          <w:lang w:val="es-ES"/>
        </w:rPr>
        <w:tab/>
      </w:r>
      <w:r w:rsidRPr="006C3103">
        <w:rPr>
          <w:rFonts w:ascii="TimesNewRomanPSMT" w:hAnsi="TimesNewRomanPSMT"/>
          <w:sz w:val="22"/>
          <w:szCs w:val="22"/>
          <w:lang w:val="es-ES"/>
        </w:rPr>
        <w:t xml:space="preserve">considerar, por referencia a los estudios del UIT-R de conformidad con la Resolución </w:t>
      </w:r>
      <w:r w:rsidR="00072CA8" w:rsidRPr="006C3103">
        <w:rPr>
          <w:rFonts w:ascii="TimesNewRomanPSMT" w:hAnsi="TimesNewRomanPSMT"/>
          <w:iCs/>
          <w:sz w:val="22"/>
          <w:szCs w:val="22"/>
          <w:lang w:val="es-ES"/>
        </w:rPr>
        <w:t>[USA/10/XX]</w:t>
      </w:r>
      <w:r w:rsidRPr="006C3103">
        <w:rPr>
          <w:rFonts w:ascii="TimesNewRomanPSMT" w:hAnsi="TimesNewRomanPSMT"/>
          <w:iCs/>
          <w:sz w:val="22"/>
          <w:szCs w:val="22"/>
          <w:lang w:val="es-ES"/>
        </w:rPr>
        <w:t xml:space="preserve"> (CMR-19)</w:t>
      </w:r>
      <w:r w:rsidRPr="006C3103">
        <w:rPr>
          <w:rFonts w:ascii="TimesNewRomanPSMT" w:hAnsi="TimesNewRomanPSMT"/>
          <w:sz w:val="22"/>
          <w:szCs w:val="22"/>
          <w:lang w:val="es-ES"/>
        </w:rPr>
        <w:t xml:space="preserve">, medidas regulatorias adecuadas, con miras a examinar y, de ser necesario, enmendar la Resolución </w:t>
      </w:r>
      <w:r w:rsidRPr="006C3103">
        <w:rPr>
          <w:rFonts w:ascii="TimesNewRomanPSMT" w:hAnsi="TimesNewRomanPSMT"/>
          <w:b/>
          <w:sz w:val="22"/>
          <w:szCs w:val="22"/>
          <w:lang w:val="es-ES"/>
        </w:rPr>
        <w:t>155 (CMR-15)</w:t>
      </w:r>
      <w:r w:rsidRPr="006C3103">
        <w:rPr>
          <w:rFonts w:ascii="TimesNewRomanPSMT" w:hAnsi="TimesNewRomanPSMT"/>
          <w:sz w:val="22"/>
          <w:szCs w:val="22"/>
          <w:lang w:val="es-ES"/>
        </w:rPr>
        <w:t xml:space="preserve"> y el número </w:t>
      </w:r>
      <w:r w:rsidRPr="006C3103">
        <w:rPr>
          <w:rFonts w:ascii="TimesNewRomanPSMT" w:hAnsi="TimesNewRomanPSMT"/>
          <w:b/>
          <w:sz w:val="22"/>
          <w:szCs w:val="22"/>
          <w:lang w:val="es-ES"/>
        </w:rPr>
        <w:t>5.484B</w:t>
      </w:r>
      <w:r w:rsidRPr="006C3103">
        <w:rPr>
          <w:rFonts w:ascii="TimesNewRomanPSMT" w:hAnsi="TimesNewRomanPSMT"/>
          <w:sz w:val="22"/>
          <w:szCs w:val="22"/>
          <w:lang w:val="es-ES"/>
        </w:rPr>
        <w:t xml:space="preserve"> del RR para acomodar el uso de las redes del servicio fijo por satélite (SFS) por el control y las comunicaciones sin carga útil de sistemas de aeronaves no tripuladas</w:t>
      </w:r>
    </w:p>
    <w:p w14:paraId="5089A017" w14:textId="77777777" w:rsidR="00D8253F" w:rsidRPr="006C3103" w:rsidRDefault="00D8253F" w:rsidP="00D8253F">
      <w:pPr>
        <w:pBdr>
          <w:bottom w:val="single" w:sz="12" w:space="1" w:color="auto"/>
        </w:pBdr>
        <w:tabs>
          <w:tab w:val="left" w:pos="794"/>
          <w:tab w:val="left" w:pos="1191"/>
          <w:tab w:val="left" w:pos="1588"/>
          <w:tab w:val="left" w:pos="1985"/>
        </w:tabs>
        <w:jc w:val="both"/>
        <w:rPr>
          <w:color w:val="000000"/>
          <w:sz w:val="22"/>
          <w:szCs w:val="22"/>
          <w:lang w:val="es-ES"/>
        </w:rPr>
      </w:pPr>
    </w:p>
    <w:p w14:paraId="4ACF7C3B" w14:textId="77777777" w:rsidR="00D8253F" w:rsidRPr="006C3103" w:rsidRDefault="00D8253F" w:rsidP="00D8253F">
      <w:pPr>
        <w:jc w:val="both"/>
        <w:rPr>
          <w:b/>
          <w:bCs/>
          <w:i/>
          <w:iCs/>
          <w:sz w:val="22"/>
          <w:szCs w:val="22"/>
          <w:lang w:val="es-ES"/>
        </w:rPr>
      </w:pPr>
      <w:r w:rsidRPr="006C3103">
        <w:rPr>
          <w:b/>
          <w:bCs/>
          <w:i/>
          <w:iCs/>
          <w:sz w:val="22"/>
          <w:szCs w:val="22"/>
          <w:lang w:val="es-ES"/>
        </w:rPr>
        <w:t>Antecedentes/motivos:</w:t>
      </w:r>
    </w:p>
    <w:p w14:paraId="14DDB02A" w14:textId="77777777" w:rsidR="00D8253F" w:rsidRPr="006C3103" w:rsidRDefault="00D8253F" w:rsidP="00D8253F">
      <w:pPr>
        <w:jc w:val="both"/>
        <w:rPr>
          <w:rFonts w:ascii="TimesNewRomanPS-BoldMT" w:hAnsi="TimesNewRomanPS-BoldMT" w:cs="TimesNewRomanPS-BoldMT"/>
          <w:bCs/>
          <w:color w:val="000000"/>
          <w:sz w:val="22"/>
          <w:szCs w:val="22"/>
          <w:lang w:val="es-ES"/>
        </w:rPr>
      </w:pPr>
      <w:r w:rsidRPr="006C3103">
        <w:rPr>
          <w:rFonts w:ascii="TimesNewRomanPS-BoldMT" w:hAnsi="TimesNewRomanPS-BoldMT"/>
          <w:bCs/>
          <w:color w:val="000000"/>
          <w:sz w:val="22"/>
          <w:szCs w:val="22"/>
          <w:lang w:val="es-ES"/>
        </w:rPr>
        <w:t xml:space="preserve">La CMR-15 aprobó la Resolución </w:t>
      </w:r>
      <w:r w:rsidRPr="006C3103">
        <w:rPr>
          <w:rFonts w:ascii="TimesNewRomanPS-BoldMT" w:hAnsi="TimesNewRomanPS-BoldMT"/>
          <w:b/>
          <w:bCs/>
          <w:color w:val="000000"/>
          <w:sz w:val="22"/>
          <w:szCs w:val="22"/>
          <w:lang w:val="es-ES"/>
        </w:rPr>
        <w:t>155 (CMR-15)</w:t>
      </w:r>
      <w:r w:rsidRPr="006C3103">
        <w:rPr>
          <w:rFonts w:ascii="TimesNewRomanPS-BoldMT" w:hAnsi="TimesNewRomanPS-BoldMT"/>
          <w:bCs/>
          <w:color w:val="000000"/>
          <w:sz w:val="22"/>
          <w:szCs w:val="22"/>
          <w:lang w:val="es-ES"/>
        </w:rPr>
        <w:t xml:space="preserve"> para que las estaciones terrenas respalden el control y las comunicaciones sin carga útil de sistemas de aeronaves no tripulados (SANT) que operan con redes de satélites geoestacionarios en las bandas de frecuencias para las cuales se aplica la nota de pie de página número </w:t>
      </w:r>
      <w:r w:rsidRPr="006C3103">
        <w:rPr>
          <w:rFonts w:ascii="TimesNewRomanPS-BoldMT" w:hAnsi="TimesNewRomanPS-BoldMT"/>
          <w:b/>
          <w:bCs/>
          <w:color w:val="000000"/>
          <w:sz w:val="22"/>
          <w:szCs w:val="22"/>
          <w:lang w:val="es-ES"/>
        </w:rPr>
        <w:t>5.484B</w:t>
      </w:r>
      <w:r w:rsidRPr="006C3103">
        <w:rPr>
          <w:rFonts w:ascii="TimesNewRomanPS-BoldMT" w:hAnsi="TimesNewRomanPS-BoldMT"/>
          <w:bCs/>
          <w:color w:val="000000"/>
          <w:sz w:val="22"/>
          <w:szCs w:val="22"/>
          <w:lang w:val="es-ES"/>
        </w:rPr>
        <w:t xml:space="preserve"> del RR.</w:t>
      </w:r>
    </w:p>
    <w:p w14:paraId="17BBEEBD" w14:textId="1CEF2878" w:rsidR="00D8253F" w:rsidRPr="006C3103" w:rsidRDefault="00D8253F" w:rsidP="00D8253F">
      <w:pPr>
        <w:jc w:val="both"/>
        <w:rPr>
          <w:rFonts w:ascii="TimesNewRomanPS-BoldMT" w:hAnsi="TimesNewRomanPS-BoldMT" w:cs="TimesNewRomanPS-BoldMT"/>
          <w:bCs/>
          <w:color w:val="000000"/>
          <w:sz w:val="22"/>
          <w:szCs w:val="22"/>
          <w:lang w:val="es-ES"/>
        </w:rPr>
      </w:pPr>
      <w:r w:rsidRPr="006C3103">
        <w:rPr>
          <w:rFonts w:ascii="TimesNewRomanPS-BoldMT" w:hAnsi="TimesNewRomanPS-BoldMT"/>
          <w:bCs/>
          <w:color w:val="000000"/>
          <w:sz w:val="22"/>
          <w:szCs w:val="22"/>
          <w:lang w:val="es-ES"/>
        </w:rPr>
        <w:t xml:space="preserve">La Resolución </w:t>
      </w:r>
      <w:r w:rsidRPr="006C3103">
        <w:rPr>
          <w:rFonts w:ascii="TimesNewRomanPS-BoldMT" w:hAnsi="TimesNewRomanPS-BoldMT"/>
          <w:b/>
          <w:bCs/>
          <w:color w:val="000000"/>
          <w:sz w:val="22"/>
          <w:szCs w:val="22"/>
          <w:lang w:val="es-ES"/>
        </w:rPr>
        <w:t>155 (CMR-15)</w:t>
      </w:r>
      <w:r w:rsidRPr="006C3103">
        <w:rPr>
          <w:rFonts w:ascii="TimesNewRomanPS-BoldMT" w:hAnsi="TimesNewRomanPS-BoldMT"/>
          <w:bCs/>
          <w:color w:val="000000"/>
          <w:sz w:val="22"/>
          <w:szCs w:val="22"/>
          <w:lang w:val="es-ES"/>
        </w:rPr>
        <w:t xml:space="preserve"> incluye en los párrafos resolutivos cuestiones específicas</w:t>
      </w:r>
      <w:r w:rsidR="00072CA8" w:rsidRPr="006C3103">
        <w:rPr>
          <w:rFonts w:ascii="TimesNewRomanPS-BoldMT" w:hAnsi="TimesNewRomanPS-BoldMT"/>
          <w:bCs/>
          <w:color w:val="000000"/>
          <w:sz w:val="22"/>
          <w:szCs w:val="22"/>
          <w:lang w:val="es-ES"/>
        </w:rPr>
        <w:t xml:space="preserve"> </w:t>
      </w:r>
      <w:r w:rsidRPr="006C3103">
        <w:rPr>
          <w:rFonts w:ascii="TimesNewRomanPS-BoldMT" w:hAnsi="TimesNewRomanPS-BoldMT"/>
          <w:bCs/>
          <w:color w:val="000000"/>
          <w:sz w:val="22"/>
          <w:szCs w:val="22"/>
          <w:lang w:val="es-ES"/>
        </w:rPr>
        <w:t xml:space="preserve">que se deben tener en cuenta para la comunicación entre una estación terrena a bordo de una aeronave no tripulada y una red de satélites geoestacionarios del servicio fijo por satélite. Dado que el contenido de las normas y métodos recomendados (SARP) aeronáuticos internacionales aún no estaba en vigor al momento de la celebración de la conferencia, la CMR-15 resolvió invitar a la CMR-23 a considerar los resultados de esos estudios con miras a examinar y, si procede, revisar la Resolución </w:t>
      </w:r>
      <w:r w:rsidRPr="006C3103">
        <w:rPr>
          <w:rFonts w:ascii="TimesNewRomanPS-BoldMT" w:hAnsi="TimesNewRomanPS-BoldMT"/>
          <w:b/>
          <w:bCs/>
          <w:color w:val="000000"/>
          <w:sz w:val="22"/>
          <w:szCs w:val="22"/>
          <w:lang w:val="es-ES"/>
        </w:rPr>
        <w:t>155</w:t>
      </w:r>
      <w:r w:rsidRPr="006C3103">
        <w:rPr>
          <w:rFonts w:ascii="TimesNewRomanPS-BoldMT" w:hAnsi="TimesNewRomanPS-BoldMT"/>
          <w:bCs/>
          <w:color w:val="000000"/>
          <w:sz w:val="22"/>
          <w:szCs w:val="22"/>
          <w:lang w:val="es-ES"/>
        </w:rPr>
        <w:t>, y tomar las medidas necesarias, según convenga.</w:t>
      </w:r>
    </w:p>
    <w:p w14:paraId="1FC273F9" w14:textId="73F6DCE5" w:rsidR="00D8253F" w:rsidRPr="006C3103" w:rsidRDefault="00D8253F" w:rsidP="00D8253F">
      <w:pPr>
        <w:jc w:val="both"/>
        <w:rPr>
          <w:rFonts w:ascii="TimesNewRomanPS-BoldMT" w:hAnsi="TimesNewRomanPS-BoldMT" w:cs="TimesNewRomanPS-BoldMT"/>
          <w:bCs/>
          <w:color w:val="000000"/>
          <w:sz w:val="22"/>
          <w:szCs w:val="22"/>
          <w:lang w:val="es-ES"/>
        </w:rPr>
      </w:pPr>
      <w:r w:rsidRPr="006C3103">
        <w:rPr>
          <w:rFonts w:ascii="TimesNewRomanPS-BoldMT" w:hAnsi="TimesNewRomanPS-BoldMT"/>
          <w:bCs/>
          <w:color w:val="000000"/>
          <w:sz w:val="22"/>
          <w:szCs w:val="22"/>
          <w:lang w:val="es-ES"/>
        </w:rPr>
        <w:t>La finalización de este asunto sirve de base para que el Director de la Oficina de Radiocomunicaciones decida sobre la tramitación de notificaciones respectivas de redes de satélite mediante</w:t>
      </w:r>
      <w:r w:rsidR="00072CA8" w:rsidRPr="006C3103">
        <w:rPr>
          <w:rFonts w:ascii="TimesNewRomanPS-BoldMT" w:hAnsi="TimesNewRomanPS-BoldMT"/>
          <w:bCs/>
          <w:color w:val="000000"/>
          <w:sz w:val="22"/>
          <w:szCs w:val="22"/>
          <w:lang w:val="es-ES"/>
        </w:rPr>
        <w:t xml:space="preserve"> el</w:t>
      </w:r>
      <w:r w:rsidRPr="006C3103">
        <w:rPr>
          <w:rFonts w:ascii="TimesNewRomanPS-BoldMT" w:hAnsi="TimesNewRomanPS-BoldMT"/>
          <w:bCs/>
          <w:color w:val="000000"/>
          <w:sz w:val="22"/>
          <w:szCs w:val="22"/>
          <w:lang w:val="es-ES"/>
        </w:rPr>
        <w:t xml:space="preserve"> </w:t>
      </w:r>
      <w:r w:rsidRPr="006C3103">
        <w:rPr>
          <w:rFonts w:ascii="TimesNewRomanPS-BoldMT" w:hAnsi="TimesNewRomanPS-BoldMT"/>
          <w:bCs/>
          <w:i/>
          <w:color w:val="000000"/>
          <w:sz w:val="22"/>
          <w:szCs w:val="22"/>
          <w:lang w:val="es-ES"/>
        </w:rPr>
        <w:t xml:space="preserve">encarga al Director de la Oficina de Radiocomunicaciones </w:t>
      </w:r>
      <w:r w:rsidRPr="006C3103">
        <w:rPr>
          <w:rFonts w:ascii="TimesNewRomanPS-BoldMT" w:hAnsi="TimesNewRomanPS-BoldMT"/>
          <w:bCs/>
          <w:iCs/>
          <w:color w:val="000000"/>
          <w:sz w:val="22"/>
          <w:szCs w:val="22"/>
          <w:lang w:val="es-ES"/>
        </w:rPr>
        <w:t xml:space="preserve">4 </w:t>
      </w:r>
      <w:r w:rsidRPr="006C3103">
        <w:rPr>
          <w:rFonts w:ascii="TimesNewRomanPS-BoldMT" w:hAnsi="TimesNewRomanPS-BoldMT"/>
          <w:bCs/>
          <w:color w:val="000000"/>
          <w:sz w:val="22"/>
          <w:szCs w:val="22"/>
          <w:lang w:val="es-ES"/>
        </w:rPr>
        <w:t xml:space="preserve">de la Resolución </w:t>
      </w:r>
      <w:r w:rsidRPr="006C3103">
        <w:rPr>
          <w:rFonts w:ascii="TimesNewRomanPS-BoldMT" w:hAnsi="TimesNewRomanPS-BoldMT"/>
          <w:b/>
          <w:bCs/>
          <w:color w:val="000000"/>
          <w:sz w:val="22"/>
          <w:szCs w:val="22"/>
          <w:lang w:val="es-ES"/>
        </w:rPr>
        <w:t>155 (CMR-15)</w:t>
      </w:r>
      <w:r w:rsidRPr="006C3103">
        <w:rPr>
          <w:rFonts w:ascii="TimesNewRomanPS-BoldMT" w:hAnsi="TimesNewRomanPS-BoldMT"/>
          <w:bCs/>
          <w:color w:val="000000"/>
          <w:sz w:val="22"/>
          <w:szCs w:val="22"/>
          <w:lang w:val="es-ES"/>
        </w:rPr>
        <w:t>.</w:t>
      </w:r>
    </w:p>
    <w:p w14:paraId="01E7CA7D"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p w14:paraId="344FC546" w14:textId="54525ABF" w:rsidR="00D8253F" w:rsidRPr="006C3103" w:rsidRDefault="00D8253F" w:rsidP="00D8253F">
      <w:pPr>
        <w:rPr>
          <w:b/>
          <w:bCs/>
          <w:i/>
          <w:iCs/>
          <w:sz w:val="22"/>
          <w:szCs w:val="22"/>
          <w:lang w:val="es-ES"/>
        </w:rPr>
      </w:pPr>
      <w:bookmarkStart w:id="9" w:name="_Hlk20152905"/>
      <w:r w:rsidRPr="006C3103">
        <w:rPr>
          <w:b/>
          <w:bCs/>
          <w:i/>
          <w:iCs/>
          <w:sz w:val="22"/>
          <w:szCs w:val="22"/>
          <w:lang w:val="es-ES"/>
        </w:rPr>
        <w:t>Servicios de radiocomunicaciones en cuestión</w:t>
      </w:r>
      <w:bookmarkEnd w:id="9"/>
      <w:r w:rsidRPr="006C3103">
        <w:rPr>
          <w:b/>
          <w:bCs/>
          <w:i/>
          <w:iCs/>
          <w:sz w:val="22"/>
          <w:szCs w:val="22"/>
          <w:lang w:val="es-ES"/>
        </w:rPr>
        <w:t>:</w:t>
      </w:r>
    </w:p>
    <w:p w14:paraId="734FDA2F"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r w:rsidRPr="006C3103">
        <w:rPr>
          <w:color w:val="000000"/>
          <w:sz w:val="22"/>
          <w:szCs w:val="22"/>
          <w:lang w:val="es-ES"/>
        </w:rPr>
        <w:t>Móviles, fijos, móviles por satélite, radionavegación, radiodifusión, radioastronomía, radiodifusión por satélite y fijos por satélite</w:t>
      </w:r>
    </w:p>
    <w:p w14:paraId="5972200E" w14:textId="7D0DADBE" w:rsidR="00D8253F" w:rsidRPr="006C3103" w:rsidRDefault="00D8253F" w:rsidP="00D8253F">
      <w:pPr>
        <w:rPr>
          <w:rFonts w:ascii="TimesNewRomanPSMT" w:hAnsi="TimesNewRomanPSMT" w:cs="TimesNewRomanPSMT"/>
          <w:sz w:val="22"/>
          <w:szCs w:val="22"/>
          <w:lang w:val="es-ES"/>
        </w:rPr>
      </w:pPr>
      <w:r w:rsidRPr="006C3103">
        <w:rPr>
          <w:b/>
          <w:bCs/>
          <w:i/>
          <w:iCs/>
          <w:sz w:val="22"/>
          <w:szCs w:val="22"/>
          <w:lang w:val="es-ES"/>
        </w:rPr>
        <w:t>Indicación de posibles dificultades:</w:t>
      </w:r>
      <w:r w:rsidRPr="006C3103">
        <w:rPr>
          <w:rFonts w:ascii="TimesNewRomanPSMT" w:hAnsi="TimesNewRomanPSMT"/>
          <w:sz w:val="22"/>
          <w:szCs w:val="22"/>
          <w:lang w:val="es-ES"/>
        </w:rPr>
        <w:t xml:space="preserve"> No se prevé ninguna.</w:t>
      </w:r>
    </w:p>
    <w:p w14:paraId="0A4490FB"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p w14:paraId="037AA323" w14:textId="77777777" w:rsidR="00D8253F" w:rsidRPr="006C3103" w:rsidRDefault="00D8253F" w:rsidP="00D8253F">
      <w:pPr>
        <w:rPr>
          <w:rFonts w:ascii="TimesNewRomanPSMT" w:hAnsi="TimesNewRomanPSMT" w:cs="TimesNewRomanPSMT"/>
          <w:sz w:val="22"/>
          <w:szCs w:val="22"/>
          <w:lang w:val="es-ES"/>
        </w:rPr>
      </w:pPr>
      <w:bookmarkStart w:id="10" w:name="_Hlk20152922"/>
      <w:r w:rsidRPr="006C3103">
        <w:rPr>
          <w:b/>
          <w:bCs/>
          <w:i/>
          <w:iCs/>
          <w:sz w:val="22"/>
          <w:szCs w:val="22"/>
          <w:lang w:val="es-ES"/>
        </w:rPr>
        <w:t>Estudios previos o en curso sobre el tema</w:t>
      </w:r>
      <w:bookmarkEnd w:id="10"/>
      <w:r w:rsidRPr="006C3103">
        <w:rPr>
          <w:b/>
          <w:bCs/>
          <w:i/>
          <w:iCs/>
          <w:sz w:val="22"/>
          <w:szCs w:val="22"/>
          <w:lang w:val="es-ES"/>
        </w:rPr>
        <w:t xml:space="preserve">: </w:t>
      </w:r>
      <w:r w:rsidRPr="006C3103">
        <w:rPr>
          <w:rFonts w:ascii="TimesNewRomanPSMT" w:hAnsi="TimesNewRomanPSMT"/>
          <w:sz w:val="22"/>
          <w:szCs w:val="22"/>
          <w:lang w:val="es-ES"/>
        </w:rPr>
        <w:t xml:space="preserve">Los estudios realizados en preparación de AI 1.5 de la CMR-15 y estudios continuos en apoyo de la aplicación de la Resolución </w:t>
      </w:r>
      <w:r w:rsidRPr="006C3103">
        <w:rPr>
          <w:rFonts w:ascii="TimesNewRomanPSMT" w:hAnsi="TimesNewRomanPSMT"/>
          <w:b/>
          <w:sz w:val="22"/>
          <w:szCs w:val="22"/>
          <w:lang w:val="es-ES"/>
        </w:rPr>
        <w:t>155 (CMR-15)</w:t>
      </w:r>
      <w:r w:rsidRPr="006C3103">
        <w:rPr>
          <w:rFonts w:ascii="TimesNewRomanPSMT" w:hAnsi="TimesNewRomanPSMT"/>
          <w:sz w:val="22"/>
          <w:szCs w:val="22"/>
          <w:lang w:val="es-ES"/>
        </w:rPr>
        <w:t xml:space="preserve"> emprendidos en el GT 5B del UIT-R al cabo de la CMR-15.</w:t>
      </w:r>
    </w:p>
    <w:p w14:paraId="12D120CD"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tbl>
      <w:tblPr>
        <w:tblW w:w="9639" w:type="dxa"/>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536"/>
        <w:gridCol w:w="5103"/>
      </w:tblGrid>
      <w:tr w:rsidR="00D8253F" w:rsidRPr="006C3103" w14:paraId="1519179C" w14:textId="77777777" w:rsidTr="00605981">
        <w:tc>
          <w:tcPr>
            <w:tcW w:w="4536" w:type="dxa"/>
            <w:tcBorders>
              <w:top w:val="nil"/>
              <w:left w:val="nil"/>
              <w:bottom w:val="single" w:sz="12" w:space="0" w:color="auto"/>
              <w:right w:val="single" w:sz="12" w:space="0" w:color="auto"/>
            </w:tcBorders>
            <w:hideMark/>
          </w:tcPr>
          <w:p w14:paraId="7BE41CF4" w14:textId="10CF3AA0" w:rsidR="00D8253F" w:rsidRPr="006C3103" w:rsidRDefault="00D8253F" w:rsidP="00934B69">
            <w:pPr>
              <w:framePr w:hSpace="181" w:wrap="notBeside" w:vAnchor="text" w:hAnchor="text" w:xAlign="center" w:y="1"/>
              <w:tabs>
                <w:tab w:val="left" w:pos="4366"/>
              </w:tabs>
              <w:rPr>
                <w:bCs/>
                <w:iCs/>
                <w:color w:val="000000"/>
                <w:sz w:val="22"/>
                <w:szCs w:val="22"/>
                <w:lang w:val="es-ES"/>
              </w:rPr>
            </w:pPr>
            <w:r w:rsidRPr="006C3103">
              <w:rPr>
                <w:b/>
                <w:i/>
                <w:sz w:val="22"/>
                <w:szCs w:val="22"/>
                <w:lang w:val="es-ES"/>
              </w:rPr>
              <w:t>Estudios que han de efectuarse a cargo de</w:t>
            </w:r>
            <w:r w:rsidRPr="006C3103">
              <w:rPr>
                <w:b/>
                <w:i/>
                <w:color w:val="000000"/>
                <w:sz w:val="22"/>
                <w:szCs w:val="22"/>
                <w:lang w:val="es-ES"/>
              </w:rPr>
              <w:t>:</w:t>
            </w:r>
            <w:r w:rsidRPr="006C3103">
              <w:rPr>
                <w:b/>
                <w:bCs/>
                <w:i/>
                <w:iCs/>
                <w:color w:val="000000"/>
                <w:sz w:val="22"/>
                <w:szCs w:val="22"/>
                <w:lang w:val="es-ES"/>
              </w:rPr>
              <w:t xml:space="preserve"> </w:t>
            </w:r>
            <w:r w:rsidRPr="006C3103">
              <w:rPr>
                <w:bCs/>
                <w:iCs/>
                <w:color w:val="000000"/>
                <w:sz w:val="22"/>
                <w:szCs w:val="22"/>
                <w:lang w:val="es-ES"/>
              </w:rPr>
              <w:t>GT</w:t>
            </w:r>
            <w:r w:rsidR="00652270" w:rsidRPr="006C3103">
              <w:rPr>
                <w:bCs/>
                <w:iCs/>
                <w:color w:val="000000"/>
                <w:sz w:val="22"/>
                <w:szCs w:val="22"/>
                <w:lang w:val="es-ES"/>
              </w:rPr>
              <w:t> </w:t>
            </w:r>
            <w:r w:rsidRPr="006C3103">
              <w:rPr>
                <w:bCs/>
                <w:iCs/>
                <w:color w:val="000000"/>
                <w:sz w:val="22"/>
                <w:szCs w:val="22"/>
                <w:lang w:val="es-ES"/>
              </w:rPr>
              <w:t xml:space="preserve">5B del UIT-R </w:t>
            </w:r>
          </w:p>
          <w:p w14:paraId="7937BD97" w14:textId="77777777" w:rsidR="00D8253F" w:rsidRPr="006C3103" w:rsidRDefault="00D8253F" w:rsidP="00934B69">
            <w:pPr>
              <w:framePr w:hSpace="181" w:wrap="notBeside" w:vAnchor="text" w:hAnchor="text" w:xAlign="center" w:y="1"/>
              <w:tabs>
                <w:tab w:val="left" w:pos="4366"/>
              </w:tabs>
              <w:rPr>
                <w:b/>
                <w:bCs/>
                <w:i/>
                <w:iCs/>
                <w:color w:val="000000"/>
                <w:sz w:val="22"/>
                <w:szCs w:val="22"/>
                <w:lang w:val="es-ES"/>
              </w:rPr>
            </w:pPr>
          </w:p>
        </w:tc>
        <w:tc>
          <w:tcPr>
            <w:tcW w:w="5103" w:type="dxa"/>
            <w:tcBorders>
              <w:top w:val="nil"/>
              <w:left w:val="single" w:sz="12" w:space="0" w:color="auto"/>
              <w:bottom w:val="single" w:sz="12" w:space="0" w:color="auto"/>
              <w:right w:val="nil"/>
            </w:tcBorders>
          </w:tcPr>
          <w:p w14:paraId="6A713AEC" w14:textId="7908D57A" w:rsidR="00D8253F" w:rsidRPr="006C3103" w:rsidRDefault="00D8253F" w:rsidP="00934B69">
            <w:pPr>
              <w:framePr w:hSpace="181" w:wrap="notBeside" w:vAnchor="text" w:hAnchor="text" w:xAlign="center" w:y="1"/>
              <w:tabs>
                <w:tab w:val="left" w:pos="360"/>
                <w:tab w:val="left" w:pos="900"/>
                <w:tab w:val="left" w:pos="4366"/>
              </w:tabs>
              <w:ind w:left="113"/>
              <w:rPr>
                <w:bCs/>
                <w:i/>
                <w:color w:val="000000"/>
                <w:sz w:val="22"/>
                <w:szCs w:val="22"/>
                <w:lang w:val="es-ES"/>
              </w:rPr>
            </w:pPr>
            <w:r w:rsidRPr="006C3103">
              <w:rPr>
                <w:bCs/>
                <w:i/>
                <w:color w:val="000000"/>
                <w:sz w:val="22"/>
                <w:szCs w:val="22"/>
                <w:lang w:val="es-ES"/>
              </w:rPr>
              <w:t>con participación de:</w:t>
            </w:r>
          </w:p>
          <w:p w14:paraId="14EE4D53" w14:textId="77777777" w:rsidR="00D8253F" w:rsidRPr="006C3103" w:rsidRDefault="00D8253F" w:rsidP="00934B69">
            <w:pPr>
              <w:framePr w:hSpace="181" w:wrap="notBeside" w:vAnchor="text" w:hAnchor="text" w:xAlign="center" w:y="1"/>
              <w:tabs>
                <w:tab w:val="left" w:pos="360"/>
                <w:tab w:val="left" w:pos="900"/>
                <w:tab w:val="left" w:pos="4366"/>
              </w:tabs>
              <w:ind w:left="113"/>
              <w:rPr>
                <w:b/>
                <w:bCs/>
                <w:iCs/>
                <w:color w:val="000000"/>
                <w:sz w:val="22"/>
                <w:szCs w:val="22"/>
                <w:lang w:val="es-ES"/>
              </w:rPr>
            </w:pPr>
          </w:p>
        </w:tc>
      </w:tr>
    </w:tbl>
    <w:p w14:paraId="7EAB86D2" w14:textId="318CEAE7" w:rsidR="00D8253F" w:rsidRPr="006C3103" w:rsidRDefault="00D8253F" w:rsidP="00D8253F">
      <w:pPr>
        <w:rPr>
          <w:rFonts w:ascii="TimesNewRomanPSMT" w:hAnsi="TimesNewRomanPSMT" w:cs="TimesNewRomanPSMT"/>
          <w:sz w:val="22"/>
          <w:szCs w:val="22"/>
          <w:lang w:val="es-ES"/>
        </w:rPr>
      </w:pPr>
      <w:r w:rsidRPr="006C3103">
        <w:rPr>
          <w:b/>
          <w:bCs/>
          <w:i/>
          <w:iCs/>
          <w:sz w:val="22"/>
          <w:szCs w:val="22"/>
          <w:lang w:val="es-ES"/>
        </w:rPr>
        <w:t>Comisiones de Estudio del UIT-R</w:t>
      </w:r>
      <w:r w:rsidRPr="006C3103">
        <w:rPr>
          <w:lang w:val="es-ES"/>
        </w:rPr>
        <w:t xml:space="preserve"> </w:t>
      </w:r>
      <w:r w:rsidRPr="006C3103">
        <w:rPr>
          <w:b/>
          <w:bCs/>
          <w:i/>
          <w:iCs/>
          <w:sz w:val="22"/>
          <w:szCs w:val="22"/>
          <w:lang w:val="es-ES"/>
        </w:rPr>
        <w:t xml:space="preserve">interesadas: </w:t>
      </w:r>
      <w:r w:rsidR="00652270" w:rsidRPr="006C3103">
        <w:rPr>
          <w:rFonts w:ascii="TimesNewRomanPSMT" w:hAnsi="TimesNewRomanPSMT"/>
          <w:sz w:val="22"/>
          <w:szCs w:val="22"/>
          <w:lang w:val="es-ES"/>
        </w:rPr>
        <w:t>CE </w:t>
      </w:r>
      <w:r w:rsidRPr="006C3103">
        <w:rPr>
          <w:rFonts w:ascii="TimesNewRomanPSMT" w:hAnsi="TimesNewRomanPSMT"/>
          <w:sz w:val="22"/>
          <w:szCs w:val="22"/>
          <w:lang w:val="es-ES"/>
        </w:rPr>
        <w:t>5 del UIT-R (GT</w:t>
      </w:r>
      <w:r w:rsidR="00652270" w:rsidRPr="006C3103">
        <w:rPr>
          <w:rFonts w:ascii="TimesNewRomanPSMT" w:hAnsi="TimesNewRomanPSMT"/>
          <w:sz w:val="22"/>
          <w:szCs w:val="22"/>
          <w:lang w:val="es-ES"/>
        </w:rPr>
        <w:t> </w:t>
      </w:r>
      <w:r w:rsidRPr="006C3103">
        <w:rPr>
          <w:rFonts w:ascii="TimesNewRomanPSMT" w:hAnsi="TimesNewRomanPSMT"/>
          <w:sz w:val="22"/>
          <w:szCs w:val="22"/>
          <w:lang w:val="es-ES"/>
        </w:rPr>
        <w:t>5A, GT</w:t>
      </w:r>
      <w:r w:rsidR="00652270" w:rsidRPr="006C3103">
        <w:rPr>
          <w:rFonts w:ascii="TimesNewRomanPSMT" w:hAnsi="TimesNewRomanPSMT"/>
          <w:sz w:val="22"/>
          <w:szCs w:val="22"/>
          <w:lang w:val="es-ES"/>
        </w:rPr>
        <w:t> </w:t>
      </w:r>
      <w:r w:rsidRPr="006C3103">
        <w:rPr>
          <w:rFonts w:ascii="TimesNewRomanPSMT" w:hAnsi="TimesNewRomanPSMT"/>
          <w:sz w:val="22"/>
          <w:szCs w:val="22"/>
          <w:lang w:val="es-ES"/>
        </w:rPr>
        <w:t xml:space="preserve">5C), </w:t>
      </w:r>
      <w:r w:rsidR="00652270" w:rsidRPr="006C3103">
        <w:rPr>
          <w:rFonts w:ascii="TimesNewRomanPSMT" w:hAnsi="TimesNewRomanPSMT"/>
          <w:sz w:val="22"/>
          <w:szCs w:val="22"/>
          <w:lang w:val="es-ES"/>
        </w:rPr>
        <w:t>CE </w:t>
      </w:r>
      <w:r w:rsidRPr="006C3103">
        <w:rPr>
          <w:rFonts w:ascii="TimesNewRomanPSMT" w:hAnsi="TimesNewRomanPSMT"/>
          <w:sz w:val="22"/>
          <w:szCs w:val="22"/>
          <w:lang w:val="es-ES"/>
        </w:rPr>
        <w:t>4 (GT</w:t>
      </w:r>
      <w:r w:rsidR="00652270" w:rsidRPr="006C3103">
        <w:rPr>
          <w:rFonts w:ascii="TimesNewRomanPSMT" w:hAnsi="TimesNewRomanPSMT"/>
          <w:sz w:val="22"/>
          <w:szCs w:val="22"/>
          <w:lang w:val="es-ES"/>
        </w:rPr>
        <w:t> </w:t>
      </w:r>
      <w:r w:rsidRPr="006C3103">
        <w:rPr>
          <w:rFonts w:ascii="TimesNewRomanPSMT" w:hAnsi="TimesNewRomanPSMT"/>
          <w:sz w:val="22"/>
          <w:szCs w:val="22"/>
          <w:lang w:val="es-ES"/>
        </w:rPr>
        <w:t>4A, GT</w:t>
      </w:r>
      <w:r w:rsidR="00652270" w:rsidRPr="006C3103">
        <w:rPr>
          <w:rFonts w:ascii="TimesNewRomanPSMT" w:hAnsi="TimesNewRomanPSMT"/>
          <w:sz w:val="22"/>
          <w:szCs w:val="22"/>
          <w:lang w:val="es-ES"/>
        </w:rPr>
        <w:t> </w:t>
      </w:r>
      <w:r w:rsidRPr="006C3103">
        <w:rPr>
          <w:rFonts w:ascii="TimesNewRomanPSMT" w:hAnsi="TimesNewRomanPSMT"/>
          <w:sz w:val="22"/>
          <w:szCs w:val="22"/>
          <w:lang w:val="es-ES"/>
        </w:rPr>
        <w:t xml:space="preserve">4C), </w:t>
      </w:r>
      <w:r w:rsidR="00652270" w:rsidRPr="006C3103">
        <w:rPr>
          <w:rFonts w:ascii="TimesNewRomanPSMT" w:hAnsi="TimesNewRomanPSMT"/>
          <w:sz w:val="22"/>
          <w:szCs w:val="22"/>
          <w:lang w:val="es-ES"/>
        </w:rPr>
        <w:t>CE </w:t>
      </w:r>
      <w:r w:rsidRPr="006C3103">
        <w:rPr>
          <w:rFonts w:ascii="TimesNewRomanPSMT" w:hAnsi="TimesNewRomanPSMT"/>
          <w:sz w:val="22"/>
          <w:szCs w:val="22"/>
          <w:lang w:val="es-ES"/>
        </w:rPr>
        <w:t>6 (GT</w:t>
      </w:r>
      <w:r w:rsidR="00652270" w:rsidRPr="006C3103">
        <w:rPr>
          <w:rFonts w:ascii="TimesNewRomanPSMT" w:hAnsi="TimesNewRomanPSMT"/>
          <w:sz w:val="22"/>
          <w:szCs w:val="22"/>
          <w:lang w:val="es-ES"/>
        </w:rPr>
        <w:t> </w:t>
      </w:r>
      <w:r w:rsidRPr="006C3103">
        <w:rPr>
          <w:rFonts w:ascii="TimesNewRomanPSMT" w:hAnsi="TimesNewRomanPSMT"/>
          <w:sz w:val="22"/>
          <w:szCs w:val="22"/>
          <w:lang w:val="es-ES"/>
        </w:rPr>
        <w:t xml:space="preserve">6A), </w:t>
      </w:r>
      <w:r w:rsidR="00652270" w:rsidRPr="006C3103">
        <w:rPr>
          <w:rFonts w:ascii="TimesNewRomanPSMT" w:hAnsi="TimesNewRomanPSMT"/>
          <w:sz w:val="22"/>
          <w:szCs w:val="22"/>
          <w:lang w:val="es-ES"/>
        </w:rPr>
        <w:t>CE </w:t>
      </w:r>
      <w:r w:rsidRPr="006C3103">
        <w:rPr>
          <w:rFonts w:ascii="TimesNewRomanPSMT" w:hAnsi="TimesNewRomanPSMT"/>
          <w:sz w:val="22"/>
          <w:szCs w:val="22"/>
          <w:lang w:val="es-ES"/>
        </w:rPr>
        <w:t>7 (GT</w:t>
      </w:r>
      <w:r w:rsidR="00652270" w:rsidRPr="006C3103">
        <w:rPr>
          <w:rFonts w:ascii="TimesNewRomanPSMT" w:hAnsi="TimesNewRomanPSMT"/>
          <w:sz w:val="22"/>
          <w:szCs w:val="22"/>
          <w:lang w:val="es-ES"/>
        </w:rPr>
        <w:t> </w:t>
      </w:r>
      <w:r w:rsidRPr="006C3103">
        <w:rPr>
          <w:rFonts w:ascii="TimesNewRomanPSMT" w:hAnsi="TimesNewRomanPSMT"/>
          <w:sz w:val="22"/>
          <w:szCs w:val="22"/>
          <w:lang w:val="es-ES"/>
        </w:rPr>
        <w:t>7D)</w:t>
      </w:r>
    </w:p>
    <w:p w14:paraId="15602D9D"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p w14:paraId="25C29550" w14:textId="061C6288" w:rsidR="00D8253F" w:rsidRPr="006C3103" w:rsidRDefault="00D8253F" w:rsidP="00D8253F">
      <w:pPr>
        <w:rPr>
          <w:rFonts w:ascii="TimesNewRomanPSMT" w:hAnsi="TimesNewRomanPSMT" w:cs="TimesNewRomanPSMT"/>
          <w:sz w:val="22"/>
          <w:szCs w:val="22"/>
          <w:lang w:val="es-ES"/>
        </w:rPr>
      </w:pPr>
      <w:bookmarkStart w:id="11" w:name="_Hlk20153006"/>
      <w:r w:rsidRPr="006C3103">
        <w:rPr>
          <w:b/>
          <w:bCs/>
          <w:i/>
          <w:iCs/>
          <w:sz w:val="22"/>
          <w:szCs w:val="22"/>
          <w:lang w:val="es-ES"/>
        </w:rPr>
        <w:t>Consecuencias en los recursos de la UIT, incluidas las implicaciones financieras (véase el CV126)</w:t>
      </w:r>
      <w:bookmarkEnd w:id="11"/>
      <w:r w:rsidRPr="006C3103">
        <w:rPr>
          <w:b/>
          <w:bCs/>
          <w:i/>
          <w:iCs/>
          <w:sz w:val="22"/>
          <w:szCs w:val="22"/>
          <w:lang w:val="es-ES"/>
        </w:rPr>
        <w:t>:</w:t>
      </w:r>
      <w:r w:rsidRPr="006C3103">
        <w:rPr>
          <w:rFonts w:ascii="TimesNewRomanPSMT" w:hAnsi="TimesNewRomanPSMT"/>
          <w:sz w:val="22"/>
          <w:szCs w:val="22"/>
          <w:lang w:val="es-ES"/>
        </w:rPr>
        <w:t xml:space="preserve"> Mínimas</w:t>
      </w:r>
    </w:p>
    <w:p w14:paraId="34E6D729"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p w14:paraId="16D9031C" w14:textId="77777777" w:rsidR="00D8253F" w:rsidRPr="006C3103" w:rsidRDefault="00D8253F" w:rsidP="00D8253F">
      <w:pPr>
        <w:rPr>
          <w:rFonts w:ascii="TimesNewRomanPSMT" w:hAnsi="TimesNewRomanPSMT" w:cs="TimesNewRomanPSMT"/>
          <w:sz w:val="22"/>
          <w:szCs w:val="22"/>
          <w:lang w:val="es-ES"/>
        </w:rPr>
      </w:pPr>
      <w:r w:rsidRPr="006C3103">
        <w:rPr>
          <w:b/>
          <w:bCs/>
          <w:i/>
          <w:iCs/>
          <w:sz w:val="22"/>
          <w:szCs w:val="22"/>
          <w:lang w:val="es-ES"/>
        </w:rPr>
        <w:t xml:space="preserve">Propuesta regional común: </w:t>
      </w:r>
      <w:r w:rsidRPr="006C3103">
        <w:rPr>
          <w:rFonts w:ascii="TimesNewRomanPSMT" w:hAnsi="TimesNewRomanPSMT"/>
          <w:sz w:val="22"/>
          <w:szCs w:val="22"/>
          <w:lang w:val="es-ES"/>
        </w:rPr>
        <w:t xml:space="preserve">Sí/No </w:t>
      </w:r>
      <w:r w:rsidRPr="006C3103">
        <w:rPr>
          <w:rFonts w:ascii="TimesNewRomanPSMT" w:hAnsi="TimesNewRomanPSMT"/>
          <w:sz w:val="22"/>
          <w:szCs w:val="22"/>
          <w:lang w:val="es-ES"/>
        </w:rPr>
        <w:tab/>
      </w:r>
      <w:r w:rsidRPr="006C3103">
        <w:rPr>
          <w:rFonts w:ascii="TimesNewRomanPSMT" w:hAnsi="TimesNewRomanPSMT"/>
          <w:sz w:val="22"/>
          <w:szCs w:val="22"/>
          <w:lang w:val="es-ES"/>
        </w:rPr>
        <w:tab/>
      </w:r>
      <w:bookmarkStart w:id="12" w:name="_Hlk20153023"/>
      <w:r w:rsidRPr="006C3103">
        <w:rPr>
          <w:b/>
          <w:bCs/>
          <w:i/>
          <w:iCs/>
          <w:sz w:val="22"/>
          <w:szCs w:val="22"/>
          <w:lang w:val="es-ES"/>
        </w:rPr>
        <w:t>Propuesta presentada por más de un país</w:t>
      </w:r>
      <w:bookmarkEnd w:id="12"/>
      <w:r w:rsidRPr="006C3103">
        <w:rPr>
          <w:b/>
          <w:bCs/>
          <w:i/>
          <w:iCs/>
          <w:sz w:val="22"/>
          <w:szCs w:val="22"/>
          <w:lang w:val="es-ES"/>
        </w:rPr>
        <w:t xml:space="preserve">: </w:t>
      </w:r>
      <w:r w:rsidRPr="006C3103">
        <w:rPr>
          <w:rFonts w:ascii="TimesNewRomanPSMT" w:hAnsi="TimesNewRomanPSMT"/>
          <w:sz w:val="22"/>
          <w:szCs w:val="22"/>
          <w:lang w:val="es-ES"/>
        </w:rPr>
        <w:t>Sí/No</w:t>
      </w:r>
    </w:p>
    <w:p w14:paraId="1E58FA07" w14:textId="77777777" w:rsidR="00D8253F" w:rsidRPr="006C3103" w:rsidRDefault="00D8253F" w:rsidP="00D8253F">
      <w:pPr>
        <w:ind w:firstLine="720"/>
        <w:rPr>
          <w:rFonts w:ascii="TimesNewRomanPS-ItalicMT" w:hAnsi="TimesNewRomanPS-ItalicMT" w:cs="TimesNewRomanPS-ItalicMT"/>
          <w:i/>
          <w:iCs/>
          <w:sz w:val="22"/>
          <w:szCs w:val="22"/>
          <w:lang w:val="es-ES"/>
        </w:rPr>
      </w:pPr>
      <w:r w:rsidRPr="006C3103">
        <w:rPr>
          <w:rFonts w:ascii="TimesNewRomanPS-ItalicMT" w:hAnsi="TimesNewRomanPS-ItalicMT"/>
          <w:i/>
          <w:iCs/>
          <w:sz w:val="22"/>
          <w:szCs w:val="22"/>
          <w:lang w:val="es-ES"/>
        </w:rPr>
        <w:t>Número de países:</w:t>
      </w:r>
    </w:p>
    <w:p w14:paraId="567CA280" w14:textId="77777777" w:rsidR="00D8253F" w:rsidRPr="006C3103" w:rsidRDefault="00D8253F" w:rsidP="00D8253F">
      <w:pPr>
        <w:pBdr>
          <w:bottom w:val="single" w:sz="12" w:space="1" w:color="auto"/>
        </w:pBdr>
        <w:tabs>
          <w:tab w:val="left" w:pos="794"/>
          <w:tab w:val="left" w:pos="1191"/>
          <w:tab w:val="left" w:pos="1588"/>
          <w:tab w:val="left" w:pos="1985"/>
        </w:tabs>
        <w:rPr>
          <w:color w:val="000000"/>
          <w:sz w:val="22"/>
          <w:szCs w:val="22"/>
          <w:lang w:val="es-ES"/>
        </w:rPr>
      </w:pPr>
    </w:p>
    <w:p w14:paraId="0672FF0A" w14:textId="77777777" w:rsidR="00D8253F" w:rsidRPr="006C3103" w:rsidRDefault="00D8253F" w:rsidP="00D8253F">
      <w:pPr>
        <w:rPr>
          <w:rFonts w:eastAsia="Calibri"/>
          <w:sz w:val="22"/>
          <w:szCs w:val="22"/>
          <w:lang w:val="es-ES"/>
        </w:rPr>
      </w:pPr>
      <w:bookmarkStart w:id="13" w:name="_Hlk20153043"/>
      <w:r w:rsidRPr="006C3103">
        <w:rPr>
          <w:b/>
          <w:bCs/>
          <w:i/>
          <w:iCs/>
          <w:sz w:val="22"/>
          <w:szCs w:val="22"/>
          <w:lang w:val="es-ES"/>
        </w:rPr>
        <w:t>Observaciones</w:t>
      </w:r>
    </w:p>
    <w:bookmarkEnd w:id="13"/>
    <w:p w14:paraId="09FCC13E" w14:textId="77777777" w:rsidR="00652270" w:rsidRPr="006C3103" w:rsidRDefault="00652270" w:rsidP="00411C49">
      <w:pPr>
        <w:pStyle w:val="Reasons"/>
        <w:rPr>
          <w:lang w:val="es-ES"/>
        </w:rPr>
      </w:pPr>
    </w:p>
    <w:p w14:paraId="408E2617" w14:textId="77777777" w:rsidR="00652270" w:rsidRPr="006C3103" w:rsidRDefault="00652270">
      <w:pPr>
        <w:jc w:val="center"/>
        <w:rPr>
          <w:lang w:val="es-ES"/>
        </w:rPr>
      </w:pPr>
      <w:r w:rsidRPr="006C3103">
        <w:rPr>
          <w:lang w:val="es-ES"/>
        </w:rPr>
        <w:t>______________</w:t>
      </w:r>
    </w:p>
    <w:sectPr w:rsidR="00652270" w:rsidRPr="006C310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8BC92" w14:textId="77777777" w:rsidR="00FD03C4" w:rsidRDefault="00FD03C4">
      <w:r>
        <w:separator/>
      </w:r>
    </w:p>
  </w:endnote>
  <w:endnote w:type="continuationSeparator" w:id="0">
    <w:p w14:paraId="257F668B"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B2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924DD" w14:textId="1F1366B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85EDA">
      <w:rPr>
        <w:noProof/>
      </w:rPr>
      <w:t>25.09.19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624C" w14:textId="77777777" w:rsidR="005B0C95" w:rsidRDefault="005B0C95" w:rsidP="005B0C95">
    <w:pPr>
      <w:pStyle w:val="Footer"/>
      <w:rPr>
        <w:lang w:val="en-US"/>
      </w:rPr>
    </w:pPr>
    <w:r>
      <w:fldChar w:fldCharType="begin"/>
    </w:r>
    <w:r>
      <w:rPr>
        <w:lang w:val="en-US"/>
      </w:rPr>
      <w:instrText xml:space="preserve"> FILENAME \p  \* MERGEFORMAT </w:instrText>
    </w:r>
    <w:r>
      <w:fldChar w:fldCharType="separate"/>
    </w:r>
    <w:r>
      <w:rPr>
        <w:lang w:val="en-US"/>
      </w:rPr>
      <w:t>P:\ESP\ITU-R\CONF-R\CMR19\000\011ADD24ADD10S.docx</w:t>
    </w:r>
    <w:r>
      <w:fldChar w:fldCharType="end"/>
    </w:r>
    <w:r>
      <w:t xml:space="preserve"> (460774)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0ABF" w14:textId="76D2233C"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5B0C95">
      <w:rPr>
        <w:lang w:val="en-US"/>
      </w:rPr>
      <w:t>P:\ESP\ITU-R\CONF-R\CMR19\000\011ADD24ADD10S.docx</w:t>
    </w:r>
    <w:r>
      <w:fldChar w:fldCharType="end"/>
    </w:r>
    <w:r w:rsidR="005B0C95">
      <w:t xml:space="preserve"> (460774)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C0777" w14:textId="77777777" w:rsidR="00FD03C4" w:rsidRDefault="00FD03C4">
      <w:r>
        <w:rPr>
          <w:b/>
        </w:rPr>
        <w:t>_______________</w:t>
      </w:r>
    </w:p>
  </w:footnote>
  <w:footnote w:type="continuationSeparator" w:id="0">
    <w:p w14:paraId="723DA2AE"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7E4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DE30537"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6C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8BC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A8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5877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8CE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64B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AC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0800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225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34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7453"/>
    <w:rsid w:val="00072CA8"/>
    <w:rsid w:val="00087AE8"/>
    <w:rsid w:val="00095C89"/>
    <w:rsid w:val="000A5B9A"/>
    <w:rsid w:val="000D3808"/>
    <w:rsid w:val="000E0027"/>
    <w:rsid w:val="000E1074"/>
    <w:rsid w:val="000E5BF9"/>
    <w:rsid w:val="000F0E6D"/>
    <w:rsid w:val="00111A83"/>
    <w:rsid w:val="00121170"/>
    <w:rsid w:val="00123CC5"/>
    <w:rsid w:val="0015142D"/>
    <w:rsid w:val="001616DC"/>
    <w:rsid w:val="00163962"/>
    <w:rsid w:val="00191A97"/>
    <w:rsid w:val="0019729C"/>
    <w:rsid w:val="001A083F"/>
    <w:rsid w:val="001B1268"/>
    <w:rsid w:val="001C41FA"/>
    <w:rsid w:val="001E2B52"/>
    <w:rsid w:val="001E3F27"/>
    <w:rsid w:val="001E7D42"/>
    <w:rsid w:val="00236D2A"/>
    <w:rsid w:val="0024569E"/>
    <w:rsid w:val="00255F12"/>
    <w:rsid w:val="00262C09"/>
    <w:rsid w:val="00293631"/>
    <w:rsid w:val="002A791F"/>
    <w:rsid w:val="002C1A52"/>
    <w:rsid w:val="002C1B26"/>
    <w:rsid w:val="002C5D6C"/>
    <w:rsid w:val="002C6613"/>
    <w:rsid w:val="002E682F"/>
    <w:rsid w:val="002E701F"/>
    <w:rsid w:val="002F5FF0"/>
    <w:rsid w:val="002F6FBD"/>
    <w:rsid w:val="003248A9"/>
    <w:rsid w:val="00324AD4"/>
    <w:rsid w:val="00324FFA"/>
    <w:rsid w:val="0032680B"/>
    <w:rsid w:val="00327231"/>
    <w:rsid w:val="00335BC1"/>
    <w:rsid w:val="0034744B"/>
    <w:rsid w:val="00363A65"/>
    <w:rsid w:val="00392BED"/>
    <w:rsid w:val="0039634B"/>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08E9"/>
    <w:rsid w:val="00524392"/>
    <w:rsid w:val="00532097"/>
    <w:rsid w:val="0055132E"/>
    <w:rsid w:val="0058350F"/>
    <w:rsid w:val="00583C7E"/>
    <w:rsid w:val="0059098E"/>
    <w:rsid w:val="005B0C95"/>
    <w:rsid w:val="005D46FB"/>
    <w:rsid w:val="005F2605"/>
    <w:rsid w:val="005F3B0E"/>
    <w:rsid w:val="005F559C"/>
    <w:rsid w:val="00602857"/>
    <w:rsid w:val="00605981"/>
    <w:rsid w:val="006124AD"/>
    <w:rsid w:val="00624009"/>
    <w:rsid w:val="00652270"/>
    <w:rsid w:val="00662BA0"/>
    <w:rsid w:val="0067344B"/>
    <w:rsid w:val="00675EF7"/>
    <w:rsid w:val="00682DCE"/>
    <w:rsid w:val="00684A94"/>
    <w:rsid w:val="00692AAE"/>
    <w:rsid w:val="006A1C3E"/>
    <w:rsid w:val="006C0E38"/>
    <w:rsid w:val="006C3103"/>
    <w:rsid w:val="006D6E67"/>
    <w:rsid w:val="006E1A13"/>
    <w:rsid w:val="006F6738"/>
    <w:rsid w:val="00701C20"/>
    <w:rsid w:val="00702F3D"/>
    <w:rsid w:val="0070518E"/>
    <w:rsid w:val="007354E9"/>
    <w:rsid w:val="0074579D"/>
    <w:rsid w:val="00765578"/>
    <w:rsid w:val="00766333"/>
    <w:rsid w:val="0077084A"/>
    <w:rsid w:val="007952C7"/>
    <w:rsid w:val="007C0B95"/>
    <w:rsid w:val="007C2317"/>
    <w:rsid w:val="007D330A"/>
    <w:rsid w:val="007E16C0"/>
    <w:rsid w:val="007F32E2"/>
    <w:rsid w:val="007F5D83"/>
    <w:rsid w:val="00866AE6"/>
    <w:rsid w:val="00867498"/>
    <w:rsid w:val="008750A8"/>
    <w:rsid w:val="008A2E62"/>
    <w:rsid w:val="008E5AF2"/>
    <w:rsid w:val="0090121B"/>
    <w:rsid w:val="009144C9"/>
    <w:rsid w:val="0094091F"/>
    <w:rsid w:val="00962171"/>
    <w:rsid w:val="00973754"/>
    <w:rsid w:val="009C0BED"/>
    <w:rsid w:val="009E11EC"/>
    <w:rsid w:val="00A021CC"/>
    <w:rsid w:val="00A118DB"/>
    <w:rsid w:val="00A42212"/>
    <w:rsid w:val="00A4450C"/>
    <w:rsid w:val="00AA5E6C"/>
    <w:rsid w:val="00AE2C7E"/>
    <w:rsid w:val="00AE5677"/>
    <w:rsid w:val="00AE658F"/>
    <w:rsid w:val="00AF0653"/>
    <w:rsid w:val="00AF2F78"/>
    <w:rsid w:val="00B239FA"/>
    <w:rsid w:val="00B437C8"/>
    <w:rsid w:val="00B47331"/>
    <w:rsid w:val="00B52D55"/>
    <w:rsid w:val="00B8288C"/>
    <w:rsid w:val="00B86034"/>
    <w:rsid w:val="00BD2159"/>
    <w:rsid w:val="00BE2E80"/>
    <w:rsid w:val="00BE5EDD"/>
    <w:rsid w:val="00BE6A1F"/>
    <w:rsid w:val="00C126C4"/>
    <w:rsid w:val="00C44E9E"/>
    <w:rsid w:val="00C63EB5"/>
    <w:rsid w:val="00C87BD9"/>
    <w:rsid w:val="00C87DA7"/>
    <w:rsid w:val="00C9321D"/>
    <w:rsid w:val="00CC01E0"/>
    <w:rsid w:val="00CD5FEE"/>
    <w:rsid w:val="00CE60D2"/>
    <w:rsid w:val="00CE7431"/>
    <w:rsid w:val="00D0288A"/>
    <w:rsid w:val="00D72A5D"/>
    <w:rsid w:val="00D8253F"/>
    <w:rsid w:val="00D85EDA"/>
    <w:rsid w:val="00DA71A3"/>
    <w:rsid w:val="00DC629B"/>
    <w:rsid w:val="00DE1C31"/>
    <w:rsid w:val="00DE4F25"/>
    <w:rsid w:val="00E05BFF"/>
    <w:rsid w:val="00E262F1"/>
    <w:rsid w:val="00E3176A"/>
    <w:rsid w:val="00E54754"/>
    <w:rsid w:val="00E56BD3"/>
    <w:rsid w:val="00E63937"/>
    <w:rsid w:val="00E71D14"/>
    <w:rsid w:val="00EA77F0"/>
    <w:rsid w:val="00F11B88"/>
    <w:rsid w:val="00F32316"/>
    <w:rsid w:val="00F550FE"/>
    <w:rsid w:val="00F66597"/>
    <w:rsid w:val="00F675D0"/>
    <w:rsid w:val="00F8150C"/>
    <w:rsid w:val="00F96B6F"/>
    <w:rsid w:val="00FA28D9"/>
    <w:rsid w:val="00FC66E5"/>
    <w:rsid w:val="00FD03C4"/>
    <w:rsid w:val="00FE4574"/>
    <w:rsid w:val="00FF21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CCA67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styleId="Revision">
    <w:name w:val="Revision"/>
    <w:hidden/>
    <w:uiPriority w:val="99"/>
    <w:semiHidden/>
    <w:rsid w:val="00FC66E5"/>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1B1268"/>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R16-WRC19-C-0011!A24-A10!MSW-S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7ADB-FE01-4E57-BB87-3A30DFDB7A79}">
  <ds:schemaRefs>
    <ds:schemaRef ds:uri="http://schemas.microsoft.com/sharepoint/v3/contenttype/forms"/>
  </ds:schemaRefs>
</ds:datastoreItem>
</file>

<file path=customXml/itemProps2.xml><?xml version="1.0" encoding="utf-8"?>
<ds:datastoreItem xmlns:ds="http://schemas.openxmlformats.org/officeDocument/2006/customXml" ds:itemID="{5D533F83-956F-40AC-9A39-3EA670926722}">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ECF60-83B8-480A-AD38-EDAFB644478D}">
  <ds:schemaRef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23D046BB-47AB-43BB-B34F-46B585B1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2089</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R16-WRC19-C-0011!A24-A10!MSW-S</vt:lpstr>
    </vt:vector>
  </TitlesOfParts>
  <Manager>Secretaría General - Pool</Manager>
  <Company>Unión Internacional de Telecomunicaciones (UIT)</Company>
  <LinksUpToDate>false</LinksUpToDate>
  <CharactersWithSpaces>13311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R16-WRC19-C-0011!A24-A10!MSW-S</dc:title>
  <dc:subject>Conferencia Mundial de Radiocomunicaciones - 2019</dc:subject>
  <dc:creator>Documents Proposals Manager (DPM)</dc:creator>
  <cp:keywords>DPM_v2019.9.20.1_prod</cp:keywords>
  <dc:description/>
  <cp:lastModifiedBy>Spanish</cp:lastModifiedBy>
  <cp:revision>49</cp:revision>
  <cp:lastPrinted>2003-02-19T20:20:00Z</cp:lastPrinted>
  <dcterms:created xsi:type="dcterms:W3CDTF">2019-09-25T12:20:00Z</dcterms:created>
  <dcterms:modified xsi:type="dcterms:W3CDTF">2019-09-25T13:06:00Z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