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51" w:type="dxa"/>
        <w:tblLayout w:type="fixed"/>
        <w:tblLook w:val="0000" w:firstRow="0" w:lastRow="0" w:firstColumn="0" w:lastColumn="0" w:noHBand="0" w:noVBand="0"/>
      </w:tblPr>
      <w:tblGrid>
        <w:gridCol w:w="6804"/>
        <w:gridCol w:w="3247"/>
      </w:tblGrid>
      <w:tr w:rsidR="00BB1D82" w:rsidRPr="00630C61" w14:paraId="15304D36" w14:textId="77777777" w:rsidTr="003C7980">
        <w:trPr>
          <w:cantSplit/>
        </w:trPr>
        <w:tc>
          <w:tcPr>
            <w:tcW w:w="6804" w:type="dxa"/>
          </w:tcPr>
          <w:p w14:paraId="1A30AB61" w14:textId="77777777" w:rsidR="00BB1D82" w:rsidRPr="00630C61" w:rsidRDefault="00851625" w:rsidP="009D3D19">
            <w:pPr>
              <w:spacing w:before="400" w:after="48"/>
              <w:rPr>
                <w:rFonts w:ascii="Verdana" w:hAnsi="Verdana"/>
                <w:b/>
                <w:bCs/>
                <w:sz w:val="20"/>
                <w:lang w:val="fr-CH"/>
              </w:rPr>
            </w:pPr>
            <w:r w:rsidRPr="00630C61">
              <w:rPr>
                <w:rFonts w:ascii="Verdana" w:hAnsi="Verdana"/>
                <w:b/>
                <w:bCs/>
                <w:sz w:val="20"/>
                <w:lang w:val="fr-CH"/>
              </w:rPr>
              <w:t>Conférence mondiale des radiocommunications (CMR-1</w:t>
            </w:r>
            <w:r w:rsidR="00FD7AA3" w:rsidRPr="00630C61">
              <w:rPr>
                <w:rFonts w:ascii="Verdana" w:hAnsi="Verdana"/>
                <w:b/>
                <w:bCs/>
                <w:sz w:val="20"/>
                <w:lang w:val="fr-CH"/>
              </w:rPr>
              <w:t>9</w:t>
            </w:r>
            <w:r w:rsidRPr="00630C61">
              <w:rPr>
                <w:rFonts w:ascii="Verdana" w:hAnsi="Verdana"/>
                <w:b/>
                <w:bCs/>
                <w:sz w:val="20"/>
                <w:lang w:val="fr-CH"/>
              </w:rPr>
              <w:t>)</w:t>
            </w:r>
            <w:r w:rsidRPr="00630C61">
              <w:rPr>
                <w:rFonts w:ascii="Verdana" w:hAnsi="Verdana"/>
                <w:b/>
                <w:bCs/>
                <w:sz w:val="20"/>
                <w:lang w:val="fr-CH"/>
              </w:rPr>
              <w:br/>
            </w:r>
            <w:r w:rsidR="00063A1F" w:rsidRPr="00630C61">
              <w:rPr>
                <w:rFonts w:ascii="Verdana" w:hAnsi="Verdana"/>
                <w:b/>
                <w:bCs/>
                <w:sz w:val="18"/>
                <w:szCs w:val="18"/>
                <w:lang w:val="fr-CH"/>
              </w:rPr>
              <w:t xml:space="preserve">Charm el-Cheikh, </w:t>
            </w:r>
            <w:r w:rsidR="00081366" w:rsidRPr="00630C61">
              <w:rPr>
                <w:rFonts w:ascii="Verdana" w:hAnsi="Verdana"/>
                <w:b/>
                <w:bCs/>
                <w:sz w:val="18"/>
                <w:szCs w:val="18"/>
                <w:lang w:val="fr-CH"/>
              </w:rPr>
              <w:t>É</w:t>
            </w:r>
            <w:r w:rsidR="00063A1F" w:rsidRPr="00630C61">
              <w:rPr>
                <w:rFonts w:ascii="Verdana" w:hAnsi="Verdana"/>
                <w:b/>
                <w:bCs/>
                <w:sz w:val="18"/>
                <w:szCs w:val="18"/>
                <w:lang w:val="fr-CH"/>
              </w:rPr>
              <w:t>gypte</w:t>
            </w:r>
            <w:r w:rsidRPr="00630C61">
              <w:rPr>
                <w:rFonts w:ascii="Verdana" w:hAnsi="Verdana"/>
                <w:b/>
                <w:bCs/>
                <w:sz w:val="18"/>
                <w:szCs w:val="18"/>
                <w:lang w:val="fr-CH"/>
              </w:rPr>
              <w:t>,</w:t>
            </w:r>
            <w:r w:rsidR="00E537FF" w:rsidRPr="00630C61">
              <w:rPr>
                <w:rFonts w:ascii="Verdana" w:hAnsi="Verdana"/>
                <w:b/>
                <w:bCs/>
                <w:sz w:val="18"/>
                <w:szCs w:val="18"/>
                <w:lang w:val="fr-CH"/>
              </w:rPr>
              <w:t xml:space="preserve"> </w:t>
            </w:r>
            <w:r w:rsidRPr="00630C61">
              <w:rPr>
                <w:rFonts w:ascii="Verdana" w:hAnsi="Verdana"/>
                <w:b/>
                <w:bCs/>
                <w:sz w:val="18"/>
                <w:szCs w:val="18"/>
                <w:lang w:val="fr-CH"/>
              </w:rPr>
              <w:t>2</w:t>
            </w:r>
            <w:r w:rsidR="00FD7AA3" w:rsidRPr="00630C61">
              <w:rPr>
                <w:rFonts w:ascii="Verdana" w:hAnsi="Verdana"/>
                <w:b/>
                <w:bCs/>
                <w:sz w:val="18"/>
                <w:szCs w:val="18"/>
                <w:lang w:val="fr-CH"/>
              </w:rPr>
              <w:t xml:space="preserve">8 octobre </w:t>
            </w:r>
            <w:r w:rsidR="00F10064" w:rsidRPr="00630C61">
              <w:rPr>
                <w:rFonts w:ascii="Verdana" w:hAnsi="Verdana"/>
                <w:b/>
                <w:bCs/>
                <w:sz w:val="18"/>
                <w:szCs w:val="18"/>
                <w:lang w:val="fr-CH"/>
              </w:rPr>
              <w:t>–</w:t>
            </w:r>
            <w:r w:rsidR="00FD7AA3" w:rsidRPr="00630C61">
              <w:rPr>
                <w:rFonts w:ascii="Verdana" w:hAnsi="Verdana"/>
                <w:b/>
                <w:bCs/>
                <w:sz w:val="18"/>
                <w:szCs w:val="18"/>
                <w:lang w:val="fr-CH"/>
              </w:rPr>
              <w:t xml:space="preserve"> </w:t>
            </w:r>
            <w:r w:rsidRPr="00630C61">
              <w:rPr>
                <w:rFonts w:ascii="Verdana" w:hAnsi="Verdana"/>
                <w:b/>
                <w:bCs/>
                <w:sz w:val="18"/>
                <w:szCs w:val="18"/>
                <w:lang w:val="fr-CH"/>
              </w:rPr>
              <w:t>2</w:t>
            </w:r>
            <w:r w:rsidR="00FD7AA3" w:rsidRPr="00630C61">
              <w:rPr>
                <w:rFonts w:ascii="Verdana" w:hAnsi="Verdana"/>
                <w:b/>
                <w:bCs/>
                <w:sz w:val="18"/>
                <w:szCs w:val="18"/>
                <w:lang w:val="fr-CH"/>
              </w:rPr>
              <w:t>2</w:t>
            </w:r>
            <w:r w:rsidRPr="00630C61">
              <w:rPr>
                <w:rFonts w:ascii="Verdana" w:hAnsi="Verdana"/>
                <w:b/>
                <w:bCs/>
                <w:sz w:val="18"/>
                <w:szCs w:val="18"/>
                <w:lang w:val="fr-CH"/>
              </w:rPr>
              <w:t xml:space="preserve"> novembre 201</w:t>
            </w:r>
            <w:r w:rsidR="00FD7AA3" w:rsidRPr="00630C61">
              <w:rPr>
                <w:rFonts w:ascii="Verdana" w:hAnsi="Verdana"/>
                <w:b/>
                <w:bCs/>
                <w:sz w:val="18"/>
                <w:szCs w:val="18"/>
                <w:lang w:val="fr-CH"/>
              </w:rPr>
              <w:t>9</w:t>
            </w:r>
          </w:p>
        </w:tc>
        <w:tc>
          <w:tcPr>
            <w:tcW w:w="3247" w:type="dxa"/>
          </w:tcPr>
          <w:p w14:paraId="582B6E38" w14:textId="77777777" w:rsidR="00BB1D82" w:rsidRPr="00630C61" w:rsidRDefault="000A55AE" w:rsidP="009D3D19">
            <w:pPr>
              <w:spacing w:before="0"/>
              <w:jc w:val="right"/>
              <w:rPr>
                <w:lang w:val="fr-CH"/>
              </w:rPr>
            </w:pPr>
            <w:r w:rsidRPr="00630C61">
              <w:rPr>
                <w:rFonts w:ascii="Verdana" w:hAnsi="Verdana"/>
                <w:b/>
                <w:bCs/>
                <w:noProof/>
                <w:lang w:val="fr-CH" w:eastAsia="zh-CN"/>
              </w:rPr>
              <w:drawing>
                <wp:inline distT="0" distB="0" distL="0" distR="0" wp14:anchorId="00BF1EA4" wp14:editId="3F072E2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30C61" w14:paraId="6D309C51" w14:textId="77777777" w:rsidTr="003C7980">
        <w:trPr>
          <w:cantSplit/>
        </w:trPr>
        <w:tc>
          <w:tcPr>
            <w:tcW w:w="6804" w:type="dxa"/>
            <w:tcBorders>
              <w:bottom w:val="single" w:sz="12" w:space="0" w:color="auto"/>
            </w:tcBorders>
          </w:tcPr>
          <w:p w14:paraId="790ED58C" w14:textId="77777777" w:rsidR="00BB1D82" w:rsidRPr="00630C61" w:rsidRDefault="00BB1D82" w:rsidP="009D3D19">
            <w:pPr>
              <w:spacing w:before="0" w:after="48"/>
              <w:rPr>
                <w:b/>
                <w:smallCaps/>
                <w:szCs w:val="24"/>
                <w:lang w:val="fr-CH"/>
              </w:rPr>
            </w:pPr>
            <w:bookmarkStart w:id="0" w:name="dhead"/>
          </w:p>
        </w:tc>
        <w:tc>
          <w:tcPr>
            <w:tcW w:w="3247" w:type="dxa"/>
            <w:tcBorders>
              <w:bottom w:val="single" w:sz="12" w:space="0" w:color="auto"/>
            </w:tcBorders>
          </w:tcPr>
          <w:p w14:paraId="49236042" w14:textId="77777777" w:rsidR="00BB1D82" w:rsidRPr="00630C61" w:rsidRDefault="00BB1D82" w:rsidP="009D3D19">
            <w:pPr>
              <w:spacing w:before="0"/>
              <w:rPr>
                <w:rFonts w:ascii="Verdana" w:hAnsi="Verdana"/>
                <w:szCs w:val="24"/>
                <w:lang w:val="fr-CH"/>
              </w:rPr>
            </w:pPr>
          </w:p>
        </w:tc>
      </w:tr>
      <w:tr w:rsidR="00BB1D82" w:rsidRPr="00630C61" w14:paraId="10BE1472" w14:textId="77777777" w:rsidTr="003C7980">
        <w:trPr>
          <w:cantSplit/>
        </w:trPr>
        <w:tc>
          <w:tcPr>
            <w:tcW w:w="6804" w:type="dxa"/>
            <w:tcBorders>
              <w:top w:val="single" w:sz="12" w:space="0" w:color="auto"/>
            </w:tcBorders>
          </w:tcPr>
          <w:p w14:paraId="7CE9AF2E" w14:textId="77777777" w:rsidR="00BB1D82" w:rsidRPr="00630C61" w:rsidRDefault="00BB1D82" w:rsidP="009D3D19">
            <w:pPr>
              <w:spacing w:before="0" w:after="48"/>
              <w:rPr>
                <w:rFonts w:ascii="Verdana" w:hAnsi="Verdana"/>
                <w:b/>
                <w:smallCaps/>
                <w:sz w:val="20"/>
                <w:lang w:val="fr-CH"/>
              </w:rPr>
            </w:pPr>
          </w:p>
        </w:tc>
        <w:tc>
          <w:tcPr>
            <w:tcW w:w="3247" w:type="dxa"/>
            <w:tcBorders>
              <w:top w:val="single" w:sz="12" w:space="0" w:color="auto"/>
            </w:tcBorders>
          </w:tcPr>
          <w:p w14:paraId="2BF27D4F" w14:textId="77777777" w:rsidR="00BB1D82" w:rsidRPr="00630C61" w:rsidRDefault="00BB1D82" w:rsidP="009D3D19">
            <w:pPr>
              <w:spacing w:before="0"/>
              <w:rPr>
                <w:rFonts w:ascii="Verdana" w:hAnsi="Verdana"/>
                <w:sz w:val="20"/>
                <w:lang w:val="fr-CH"/>
              </w:rPr>
            </w:pPr>
          </w:p>
        </w:tc>
      </w:tr>
      <w:tr w:rsidR="00BB1D82" w:rsidRPr="00630C61" w14:paraId="52503D82" w14:textId="77777777" w:rsidTr="003C7980">
        <w:trPr>
          <w:cantSplit/>
        </w:trPr>
        <w:tc>
          <w:tcPr>
            <w:tcW w:w="6804" w:type="dxa"/>
          </w:tcPr>
          <w:p w14:paraId="67231D99" w14:textId="77777777" w:rsidR="00BB1D82" w:rsidRPr="00630C61" w:rsidRDefault="006D4724" w:rsidP="009D3D19">
            <w:pPr>
              <w:spacing w:before="0"/>
              <w:rPr>
                <w:rFonts w:ascii="Verdana" w:hAnsi="Verdana"/>
                <w:b/>
                <w:sz w:val="20"/>
                <w:lang w:val="fr-CH"/>
              </w:rPr>
            </w:pPr>
            <w:r w:rsidRPr="00630C61">
              <w:rPr>
                <w:rFonts w:ascii="Verdana" w:hAnsi="Verdana"/>
                <w:b/>
                <w:sz w:val="20"/>
                <w:lang w:val="fr-CH"/>
              </w:rPr>
              <w:t>SÉANCE PLÉNIÈRE</w:t>
            </w:r>
          </w:p>
        </w:tc>
        <w:tc>
          <w:tcPr>
            <w:tcW w:w="3247" w:type="dxa"/>
          </w:tcPr>
          <w:p w14:paraId="49335BA9" w14:textId="77777777" w:rsidR="00BB1D82" w:rsidRPr="00630C61" w:rsidRDefault="006D4724" w:rsidP="009D3D19">
            <w:pPr>
              <w:spacing w:before="0"/>
              <w:rPr>
                <w:rFonts w:ascii="Verdana" w:hAnsi="Verdana"/>
                <w:sz w:val="20"/>
                <w:lang w:val="fr-CH"/>
              </w:rPr>
            </w:pPr>
            <w:r w:rsidRPr="00630C61">
              <w:rPr>
                <w:rFonts w:ascii="Verdana" w:hAnsi="Verdana"/>
                <w:b/>
                <w:sz w:val="20"/>
                <w:lang w:val="fr-CH"/>
              </w:rPr>
              <w:t>Addendum 1 au</w:t>
            </w:r>
            <w:r w:rsidRPr="00630C61">
              <w:rPr>
                <w:rFonts w:ascii="Verdana" w:hAnsi="Verdana"/>
                <w:b/>
                <w:sz w:val="20"/>
                <w:lang w:val="fr-CH"/>
              </w:rPr>
              <w:br/>
              <w:t>Document 11(Add.24)</w:t>
            </w:r>
            <w:r w:rsidR="00BB1D82" w:rsidRPr="00630C61">
              <w:rPr>
                <w:rFonts w:ascii="Verdana" w:hAnsi="Verdana"/>
                <w:b/>
                <w:sz w:val="20"/>
                <w:lang w:val="fr-CH"/>
              </w:rPr>
              <w:t>-</w:t>
            </w:r>
            <w:r w:rsidRPr="00630C61">
              <w:rPr>
                <w:rFonts w:ascii="Verdana" w:hAnsi="Verdana"/>
                <w:b/>
                <w:sz w:val="20"/>
                <w:lang w:val="fr-CH"/>
              </w:rPr>
              <w:t>F</w:t>
            </w:r>
          </w:p>
        </w:tc>
      </w:tr>
      <w:bookmarkEnd w:id="0"/>
      <w:tr w:rsidR="00690C7B" w:rsidRPr="00630C61" w14:paraId="4E529C5E" w14:textId="77777777" w:rsidTr="003C7980">
        <w:trPr>
          <w:cantSplit/>
        </w:trPr>
        <w:tc>
          <w:tcPr>
            <w:tcW w:w="6804" w:type="dxa"/>
          </w:tcPr>
          <w:p w14:paraId="6B547945" w14:textId="77777777" w:rsidR="00690C7B" w:rsidRPr="00630C61" w:rsidRDefault="00690C7B" w:rsidP="009D3D19">
            <w:pPr>
              <w:spacing w:before="0"/>
              <w:rPr>
                <w:rFonts w:ascii="Verdana" w:hAnsi="Verdana"/>
                <w:b/>
                <w:sz w:val="20"/>
                <w:lang w:val="fr-CH"/>
              </w:rPr>
            </w:pPr>
          </w:p>
        </w:tc>
        <w:tc>
          <w:tcPr>
            <w:tcW w:w="3247" w:type="dxa"/>
          </w:tcPr>
          <w:p w14:paraId="22BD2C20" w14:textId="77777777" w:rsidR="00690C7B" w:rsidRPr="00630C61" w:rsidRDefault="00690C7B" w:rsidP="009D3D19">
            <w:pPr>
              <w:spacing w:before="0"/>
              <w:rPr>
                <w:rFonts w:ascii="Verdana" w:hAnsi="Verdana"/>
                <w:b/>
                <w:sz w:val="20"/>
                <w:lang w:val="fr-CH"/>
              </w:rPr>
            </w:pPr>
            <w:r w:rsidRPr="00630C61">
              <w:rPr>
                <w:rFonts w:ascii="Verdana" w:hAnsi="Verdana"/>
                <w:b/>
                <w:sz w:val="20"/>
                <w:lang w:val="fr-CH"/>
              </w:rPr>
              <w:t>16 septembre 2019</w:t>
            </w:r>
          </w:p>
        </w:tc>
      </w:tr>
      <w:tr w:rsidR="00690C7B" w:rsidRPr="00630C61" w14:paraId="34BF0D23" w14:textId="77777777" w:rsidTr="003C7980">
        <w:trPr>
          <w:cantSplit/>
        </w:trPr>
        <w:tc>
          <w:tcPr>
            <w:tcW w:w="6804" w:type="dxa"/>
          </w:tcPr>
          <w:p w14:paraId="5245ACB2" w14:textId="77777777" w:rsidR="00690C7B" w:rsidRPr="00630C61" w:rsidRDefault="00690C7B" w:rsidP="009D3D19">
            <w:pPr>
              <w:spacing w:before="0" w:after="48"/>
              <w:rPr>
                <w:rFonts w:ascii="Verdana" w:hAnsi="Verdana"/>
                <w:b/>
                <w:smallCaps/>
                <w:sz w:val="20"/>
                <w:lang w:val="fr-CH"/>
              </w:rPr>
            </w:pPr>
          </w:p>
        </w:tc>
        <w:tc>
          <w:tcPr>
            <w:tcW w:w="3247" w:type="dxa"/>
          </w:tcPr>
          <w:p w14:paraId="55FF0DBE" w14:textId="4B947DCE" w:rsidR="00690C7B" w:rsidRPr="00630C61" w:rsidRDefault="00690C7B" w:rsidP="009D3D19">
            <w:pPr>
              <w:spacing w:before="0"/>
              <w:rPr>
                <w:rFonts w:ascii="Verdana" w:hAnsi="Verdana"/>
                <w:b/>
                <w:sz w:val="20"/>
                <w:lang w:val="fr-CH"/>
              </w:rPr>
            </w:pPr>
            <w:r w:rsidRPr="00630C61">
              <w:rPr>
                <w:rFonts w:ascii="Verdana" w:hAnsi="Verdana"/>
                <w:b/>
                <w:sz w:val="20"/>
                <w:lang w:val="fr-CH"/>
              </w:rPr>
              <w:t xml:space="preserve">Original: </w:t>
            </w:r>
            <w:r w:rsidR="005B6DF0" w:rsidRPr="00630C61">
              <w:rPr>
                <w:rFonts w:ascii="Verdana" w:hAnsi="Verdana"/>
                <w:b/>
                <w:sz w:val="20"/>
                <w:lang w:val="fr-CH"/>
              </w:rPr>
              <w:t>anglais/espagnol</w:t>
            </w:r>
          </w:p>
        </w:tc>
      </w:tr>
      <w:tr w:rsidR="00690C7B" w:rsidRPr="00630C61" w14:paraId="49270E89" w14:textId="77777777" w:rsidTr="003C7980">
        <w:trPr>
          <w:cantSplit/>
        </w:trPr>
        <w:tc>
          <w:tcPr>
            <w:tcW w:w="10051" w:type="dxa"/>
            <w:gridSpan w:val="2"/>
          </w:tcPr>
          <w:p w14:paraId="2067CCC3" w14:textId="77777777" w:rsidR="00690C7B" w:rsidRPr="00630C61" w:rsidRDefault="00690C7B" w:rsidP="009D3D19">
            <w:pPr>
              <w:spacing w:before="0"/>
              <w:rPr>
                <w:rFonts w:ascii="Verdana" w:hAnsi="Verdana"/>
                <w:b/>
                <w:sz w:val="20"/>
                <w:lang w:val="fr-CH"/>
              </w:rPr>
            </w:pPr>
          </w:p>
        </w:tc>
      </w:tr>
      <w:tr w:rsidR="00690C7B" w:rsidRPr="00630C61" w14:paraId="20E13666" w14:textId="77777777" w:rsidTr="003C7980">
        <w:trPr>
          <w:cantSplit/>
        </w:trPr>
        <w:tc>
          <w:tcPr>
            <w:tcW w:w="10051" w:type="dxa"/>
            <w:gridSpan w:val="2"/>
          </w:tcPr>
          <w:p w14:paraId="7A65725C" w14:textId="77777777" w:rsidR="00690C7B" w:rsidRPr="00630C61" w:rsidRDefault="00690C7B" w:rsidP="00EF2250">
            <w:pPr>
              <w:pStyle w:val="Source"/>
              <w:rPr>
                <w:lang w:val="fr-CH"/>
              </w:rPr>
            </w:pPr>
            <w:bookmarkStart w:id="1" w:name="dsource" w:colFirst="0" w:colLast="0"/>
            <w:r w:rsidRPr="00630C61">
              <w:rPr>
                <w:lang w:val="fr-CH"/>
              </w:rPr>
              <w:t>États Membres de la Commission interaméricaine des télécommunications (CITEL)</w:t>
            </w:r>
          </w:p>
        </w:tc>
      </w:tr>
      <w:tr w:rsidR="00690C7B" w:rsidRPr="00630C61" w14:paraId="7E508373" w14:textId="77777777" w:rsidTr="003C7980">
        <w:trPr>
          <w:cantSplit/>
        </w:trPr>
        <w:tc>
          <w:tcPr>
            <w:tcW w:w="10051" w:type="dxa"/>
            <w:gridSpan w:val="2"/>
          </w:tcPr>
          <w:p w14:paraId="7AF0AE02" w14:textId="787CB629" w:rsidR="00690C7B" w:rsidRPr="00630C61" w:rsidRDefault="00BC2793" w:rsidP="00EF2250">
            <w:pPr>
              <w:pStyle w:val="Title1"/>
              <w:rPr>
                <w:lang w:val="fr-CH"/>
              </w:rPr>
            </w:pPr>
            <w:bookmarkStart w:id="2" w:name="dtitle1" w:colFirst="0" w:colLast="0"/>
            <w:bookmarkEnd w:id="1"/>
            <w:r w:rsidRPr="00630C61">
              <w:rPr>
                <w:lang w:val="fr-CH"/>
              </w:rPr>
              <w:t>PROPOSITIONS POUR LES TRAVAUX DE LA CONFéRENCE</w:t>
            </w:r>
          </w:p>
        </w:tc>
      </w:tr>
      <w:tr w:rsidR="00690C7B" w:rsidRPr="00630C61" w14:paraId="4D39B4CB" w14:textId="77777777" w:rsidTr="003C7980">
        <w:trPr>
          <w:cantSplit/>
        </w:trPr>
        <w:tc>
          <w:tcPr>
            <w:tcW w:w="10051" w:type="dxa"/>
            <w:gridSpan w:val="2"/>
          </w:tcPr>
          <w:p w14:paraId="71CFD560" w14:textId="77777777" w:rsidR="00690C7B" w:rsidRPr="00630C61" w:rsidRDefault="00690C7B" w:rsidP="00EF2250">
            <w:pPr>
              <w:pStyle w:val="Title2"/>
              <w:rPr>
                <w:lang w:val="fr-CH"/>
              </w:rPr>
            </w:pPr>
            <w:bookmarkStart w:id="3" w:name="dtitle2" w:colFirst="0" w:colLast="0"/>
            <w:bookmarkEnd w:id="2"/>
          </w:p>
        </w:tc>
      </w:tr>
      <w:tr w:rsidR="00690C7B" w:rsidRPr="00630C61" w14:paraId="6CC4C2C0" w14:textId="77777777" w:rsidTr="003C7980">
        <w:trPr>
          <w:cantSplit/>
        </w:trPr>
        <w:tc>
          <w:tcPr>
            <w:tcW w:w="10051" w:type="dxa"/>
            <w:gridSpan w:val="2"/>
          </w:tcPr>
          <w:p w14:paraId="39D99F65" w14:textId="77777777" w:rsidR="00690C7B" w:rsidRPr="00630C61" w:rsidRDefault="00690C7B" w:rsidP="009D3D19">
            <w:pPr>
              <w:pStyle w:val="Agendaitem"/>
            </w:pPr>
            <w:bookmarkStart w:id="4" w:name="dtitle3" w:colFirst="0" w:colLast="0"/>
            <w:bookmarkEnd w:id="3"/>
            <w:r w:rsidRPr="00630C61">
              <w:t>Point 10 de l'ordre du jour</w:t>
            </w:r>
          </w:p>
        </w:tc>
      </w:tr>
    </w:tbl>
    <w:bookmarkEnd w:id="4"/>
    <w:p w14:paraId="164EFB7D" w14:textId="3CF29E8A" w:rsidR="003A583E" w:rsidRPr="00630C61" w:rsidRDefault="00BB4D3E" w:rsidP="009D3D19">
      <w:pPr>
        <w:rPr>
          <w:lang w:val="fr-CH"/>
        </w:rPr>
      </w:pPr>
      <w:r w:rsidRPr="00630C61">
        <w:rPr>
          <w:lang w:val="fr-CH"/>
        </w:rPr>
        <w:t>10</w:t>
      </w:r>
      <w:r w:rsidRPr="00630C61">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5B6DF0" w:rsidRPr="00630C61">
        <w:rPr>
          <w:lang w:val="fr-CH"/>
        </w:rPr>
        <w:t>.</w:t>
      </w:r>
    </w:p>
    <w:p w14:paraId="7A8F97A6" w14:textId="77777777" w:rsidR="00BC2793" w:rsidRPr="00630C61" w:rsidRDefault="00BC2793" w:rsidP="009D3D19">
      <w:pPr>
        <w:pStyle w:val="Headingb"/>
        <w:rPr>
          <w:lang w:val="fr-CH"/>
        </w:rPr>
      </w:pPr>
      <w:r w:rsidRPr="00630C61">
        <w:rPr>
          <w:lang w:val="fr-CH"/>
        </w:rPr>
        <w:t>Introduction</w:t>
      </w:r>
    </w:p>
    <w:p w14:paraId="34069CEB" w14:textId="67378713" w:rsidR="00EC585E" w:rsidRPr="00630C61" w:rsidRDefault="00EC585E" w:rsidP="009D3D19">
      <w:pPr>
        <w:rPr>
          <w:lang w:val="fr-CH"/>
        </w:rPr>
      </w:pPr>
      <w:r w:rsidRPr="00630C61">
        <w:rPr>
          <w:lang w:val="fr-CH"/>
        </w:rPr>
        <w:t xml:space="preserve">Le point 10 de l'ordre du jour de la CMR-19 prévoit de recommander au Conseil des points à inscrire à l'ordre du jour de la CMR suivante et </w:t>
      </w:r>
      <w:r w:rsidR="001E0005" w:rsidRPr="00630C61">
        <w:rPr>
          <w:lang w:val="fr-CH"/>
        </w:rPr>
        <w:t>d'</w:t>
      </w:r>
      <w:r w:rsidRPr="00630C61">
        <w:rPr>
          <w:lang w:val="fr-CH"/>
        </w:rPr>
        <w:t>exposer ses vues sur l'ordre du jour préliminaire de la conférence ultérieure ainsi que sur des points éventuels à inscrire à l'ordre du jour de conférences futures, conformément à l'article 7 de la Convention.</w:t>
      </w:r>
      <w:r w:rsidR="001E0005" w:rsidRPr="00630C61">
        <w:rPr>
          <w:lang w:val="fr-CH"/>
        </w:rPr>
        <w:t xml:space="preserve"> </w:t>
      </w:r>
      <w:r w:rsidR="008E38B1" w:rsidRPr="00630C61">
        <w:rPr>
          <w:lang w:val="fr-CH"/>
        </w:rPr>
        <w:t xml:space="preserve">Aux fins de ce point de l'ordre du jour, </w:t>
      </w:r>
      <w:r w:rsidR="00C41C34" w:rsidRPr="00630C61">
        <w:rPr>
          <w:lang w:val="fr-CH"/>
        </w:rPr>
        <w:t>le</w:t>
      </w:r>
      <w:r w:rsidR="00CD1073" w:rsidRPr="00630C61">
        <w:rPr>
          <w:lang w:val="fr-CH"/>
        </w:rPr>
        <w:t> </w:t>
      </w:r>
      <w:r w:rsidR="00C41C34" w:rsidRPr="00630C61">
        <w:rPr>
          <w:lang w:val="fr-CH"/>
        </w:rPr>
        <w:t>PCC.II de la CITEL présente l</w:t>
      </w:r>
      <w:r w:rsidR="00DB2D4E" w:rsidRPr="00630C61">
        <w:rPr>
          <w:lang w:val="fr-CH"/>
        </w:rPr>
        <w:t>e projet de</w:t>
      </w:r>
      <w:r w:rsidR="00C41C34" w:rsidRPr="00630C61">
        <w:rPr>
          <w:lang w:val="fr-CH"/>
        </w:rPr>
        <w:t xml:space="preserve"> proposition joint en annexe</w:t>
      </w:r>
      <w:r w:rsidR="00DB2D4E" w:rsidRPr="00630C61">
        <w:rPr>
          <w:lang w:val="fr-CH"/>
        </w:rPr>
        <w:t xml:space="preserve">, qui porte sur l'ordre du jour de la CMR-23 et invite celle-ci à examiner </w:t>
      </w:r>
      <w:r w:rsidR="00483D61" w:rsidRPr="00630C61">
        <w:rPr>
          <w:lang w:val="fr-CH"/>
        </w:rPr>
        <w:t>des dispositions réglementaires</w:t>
      </w:r>
      <w:r w:rsidR="00DB2D4E" w:rsidRPr="00630C61">
        <w:rPr>
          <w:lang w:val="fr-CH"/>
        </w:rPr>
        <w:t xml:space="preserve"> </w:t>
      </w:r>
      <w:r w:rsidR="008A59AE" w:rsidRPr="00630C61">
        <w:rPr>
          <w:lang w:val="fr-CH"/>
        </w:rPr>
        <w:t>visant</w:t>
      </w:r>
      <w:r w:rsidR="00DB2D4E" w:rsidRPr="00630C61">
        <w:rPr>
          <w:lang w:val="fr-CH"/>
        </w:rPr>
        <w:t xml:space="preserve"> à </w:t>
      </w:r>
      <w:r w:rsidR="008A59AE" w:rsidRPr="00630C61">
        <w:rPr>
          <w:lang w:val="fr-CH"/>
        </w:rPr>
        <w:t>mettre à jour</w:t>
      </w:r>
      <w:r w:rsidR="00DB2D4E" w:rsidRPr="00630C61">
        <w:rPr>
          <w:lang w:val="fr-CH"/>
        </w:rPr>
        <w:t xml:space="preserve"> l'Appendice 27 du Règlement des radiocommunications </w:t>
      </w:r>
      <w:r w:rsidR="000E60F0" w:rsidRPr="00630C61">
        <w:rPr>
          <w:lang w:val="fr-CH"/>
        </w:rPr>
        <w:t>à l'appui de la</w:t>
      </w:r>
      <w:r w:rsidR="00DB2D4E" w:rsidRPr="00630C61">
        <w:rPr>
          <w:lang w:val="fr-CH"/>
        </w:rPr>
        <w:t xml:space="preserve"> </w:t>
      </w:r>
      <w:r w:rsidR="00B4738A" w:rsidRPr="00630C61">
        <w:rPr>
          <w:lang w:val="fr-CH"/>
        </w:rPr>
        <w:t>modernis</w:t>
      </w:r>
      <w:r w:rsidR="000E60F0" w:rsidRPr="00630C61">
        <w:rPr>
          <w:lang w:val="fr-CH"/>
        </w:rPr>
        <w:t>ation</w:t>
      </w:r>
      <w:r w:rsidR="00B4738A" w:rsidRPr="00630C61">
        <w:rPr>
          <w:lang w:val="fr-CH"/>
        </w:rPr>
        <w:t xml:space="preserve"> </w:t>
      </w:r>
      <w:r w:rsidR="000E60F0" w:rsidRPr="00630C61">
        <w:rPr>
          <w:lang w:val="fr-CH"/>
        </w:rPr>
        <w:t>d</w:t>
      </w:r>
      <w:r w:rsidR="00B4738A" w:rsidRPr="00630C61">
        <w:rPr>
          <w:lang w:val="fr-CH"/>
        </w:rPr>
        <w:t xml:space="preserve">es systèmes aéronautiques large bande </w:t>
      </w:r>
      <w:r w:rsidR="000E60F0" w:rsidRPr="00630C61">
        <w:rPr>
          <w:lang w:val="fr-CH"/>
        </w:rPr>
        <w:t xml:space="preserve">en </w:t>
      </w:r>
      <w:r w:rsidR="00B4738A" w:rsidRPr="00630C61">
        <w:rPr>
          <w:lang w:val="fr-CH"/>
        </w:rPr>
        <w:t>ondes décamétriques</w:t>
      </w:r>
      <w:r w:rsidR="00DB2D4E" w:rsidRPr="00630C61">
        <w:rPr>
          <w:lang w:val="fr-CH"/>
        </w:rPr>
        <w:t>.</w:t>
      </w:r>
    </w:p>
    <w:p w14:paraId="373DF32A" w14:textId="3E5911E8" w:rsidR="00BC2793" w:rsidRPr="00630C61" w:rsidRDefault="001709A0" w:rsidP="009D3D19">
      <w:pPr>
        <w:pStyle w:val="Headingb"/>
        <w:rPr>
          <w:lang w:val="fr-CH"/>
        </w:rPr>
      </w:pPr>
      <w:bookmarkStart w:id="5" w:name="gjdgxs" w:colFirst="0" w:colLast="0"/>
      <w:bookmarkEnd w:id="5"/>
      <w:r w:rsidRPr="00630C61">
        <w:rPr>
          <w:lang w:val="fr-CH"/>
        </w:rPr>
        <w:t>Contexte</w:t>
      </w:r>
    </w:p>
    <w:p w14:paraId="71899337" w14:textId="68721071" w:rsidR="001709A0" w:rsidRPr="00630C61" w:rsidRDefault="00DC677C" w:rsidP="009D3D19">
      <w:pPr>
        <w:rPr>
          <w:lang w:val="fr-CH"/>
        </w:rPr>
      </w:pPr>
      <w:r w:rsidRPr="00630C61">
        <w:rPr>
          <w:lang w:val="fr-CH"/>
        </w:rPr>
        <w:t xml:space="preserve">D'un point de vue historique, les </w:t>
      </w:r>
      <w:r w:rsidR="000E60F0" w:rsidRPr="00630C61">
        <w:rPr>
          <w:lang w:val="fr-CH"/>
        </w:rPr>
        <w:t>radio</w:t>
      </w:r>
      <w:r w:rsidRPr="00630C61">
        <w:rPr>
          <w:lang w:val="fr-CH"/>
        </w:rPr>
        <w:t xml:space="preserve">communications aéronautiques </w:t>
      </w:r>
      <w:r w:rsidR="000E60F0" w:rsidRPr="00630C61">
        <w:rPr>
          <w:lang w:val="fr-CH"/>
        </w:rPr>
        <w:t>en</w:t>
      </w:r>
      <w:r w:rsidRPr="00630C61">
        <w:rPr>
          <w:lang w:val="fr-CH"/>
        </w:rPr>
        <w:t xml:space="preserve"> ondes décamétriques ont toujours été le système de communication à longue distance privilégié </w:t>
      </w:r>
      <w:r w:rsidR="00996BC0" w:rsidRPr="00630C61">
        <w:rPr>
          <w:lang w:val="fr-CH"/>
        </w:rPr>
        <w:t xml:space="preserve">pour assurer un transport aérien sûr et efficace dans </w:t>
      </w:r>
      <w:r w:rsidR="00DE4943" w:rsidRPr="00630C61">
        <w:rPr>
          <w:lang w:val="fr-CH"/>
        </w:rPr>
        <w:t>l</w:t>
      </w:r>
      <w:r w:rsidR="00996BC0" w:rsidRPr="00630C61">
        <w:rPr>
          <w:lang w:val="fr-CH"/>
        </w:rPr>
        <w:t>es zones isolées ou océan</w:t>
      </w:r>
      <w:r w:rsidR="00DE4943" w:rsidRPr="00630C61">
        <w:rPr>
          <w:lang w:val="fr-CH"/>
        </w:rPr>
        <w:t>iques</w:t>
      </w:r>
      <w:r w:rsidR="00996BC0" w:rsidRPr="00630C61">
        <w:rPr>
          <w:lang w:val="fr-CH"/>
        </w:rPr>
        <w:t>, c'est</w:t>
      </w:r>
      <w:r w:rsidR="00996BC0" w:rsidRPr="00630C61">
        <w:rPr>
          <w:lang w:val="fr-CH"/>
        </w:rPr>
        <w:noBreakHyphen/>
        <w:t>à</w:t>
      </w:r>
      <w:r w:rsidR="00996BC0" w:rsidRPr="00630C61">
        <w:rPr>
          <w:lang w:val="fr-CH"/>
        </w:rPr>
        <w:noBreakHyphen/>
        <w:t xml:space="preserve">dire hors de portée des </w:t>
      </w:r>
      <w:r w:rsidR="000E60F0" w:rsidRPr="00630C61">
        <w:rPr>
          <w:lang w:val="fr-CH"/>
        </w:rPr>
        <w:t>radios</w:t>
      </w:r>
      <w:r w:rsidR="00156024" w:rsidRPr="00630C61">
        <w:rPr>
          <w:lang w:val="fr-CH"/>
        </w:rPr>
        <w:t xml:space="preserve"> en ondes métriques</w:t>
      </w:r>
      <w:r w:rsidR="002030B5" w:rsidRPr="00630C61">
        <w:rPr>
          <w:lang w:val="fr-CH"/>
        </w:rPr>
        <w:t xml:space="preserve"> </w:t>
      </w:r>
      <w:r w:rsidR="000E60F0" w:rsidRPr="00630C61">
        <w:rPr>
          <w:lang w:val="fr-CH"/>
        </w:rPr>
        <w:t>au sol</w:t>
      </w:r>
      <w:r w:rsidR="002030B5" w:rsidRPr="00630C61">
        <w:rPr>
          <w:lang w:val="fr-CH"/>
        </w:rPr>
        <w:t xml:space="preserve">. </w:t>
      </w:r>
      <w:r w:rsidR="001176B1" w:rsidRPr="00630C61">
        <w:rPr>
          <w:lang w:val="fr-CH"/>
        </w:rPr>
        <w:t xml:space="preserve">Les systèmes en ondes décamétriques actuellement employés par le secteur aéronautique, qui sont analogiques et à bande latérale unique, </w:t>
      </w:r>
      <w:r w:rsidR="004546B4" w:rsidRPr="00630C61">
        <w:rPr>
          <w:lang w:val="fr-CH"/>
        </w:rPr>
        <w:t>sont vulnérables au</w:t>
      </w:r>
      <w:r w:rsidR="00F96B2E" w:rsidRPr="00630C61">
        <w:rPr>
          <w:lang w:val="fr-CH"/>
        </w:rPr>
        <w:t>x</w:t>
      </w:r>
      <w:r w:rsidR="004546B4" w:rsidRPr="00630C61">
        <w:rPr>
          <w:lang w:val="fr-CH"/>
        </w:rPr>
        <w:t xml:space="preserve"> bruit</w:t>
      </w:r>
      <w:r w:rsidR="00F96B2E" w:rsidRPr="00630C61">
        <w:rPr>
          <w:lang w:val="fr-CH"/>
        </w:rPr>
        <w:t xml:space="preserve">s d'électricité statique </w:t>
      </w:r>
      <w:r w:rsidR="000F370B" w:rsidRPr="00630C61">
        <w:rPr>
          <w:lang w:val="fr-CH"/>
        </w:rPr>
        <w:t>consécutifs</w:t>
      </w:r>
      <w:r w:rsidR="00F96B2E" w:rsidRPr="00630C61">
        <w:rPr>
          <w:lang w:val="fr-CH"/>
        </w:rPr>
        <w:t xml:space="preserve"> à la foudre et au bruit artificiel, </w:t>
      </w:r>
      <w:r w:rsidR="009322C6" w:rsidRPr="00630C61">
        <w:rPr>
          <w:lang w:val="fr-CH"/>
        </w:rPr>
        <w:t>ainsi qu'aux évanouissement</w:t>
      </w:r>
      <w:r w:rsidR="000E60F0" w:rsidRPr="00630C61">
        <w:rPr>
          <w:lang w:val="fr-CH"/>
        </w:rPr>
        <w:t>s</w:t>
      </w:r>
      <w:r w:rsidR="009322C6" w:rsidRPr="00630C61">
        <w:rPr>
          <w:lang w:val="fr-CH"/>
        </w:rPr>
        <w:t xml:space="preserve"> sélectif</w:t>
      </w:r>
      <w:r w:rsidR="000E60F0" w:rsidRPr="00630C61">
        <w:rPr>
          <w:lang w:val="fr-CH"/>
        </w:rPr>
        <w:t>s</w:t>
      </w:r>
      <w:r w:rsidR="009322C6" w:rsidRPr="00630C61">
        <w:rPr>
          <w:lang w:val="fr-CH"/>
        </w:rPr>
        <w:t xml:space="preserve"> du fait que l'atmosphère </w:t>
      </w:r>
      <w:r w:rsidR="00B91D04" w:rsidRPr="00630C61">
        <w:rPr>
          <w:lang w:val="fr-CH"/>
        </w:rPr>
        <w:t xml:space="preserve">varie </w:t>
      </w:r>
      <w:r w:rsidR="009322C6" w:rsidRPr="00630C61">
        <w:rPr>
          <w:lang w:val="fr-CH"/>
        </w:rPr>
        <w:t>en permanence.</w:t>
      </w:r>
      <w:r w:rsidR="00B91D04" w:rsidRPr="00630C61">
        <w:rPr>
          <w:lang w:val="fr-CH"/>
        </w:rPr>
        <w:t xml:space="preserve"> Les futurs systèmes de communication vocale en ondes décamétriques vont </w:t>
      </w:r>
      <w:r w:rsidR="000E60F0" w:rsidRPr="00630C61">
        <w:rPr>
          <w:lang w:val="fr-CH"/>
        </w:rPr>
        <w:t>passer à des technologies vocales</w:t>
      </w:r>
      <w:r w:rsidR="00F17652" w:rsidRPr="00630C61">
        <w:rPr>
          <w:lang w:val="fr-CH"/>
        </w:rPr>
        <w:t xml:space="preserve"> numériques</w:t>
      </w:r>
      <w:r w:rsidR="007B302A" w:rsidRPr="00630C61">
        <w:rPr>
          <w:lang w:val="fr-CH"/>
        </w:rPr>
        <w:t xml:space="preserve"> </w:t>
      </w:r>
      <w:r w:rsidR="00B91D04" w:rsidRPr="00630C61">
        <w:rPr>
          <w:lang w:val="fr-CH"/>
        </w:rPr>
        <w:t>plus évolué</w:t>
      </w:r>
      <w:r w:rsidR="000E60F0" w:rsidRPr="00630C61">
        <w:rPr>
          <w:lang w:val="fr-CH"/>
        </w:rPr>
        <w:t>e</w:t>
      </w:r>
      <w:r w:rsidR="00B91D04" w:rsidRPr="00630C61">
        <w:rPr>
          <w:lang w:val="fr-CH"/>
        </w:rPr>
        <w:t>s car beaucoup de CODECS (codeurs</w:t>
      </w:r>
      <w:r w:rsidR="00FB6B0C" w:rsidRPr="00630C61">
        <w:rPr>
          <w:lang w:val="fr-CH"/>
        </w:rPr>
        <w:t>/</w:t>
      </w:r>
      <w:r w:rsidR="00B91D04" w:rsidRPr="00630C61">
        <w:rPr>
          <w:lang w:val="fr-CH"/>
        </w:rPr>
        <w:t>décodeurs) sont désormais disponibles dans le commerce.</w:t>
      </w:r>
      <w:r w:rsidR="00F17652" w:rsidRPr="00630C61">
        <w:rPr>
          <w:lang w:val="fr-CH"/>
        </w:rPr>
        <w:t xml:space="preserve"> </w:t>
      </w:r>
      <w:r w:rsidR="00F338D0" w:rsidRPr="00630C61">
        <w:rPr>
          <w:lang w:val="fr-CH"/>
        </w:rPr>
        <w:t xml:space="preserve">La technologie des modems a considérablement évolué au cours de ces 27 dernières années, et des techniques telles que </w:t>
      </w:r>
      <w:r w:rsidR="00BC4E60" w:rsidRPr="00630C61">
        <w:rPr>
          <w:lang w:val="fr-CH"/>
        </w:rPr>
        <w:t xml:space="preserve">l'établissement automatique de la liaison (ALE) permettent désormais aux radios en ondes décamétriques de trouver la meilleure fréquence disponible à tout moment </w:t>
      </w:r>
      <w:r w:rsidR="00776C1A" w:rsidRPr="00630C61">
        <w:rPr>
          <w:lang w:val="fr-CH"/>
        </w:rPr>
        <w:t>pour établir la liaison</w:t>
      </w:r>
      <w:r w:rsidR="00BC4E60" w:rsidRPr="00630C61">
        <w:rPr>
          <w:lang w:val="fr-CH"/>
        </w:rPr>
        <w:t>.</w:t>
      </w:r>
      <w:r w:rsidR="00FD1690" w:rsidRPr="00630C61">
        <w:rPr>
          <w:lang w:val="fr-CH"/>
        </w:rPr>
        <w:t xml:space="preserve"> En outre, l'emploi de techniques de modulation efficaces du point de vue du </w:t>
      </w:r>
      <w:r w:rsidR="00FD1690" w:rsidRPr="00630C61">
        <w:rPr>
          <w:lang w:val="fr-CH"/>
        </w:rPr>
        <w:lastRenderedPageBreak/>
        <w:t>spectre</w:t>
      </w:r>
      <w:r w:rsidR="006249E3" w:rsidRPr="00630C61">
        <w:rPr>
          <w:lang w:val="fr-CH"/>
        </w:rPr>
        <w:t xml:space="preserve"> et le regroupement de canaux consécutifs en ondes décamétriques pour </w:t>
      </w:r>
      <w:r w:rsidR="000E60F0" w:rsidRPr="00630C61">
        <w:rPr>
          <w:lang w:val="fr-CH"/>
        </w:rPr>
        <w:t>les</w:t>
      </w:r>
      <w:r w:rsidR="006249E3" w:rsidRPr="00630C61">
        <w:rPr>
          <w:lang w:val="fr-CH"/>
        </w:rPr>
        <w:t xml:space="preserve"> systèmes aéronautiques </w:t>
      </w:r>
      <w:r w:rsidR="000E60F0" w:rsidRPr="00630C61">
        <w:rPr>
          <w:lang w:val="fr-CH"/>
        </w:rPr>
        <w:t xml:space="preserve">large bande en ondes décamétriques </w:t>
      </w:r>
      <w:r w:rsidR="00E94F07" w:rsidRPr="00630C61">
        <w:rPr>
          <w:lang w:val="fr-CH"/>
        </w:rPr>
        <w:t>vont permettre d'améliorer les technologies et de prendre en charge des transmissions de données à haut débit.</w:t>
      </w:r>
    </w:p>
    <w:p w14:paraId="5EA65F22" w14:textId="084CEBDD" w:rsidR="00BC2793" w:rsidRPr="00630C61" w:rsidRDefault="004901D4" w:rsidP="009D3D19">
      <w:pPr>
        <w:rPr>
          <w:lang w:val="fr-CH"/>
        </w:rPr>
      </w:pPr>
      <w:r w:rsidRPr="00630C61">
        <w:rPr>
          <w:lang w:val="fr-CH"/>
        </w:rPr>
        <w:t xml:space="preserve">Mettre en place la nouvelle génération de communications de données en ondes décamétriques pour le secteur aéronautique permettra </w:t>
      </w:r>
      <w:r w:rsidR="00306132" w:rsidRPr="00630C61">
        <w:rPr>
          <w:lang w:val="fr-CH"/>
        </w:rPr>
        <w:t xml:space="preserve">au contrôle du trafic aérien </w:t>
      </w:r>
      <w:r w:rsidRPr="00630C61">
        <w:rPr>
          <w:lang w:val="fr-CH"/>
        </w:rPr>
        <w:t xml:space="preserve">de se conformer </w:t>
      </w:r>
      <w:r w:rsidR="001C47BF" w:rsidRPr="00630C61">
        <w:rPr>
          <w:lang w:val="fr-CH"/>
        </w:rPr>
        <w:t>à la qualité de communication requise</w:t>
      </w:r>
      <w:r w:rsidR="00712936" w:rsidRPr="00630C61">
        <w:rPr>
          <w:rStyle w:val="FootnoteReference"/>
          <w:lang w:val="fr-CH"/>
        </w:rPr>
        <w:footnoteReference w:id="1"/>
      </w:r>
      <w:r w:rsidR="001C47BF" w:rsidRPr="00630C61">
        <w:rPr>
          <w:lang w:val="fr-CH"/>
        </w:rPr>
        <w:t xml:space="preserve"> </w:t>
      </w:r>
      <w:r w:rsidR="00712936" w:rsidRPr="00630C61">
        <w:rPr>
          <w:lang w:val="fr-CH"/>
        </w:rPr>
        <w:t>(RCP-240)</w:t>
      </w:r>
      <w:r w:rsidR="00F33350" w:rsidRPr="00630C61">
        <w:rPr>
          <w:lang w:val="fr-CH"/>
        </w:rPr>
        <w:t xml:space="preserve">, d'offrir </w:t>
      </w:r>
      <w:r w:rsidR="0007124C" w:rsidRPr="00630C61">
        <w:rPr>
          <w:lang w:val="fr-CH"/>
        </w:rPr>
        <w:t>une capacité vocale</w:t>
      </w:r>
      <w:r w:rsidR="00F33350" w:rsidRPr="00630C61">
        <w:rPr>
          <w:lang w:val="fr-CH"/>
        </w:rPr>
        <w:t xml:space="preserve"> numérique </w:t>
      </w:r>
      <w:r w:rsidR="0007124C" w:rsidRPr="00630C61">
        <w:rPr>
          <w:lang w:val="fr-CH"/>
        </w:rPr>
        <w:t>qui permettra de</w:t>
      </w:r>
      <w:r w:rsidR="00F33350" w:rsidRPr="00630C61">
        <w:rPr>
          <w:lang w:val="fr-CH"/>
        </w:rPr>
        <w:t xml:space="preserve"> </w:t>
      </w:r>
      <w:r w:rsidR="000846D2" w:rsidRPr="00630C61">
        <w:rPr>
          <w:lang w:val="fr-CH"/>
        </w:rPr>
        <w:t>répond</w:t>
      </w:r>
      <w:r w:rsidR="0007124C" w:rsidRPr="00630C61">
        <w:rPr>
          <w:lang w:val="fr-CH"/>
        </w:rPr>
        <w:t>re</w:t>
      </w:r>
      <w:r w:rsidR="000846D2" w:rsidRPr="00630C61">
        <w:rPr>
          <w:lang w:val="fr-CH"/>
        </w:rPr>
        <w:t xml:space="preserve"> </w:t>
      </w:r>
      <w:r w:rsidR="00F33350" w:rsidRPr="00630C61">
        <w:rPr>
          <w:lang w:val="fr-CH"/>
        </w:rPr>
        <w:t>aux plaintes fréquentes concernant le bruit dans les communications vocales analogiques en ondes décamétriques, et de réduire la charge de travail d</w:t>
      </w:r>
      <w:r w:rsidR="00B12483" w:rsidRPr="00630C61">
        <w:rPr>
          <w:lang w:val="fr-CH"/>
        </w:rPr>
        <w:t xml:space="preserve">es équipages de vol en </w:t>
      </w:r>
      <w:r w:rsidR="0007124C" w:rsidRPr="00630C61">
        <w:rPr>
          <w:lang w:val="fr-CH"/>
        </w:rPr>
        <w:t>assignant</w:t>
      </w:r>
      <w:r w:rsidR="00B12483" w:rsidRPr="00630C61">
        <w:rPr>
          <w:lang w:val="fr-CH"/>
        </w:rPr>
        <w:t xml:space="preserve"> automatiquement des fréquences aux radios des aéronefs grâce à des protocoles modernes. </w:t>
      </w:r>
      <w:r w:rsidR="004D5DAF" w:rsidRPr="00630C61">
        <w:rPr>
          <w:lang w:val="fr-CH"/>
        </w:rPr>
        <w:t>Ces travaux permettront par ailleurs aux communications aéronautiques en ondes décamétriques d'être parfaitement compatibles avec les communications aéronautiques par satellite</w:t>
      </w:r>
      <w:r w:rsidR="006A048D" w:rsidRPr="00630C61">
        <w:rPr>
          <w:lang w:val="fr-CH"/>
        </w:rPr>
        <w:t xml:space="preserve"> (SATCOM)</w:t>
      </w:r>
      <w:r w:rsidR="00054095" w:rsidRPr="00630C61">
        <w:rPr>
          <w:lang w:val="fr-CH"/>
        </w:rPr>
        <w:t>, avec lesquelles elles pourront fonctionner de manière complémentaire et synergique pour offrir une qualité, une fiabilité et une disponibilité supérieures à celles de chacun de ces deux systèmes fonctionnant seul.</w:t>
      </w:r>
      <w:r w:rsidR="00F167FD" w:rsidRPr="00630C61">
        <w:rPr>
          <w:lang w:val="fr-CH"/>
        </w:rPr>
        <w:t xml:space="preserve"> Disposer à la fois d'un système spatial et d'un système </w:t>
      </w:r>
      <w:r w:rsidR="002407BD" w:rsidRPr="00630C61">
        <w:rPr>
          <w:lang w:val="fr-CH"/>
        </w:rPr>
        <w:t>de Terre</w:t>
      </w:r>
      <w:r w:rsidR="00F167FD" w:rsidRPr="00630C61">
        <w:rPr>
          <w:lang w:val="fr-CH"/>
        </w:rPr>
        <w:t xml:space="preserve"> modernisé en ondes décamétrique pour les communications à longue distance </w:t>
      </w:r>
      <w:r w:rsidR="004310B3" w:rsidRPr="00630C61">
        <w:rPr>
          <w:lang w:val="fr-CH"/>
        </w:rPr>
        <w:t xml:space="preserve">permet de réduire les risques </w:t>
      </w:r>
      <w:r w:rsidR="00652F6D" w:rsidRPr="00630C61">
        <w:rPr>
          <w:lang w:val="fr-CH"/>
        </w:rPr>
        <w:t xml:space="preserve">que présentent </w:t>
      </w:r>
      <w:r w:rsidR="006C0603" w:rsidRPr="00630C61">
        <w:rPr>
          <w:lang w:val="fr-CH"/>
        </w:rPr>
        <w:t>l</w:t>
      </w:r>
      <w:r w:rsidR="00652F6D" w:rsidRPr="00630C61">
        <w:rPr>
          <w:lang w:val="fr-CH"/>
        </w:rPr>
        <w:t xml:space="preserve">es points de défaillance isolés </w:t>
      </w:r>
      <w:r w:rsidR="0007124C" w:rsidRPr="00630C61">
        <w:rPr>
          <w:lang w:val="fr-CH"/>
        </w:rPr>
        <w:t xml:space="preserve">associés aux vulnérabilités </w:t>
      </w:r>
      <w:r w:rsidR="006C0603" w:rsidRPr="00630C61">
        <w:rPr>
          <w:lang w:val="fr-CH"/>
        </w:rPr>
        <w:t>propres à</w:t>
      </w:r>
      <w:r w:rsidR="00652F6D" w:rsidRPr="00630C61">
        <w:rPr>
          <w:lang w:val="fr-CH"/>
        </w:rPr>
        <w:t xml:space="preserve"> chacun des systèmes (par exemple </w:t>
      </w:r>
      <w:r w:rsidR="00350B4C" w:rsidRPr="00630C61">
        <w:rPr>
          <w:lang w:val="fr-CH"/>
        </w:rPr>
        <w:t>l</w:t>
      </w:r>
      <w:r w:rsidR="000560C4" w:rsidRPr="00630C61">
        <w:rPr>
          <w:lang w:val="fr-CH"/>
        </w:rPr>
        <w:t xml:space="preserve">es </w:t>
      </w:r>
      <w:r w:rsidR="00FD69FD" w:rsidRPr="00630C61">
        <w:rPr>
          <w:lang w:val="fr-CH"/>
        </w:rPr>
        <w:t xml:space="preserve">phénomènes solaires, </w:t>
      </w:r>
      <w:r w:rsidR="00350B4C" w:rsidRPr="00630C61">
        <w:rPr>
          <w:lang w:val="fr-CH"/>
        </w:rPr>
        <w:t>l</w:t>
      </w:r>
      <w:r w:rsidR="000560C4" w:rsidRPr="00630C61">
        <w:rPr>
          <w:lang w:val="fr-CH"/>
        </w:rPr>
        <w:t xml:space="preserve">es </w:t>
      </w:r>
      <w:r w:rsidR="00D5318E" w:rsidRPr="00630C61">
        <w:rPr>
          <w:lang w:val="fr-CH"/>
        </w:rPr>
        <w:t xml:space="preserve">évanouissements dus à la pluie, </w:t>
      </w:r>
      <w:r w:rsidR="00350B4C" w:rsidRPr="00630C61">
        <w:rPr>
          <w:lang w:val="fr-CH"/>
        </w:rPr>
        <w:t>le</w:t>
      </w:r>
      <w:r w:rsidR="008F4D9D" w:rsidRPr="00630C61">
        <w:rPr>
          <w:lang w:val="fr-CH"/>
        </w:rPr>
        <w:t xml:space="preserve"> brouillage intentionnel, </w:t>
      </w:r>
      <w:r w:rsidR="00350B4C" w:rsidRPr="00630C61">
        <w:rPr>
          <w:lang w:val="fr-CH"/>
        </w:rPr>
        <w:t>les</w:t>
      </w:r>
      <w:r w:rsidR="008F4D9D" w:rsidRPr="00630C61">
        <w:rPr>
          <w:lang w:val="fr-CH"/>
        </w:rPr>
        <w:t xml:space="preserve"> pannes </w:t>
      </w:r>
      <w:r w:rsidR="00DD3F4F" w:rsidRPr="00630C61">
        <w:rPr>
          <w:lang w:val="fr-CH"/>
        </w:rPr>
        <w:t>d'équipement, etc.)</w:t>
      </w:r>
      <w:r w:rsidR="00453C7B">
        <w:rPr>
          <w:lang w:val="fr-CH"/>
        </w:rPr>
        <w:t>.</w:t>
      </w:r>
    </w:p>
    <w:p w14:paraId="225F526C" w14:textId="303F1FD3" w:rsidR="00BC2793" w:rsidRPr="00630C61" w:rsidRDefault="00BC2793" w:rsidP="009D3D19">
      <w:pPr>
        <w:pStyle w:val="Headingb"/>
        <w:rPr>
          <w:lang w:val="fr-CH"/>
        </w:rPr>
      </w:pPr>
      <w:r w:rsidRPr="00630C61">
        <w:rPr>
          <w:lang w:val="fr-CH"/>
        </w:rPr>
        <w:t>Propos</w:t>
      </w:r>
      <w:r w:rsidR="00612C40" w:rsidRPr="00630C61">
        <w:rPr>
          <w:lang w:val="fr-CH"/>
        </w:rPr>
        <w:t>ition</w:t>
      </w:r>
    </w:p>
    <w:p w14:paraId="2DD201BE" w14:textId="7F8F564C" w:rsidR="00612C40" w:rsidRPr="00630C61" w:rsidRDefault="009648C2" w:rsidP="009D3D19">
      <w:pPr>
        <w:rPr>
          <w:lang w:val="fr-CH"/>
        </w:rPr>
      </w:pPr>
      <w:r w:rsidRPr="00630C61">
        <w:rPr>
          <w:lang w:val="fr-CH"/>
        </w:rPr>
        <w:t>Il est nécessaire d</w:t>
      </w:r>
      <w:r w:rsidR="0007124C" w:rsidRPr="00630C61">
        <w:rPr>
          <w:lang w:val="fr-CH"/>
        </w:rPr>
        <w:t>'</w:t>
      </w:r>
      <w:r w:rsidRPr="00630C61">
        <w:rPr>
          <w:lang w:val="fr-CH"/>
        </w:rPr>
        <w:t xml:space="preserve">examiner l'Appendice 27 du Règlement des radiocommunications pour envisager de modifier le cadre réglementaire pertinent afin de mettre en place les applications </w:t>
      </w:r>
      <w:r w:rsidR="00447055" w:rsidRPr="00630C61">
        <w:rPr>
          <w:lang w:val="fr-CH"/>
        </w:rPr>
        <w:t xml:space="preserve">précitées, qui concernent </w:t>
      </w:r>
      <w:r w:rsidRPr="00630C61">
        <w:rPr>
          <w:lang w:val="fr-CH"/>
        </w:rPr>
        <w:t>la sécurité de la vie humaine dans le domaine de l'aviation commerciale</w:t>
      </w:r>
      <w:r w:rsidR="00447055" w:rsidRPr="00630C61">
        <w:rPr>
          <w:lang w:val="fr-CH"/>
        </w:rPr>
        <w:t>. Ce</w:t>
      </w:r>
      <w:r w:rsidR="0007124C" w:rsidRPr="00630C61">
        <w:rPr>
          <w:lang w:val="fr-CH"/>
        </w:rPr>
        <w:t>t</w:t>
      </w:r>
      <w:r w:rsidR="00447055" w:rsidRPr="00630C61">
        <w:rPr>
          <w:lang w:val="fr-CH"/>
        </w:rPr>
        <w:t xml:space="preserve"> examen devrait aussi </w:t>
      </w:r>
      <w:r w:rsidRPr="00630C61">
        <w:rPr>
          <w:lang w:val="fr-CH"/>
        </w:rPr>
        <w:t xml:space="preserve">permettre </w:t>
      </w:r>
      <w:r w:rsidR="00733142" w:rsidRPr="00630C61">
        <w:rPr>
          <w:lang w:val="fr-CH"/>
        </w:rPr>
        <w:t xml:space="preserve">aux </w:t>
      </w:r>
      <w:r w:rsidRPr="00630C61">
        <w:rPr>
          <w:lang w:val="fr-CH"/>
        </w:rPr>
        <w:t xml:space="preserve">systèmes analogiques actuels en ondes décamétriques </w:t>
      </w:r>
      <w:r w:rsidR="00733142" w:rsidRPr="00630C61">
        <w:rPr>
          <w:lang w:val="fr-CH"/>
        </w:rPr>
        <w:t>de coexister avec</w:t>
      </w:r>
      <w:r w:rsidRPr="00630C61">
        <w:rPr>
          <w:lang w:val="fr-CH"/>
        </w:rPr>
        <w:t xml:space="preserve"> des systèmes modernisés </w:t>
      </w:r>
      <w:r w:rsidR="0007124C" w:rsidRPr="00630C61">
        <w:rPr>
          <w:lang w:val="fr-CH"/>
        </w:rPr>
        <w:t>en ondes décamétrique</w:t>
      </w:r>
      <w:r w:rsidRPr="00630C61">
        <w:rPr>
          <w:lang w:val="fr-CH"/>
        </w:rPr>
        <w:t>s</w:t>
      </w:r>
      <w:r w:rsidR="0007124C" w:rsidRPr="00630C61">
        <w:rPr>
          <w:lang w:val="fr-CH"/>
        </w:rPr>
        <w:t xml:space="preserve"> offrant les capacités précitées</w:t>
      </w:r>
      <w:r w:rsidRPr="00630C61">
        <w:rPr>
          <w:lang w:val="fr-CH"/>
        </w:rPr>
        <w:t>.</w:t>
      </w:r>
    </w:p>
    <w:p w14:paraId="6F12B32A" w14:textId="77777777" w:rsidR="0015203F" w:rsidRPr="00630C61" w:rsidRDefault="0015203F" w:rsidP="009D3D19">
      <w:pPr>
        <w:tabs>
          <w:tab w:val="clear" w:pos="1134"/>
          <w:tab w:val="clear" w:pos="1871"/>
          <w:tab w:val="clear" w:pos="2268"/>
        </w:tabs>
        <w:overflowPunct/>
        <w:autoSpaceDE/>
        <w:autoSpaceDN/>
        <w:adjustRightInd/>
        <w:spacing w:before="0"/>
        <w:textAlignment w:val="auto"/>
        <w:rPr>
          <w:lang w:val="fr-CH"/>
        </w:rPr>
      </w:pPr>
      <w:r w:rsidRPr="00630C61">
        <w:rPr>
          <w:lang w:val="fr-CH"/>
        </w:rPr>
        <w:br w:type="page"/>
      </w:r>
    </w:p>
    <w:p w14:paraId="3B703A69" w14:textId="77777777" w:rsidR="0073785C" w:rsidRPr="00630C61" w:rsidRDefault="00BB4D3E" w:rsidP="009D3D19">
      <w:pPr>
        <w:pStyle w:val="Proposal"/>
        <w:rPr>
          <w:lang w:val="fr-CH"/>
        </w:rPr>
      </w:pPr>
      <w:r w:rsidRPr="00630C61">
        <w:rPr>
          <w:lang w:val="fr-CH"/>
        </w:rPr>
        <w:lastRenderedPageBreak/>
        <w:t>ADD</w:t>
      </w:r>
      <w:r w:rsidRPr="00630C61">
        <w:rPr>
          <w:lang w:val="fr-CH"/>
        </w:rPr>
        <w:tab/>
        <w:t>IAP/11A24A1/1</w:t>
      </w:r>
    </w:p>
    <w:p w14:paraId="5B7D9433" w14:textId="046F22F5" w:rsidR="0073785C" w:rsidRPr="00630C61" w:rsidRDefault="00BB4D3E" w:rsidP="009D3D19">
      <w:pPr>
        <w:pStyle w:val="ResNo"/>
        <w:rPr>
          <w:lang w:val="fr-CH"/>
        </w:rPr>
      </w:pPr>
      <w:r w:rsidRPr="00630C61">
        <w:rPr>
          <w:lang w:val="fr-CH"/>
        </w:rPr>
        <w:t>Projet de nouvelle Résolution [IAP</w:t>
      </w:r>
      <w:r w:rsidR="00511986" w:rsidRPr="00630C61">
        <w:rPr>
          <w:lang w:val="fr-CH"/>
        </w:rPr>
        <w:t>/</w:t>
      </w:r>
      <w:r w:rsidRPr="00630C61">
        <w:rPr>
          <w:lang w:val="fr-CH"/>
        </w:rPr>
        <w:t>10(A)</w:t>
      </w:r>
      <w:r w:rsidR="00511986" w:rsidRPr="00630C61">
        <w:rPr>
          <w:lang w:val="fr-CH"/>
        </w:rPr>
        <w:t xml:space="preserve"> </w:t>
      </w:r>
      <w:r w:rsidR="009D3D19" w:rsidRPr="00630C61">
        <w:rPr>
          <w:lang w:val="fr-CH"/>
        </w:rPr>
        <w:t>–</w:t>
      </w:r>
      <w:r w:rsidR="00511986" w:rsidRPr="00630C61">
        <w:rPr>
          <w:lang w:val="fr-CH"/>
        </w:rPr>
        <w:t xml:space="preserve"> 2023</w:t>
      </w:r>
      <w:r w:rsidRPr="00630C61">
        <w:rPr>
          <w:lang w:val="fr-CH"/>
        </w:rPr>
        <w:t>]</w:t>
      </w:r>
      <w:r w:rsidR="00511986" w:rsidRPr="00630C61">
        <w:rPr>
          <w:lang w:val="fr-CH"/>
        </w:rPr>
        <w:t xml:space="preserve"> (</w:t>
      </w:r>
      <w:r w:rsidR="004043A9" w:rsidRPr="00630C61">
        <w:rPr>
          <w:lang w:val="fr-CH"/>
        </w:rPr>
        <w:t>CMR</w:t>
      </w:r>
      <w:r w:rsidR="00511986" w:rsidRPr="00630C61">
        <w:rPr>
          <w:lang w:val="fr-CH"/>
        </w:rPr>
        <w:t>-19)</w:t>
      </w:r>
    </w:p>
    <w:p w14:paraId="67858F95" w14:textId="6CFE7A13" w:rsidR="000178A0" w:rsidRPr="00630C61" w:rsidRDefault="000178A0" w:rsidP="009D3D19">
      <w:pPr>
        <w:pStyle w:val="Restitle"/>
        <w:rPr>
          <w:lang w:val="fr-CH"/>
        </w:rPr>
      </w:pPr>
      <w:r w:rsidRPr="00630C61">
        <w:rPr>
          <w:lang w:val="fr-CH"/>
        </w:rPr>
        <w:t>Ordre du jour de la Conférence mondiale des radiocommunications de 20</w:t>
      </w:r>
      <w:r w:rsidR="003A44ED" w:rsidRPr="00630C61">
        <w:rPr>
          <w:lang w:val="fr-CH"/>
        </w:rPr>
        <w:t>23</w:t>
      </w:r>
    </w:p>
    <w:p w14:paraId="28DFAE11" w14:textId="346D13E9" w:rsidR="0073785C" w:rsidRPr="00630C61" w:rsidRDefault="000178A0" w:rsidP="009D3D19">
      <w:pPr>
        <w:pStyle w:val="Normalaftertitle"/>
        <w:rPr>
          <w:lang w:val="fr-CH"/>
        </w:rPr>
      </w:pPr>
      <w:r w:rsidRPr="00630C61">
        <w:rPr>
          <w:lang w:val="fr-CH"/>
        </w:rPr>
        <w:t xml:space="preserve">La Conférence mondiale des radiocommunications </w:t>
      </w:r>
      <w:r w:rsidR="003A44ED" w:rsidRPr="00630C61">
        <w:rPr>
          <w:lang w:val="fr-CH"/>
        </w:rPr>
        <w:t>(</w:t>
      </w:r>
      <w:r w:rsidR="00155DA9" w:rsidRPr="00630C61">
        <w:rPr>
          <w:lang w:val="fr-CH"/>
        </w:rPr>
        <w:t>C</w:t>
      </w:r>
      <w:r w:rsidR="003A44ED" w:rsidRPr="00630C61">
        <w:rPr>
          <w:lang w:val="fr-CH"/>
        </w:rPr>
        <w:t>harm el-</w:t>
      </w:r>
      <w:r w:rsidR="009D3D19" w:rsidRPr="00630C61">
        <w:rPr>
          <w:lang w:val="fr-CH"/>
        </w:rPr>
        <w:t>C</w:t>
      </w:r>
      <w:r w:rsidR="003A44ED" w:rsidRPr="00630C61">
        <w:rPr>
          <w:lang w:val="fr-CH"/>
        </w:rPr>
        <w:t>heikh, 2019),</w:t>
      </w:r>
    </w:p>
    <w:p w14:paraId="6D67E86C" w14:textId="77777777" w:rsidR="000178A0" w:rsidRPr="00630C61" w:rsidRDefault="000178A0" w:rsidP="009D3D19">
      <w:pPr>
        <w:pStyle w:val="Call"/>
        <w:rPr>
          <w:lang w:val="fr-CH"/>
        </w:rPr>
      </w:pPr>
      <w:r w:rsidRPr="00630C61">
        <w:rPr>
          <w:lang w:val="fr-CH"/>
        </w:rPr>
        <w:t>considérant</w:t>
      </w:r>
    </w:p>
    <w:p w14:paraId="464C624F" w14:textId="70389076" w:rsidR="000178A0" w:rsidRPr="00630C61" w:rsidRDefault="000178A0" w:rsidP="009D3D19">
      <w:pPr>
        <w:rPr>
          <w:lang w:val="fr-CH"/>
        </w:rPr>
      </w:pPr>
      <w:r w:rsidRPr="00630C61">
        <w:rPr>
          <w:i/>
          <w:iCs/>
          <w:lang w:val="fr-CH"/>
        </w:rPr>
        <w:t>a)</w:t>
      </w:r>
      <w:r w:rsidR="00B91120" w:rsidRPr="00630C61">
        <w:rPr>
          <w:lang w:val="fr-CH"/>
        </w:rPr>
        <w:tab/>
      </w:r>
      <w:r w:rsidRPr="00630C61">
        <w:rPr>
          <w:lang w:val="fr-CH"/>
        </w:rPr>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14:paraId="7B6439E7" w14:textId="097D3C51" w:rsidR="000178A0" w:rsidRPr="00630C61" w:rsidRDefault="000178A0" w:rsidP="009D3D19">
      <w:pPr>
        <w:rPr>
          <w:lang w:val="fr-CH"/>
        </w:rPr>
      </w:pPr>
      <w:r w:rsidRPr="00630C61">
        <w:rPr>
          <w:i/>
          <w:iCs/>
          <w:lang w:val="fr-CH"/>
        </w:rPr>
        <w:t>b)</w:t>
      </w:r>
      <w:r w:rsidR="00B91120" w:rsidRPr="00630C61">
        <w:rPr>
          <w:i/>
          <w:iCs/>
          <w:lang w:val="fr-CH"/>
        </w:rPr>
        <w:tab/>
      </w:r>
      <w:r w:rsidRPr="00630C61">
        <w:rPr>
          <w:lang w:val="fr-CH"/>
        </w:rPr>
        <w:t>l'article 13 de la Constitution de l'UIT concernant la compétence et la fréquence des conférences mondiales des radiocommunications, et l'article 7 de la Convention relatif à leur ordre du jour;</w:t>
      </w:r>
    </w:p>
    <w:p w14:paraId="4E907EBC" w14:textId="450AEB23" w:rsidR="000178A0" w:rsidRPr="00630C61" w:rsidRDefault="000178A0" w:rsidP="009D3D19">
      <w:pPr>
        <w:rPr>
          <w:lang w:val="fr-CH"/>
        </w:rPr>
      </w:pPr>
      <w:r w:rsidRPr="00630C61">
        <w:rPr>
          <w:i/>
          <w:iCs/>
          <w:lang w:val="fr-CH"/>
        </w:rPr>
        <w:t>c)</w:t>
      </w:r>
      <w:r w:rsidR="00B91120" w:rsidRPr="00630C61">
        <w:rPr>
          <w:lang w:val="fr-CH"/>
        </w:rPr>
        <w:tab/>
      </w:r>
      <w:r w:rsidRPr="00630C61">
        <w:rPr>
          <w:lang w:val="fr-CH"/>
        </w:rPr>
        <w:t>les résolutions et recommandations pertinentes des conférences administratives mondiales des radiocommunications (CAMR) et des conférences mondiales des radiocommunications (CMR) précédentes,</w:t>
      </w:r>
    </w:p>
    <w:p w14:paraId="253928E0" w14:textId="77777777" w:rsidR="000178A0" w:rsidRPr="00630C61" w:rsidRDefault="000178A0" w:rsidP="009D3D19">
      <w:pPr>
        <w:pStyle w:val="Call"/>
        <w:rPr>
          <w:lang w:val="fr-CH"/>
        </w:rPr>
      </w:pPr>
      <w:r w:rsidRPr="00630C61">
        <w:rPr>
          <w:lang w:val="fr-CH"/>
        </w:rPr>
        <w:t>décide</w:t>
      </w:r>
    </w:p>
    <w:p w14:paraId="1CE1DE3D" w14:textId="0C2EA076" w:rsidR="000178A0" w:rsidRPr="00630C61" w:rsidRDefault="000178A0" w:rsidP="009D3D19">
      <w:pPr>
        <w:rPr>
          <w:lang w:val="fr-CH"/>
        </w:rPr>
      </w:pPr>
      <w:r w:rsidRPr="00630C61">
        <w:rPr>
          <w:lang w:val="fr-CH"/>
        </w:rPr>
        <w:t>de recommander au Conseil de convoquer en 20</w:t>
      </w:r>
      <w:r w:rsidR="004043A9" w:rsidRPr="00630C61">
        <w:rPr>
          <w:lang w:val="fr-CH"/>
        </w:rPr>
        <w:t>23</w:t>
      </w:r>
      <w:r w:rsidRPr="00630C61">
        <w:rPr>
          <w:lang w:val="fr-CH"/>
        </w:rPr>
        <w:t xml:space="preserve"> une conférence mondiale des radiocommunications d'une durée maximale de quatre semaines, dont l'ordre du jour sera le suivant:</w:t>
      </w:r>
    </w:p>
    <w:p w14:paraId="20177ADE" w14:textId="10337955" w:rsidR="000178A0" w:rsidRPr="00630C61" w:rsidRDefault="000178A0" w:rsidP="009D3D19">
      <w:pPr>
        <w:rPr>
          <w:lang w:val="fr-CH"/>
        </w:rPr>
      </w:pPr>
      <w:r w:rsidRPr="00630C61">
        <w:rPr>
          <w:lang w:val="fr-CH"/>
        </w:rPr>
        <w:t>1</w:t>
      </w:r>
      <w:r w:rsidR="00B91120" w:rsidRPr="00630C61">
        <w:rPr>
          <w:lang w:val="fr-CH"/>
        </w:rPr>
        <w:tab/>
      </w:r>
      <w:r w:rsidRPr="00630C61">
        <w:rPr>
          <w:lang w:val="fr-CH"/>
        </w:rPr>
        <w:t>sur la base des propositions des administrations, compte tenu des résultats de la CMR</w:t>
      </w:r>
      <w:r w:rsidR="00E97668" w:rsidRPr="00630C61">
        <w:rPr>
          <w:lang w:val="fr-CH"/>
        </w:rPr>
        <w:noBreakHyphen/>
      </w:r>
      <w:r w:rsidRPr="00630C61">
        <w:rPr>
          <w:lang w:val="fr-CH"/>
        </w:rPr>
        <w:t>1</w:t>
      </w:r>
      <w:r w:rsidR="00E97668" w:rsidRPr="00630C61">
        <w:rPr>
          <w:lang w:val="fr-CH"/>
        </w:rPr>
        <w:t>9</w:t>
      </w:r>
      <w:r w:rsidRPr="00630C61">
        <w:rPr>
          <w:lang w:val="fr-CH"/>
        </w:rPr>
        <w:t xml:space="preserve"> </w:t>
      </w:r>
      <w:r w:rsidR="00941529" w:rsidRPr="00630C61">
        <w:rPr>
          <w:lang w:val="fr-CH"/>
        </w:rPr>
        <w:t xml:space="preserve">et </w:t>
      </w:r>
      <w:r w:rsidRPr="00630C61">
        <w:rPr>
          <w:lang w:val="fr-CH"/>
        </w:rPr>
        <w:t>du rapport de la Réunion de préparation à la Conférence</w:t>
      </w:r>
      <w:r w:rsidR="0066032D" w:rsidRPr="00630C61">
        <w:rPr>
          <w:lang w:val="fr-CH"/>
        </w:rPr>
        <w:t>,</w:t>
      </w:r>
      <w:r w:rsidRPr="00630C61">
        <w:rPr>
          <w:lang w:val="fr-CH"/>
        </w:rPr>
        <w:t xml:space="preserve"> et compte dûment tenu des besoins des services existants </w:t>
      </w:r>
      <w:r w:rsidR="00FF7AD4" w:rsidRPr="00630C61">
        <w:rPr>
          <w:lang w:val="fr-CH"/>
        </w:rPr>
        <w:t>et</w:t>
      </w:r>
      <w:r w:rsidRPr="00630C61">
        <w:rPr>
          <w:lang w:val="fr-CH"/>
        </w:rPr>
        <w:t xml:space="preserve"> futurs dans les bandes de fréquences considérées, examiner les points suivants et prendre les mesures appropriées:</w:t>
      </w:r>
    </w:p>
    <w:p w14:paraId="45E3AE77" w14:textId="648B358F" w:rsidR="000178A0" w:rsidRPr="00630C61" w:rsidRDefault="000178A0" w:rsidP="009D3D19">
      <w:pPr>
        <w:rPr>
          <w:szCs w:val="24"/>
          <w:lang w:val="fr-CH"/>
        </w:rPr>
      </w:pPr>
      <w:r w:rsidRPr="00630C61">
        <w:rPr>
          <w:szCs w:val="24"/>
          <w:lang w:val="fr-CH"/>
        </w:rPr>
        <w:t>1.[XXX]</w:t>
      </w:r>
      <w:r w:rsidRPr="00630C61">
        <w:rPr>
          <w:szCs w:val="24"/>
          <w:lang w:val="fr-CH"/>
        </w:rPr>
        <w:tab/>
      </w:r>
      <w:r w:rsidR="00416FC6" w:rsidRPr="00630C61">
        <w:rPr>
          <w:szCs w:val="24"/>
          <w:lang w:val="fr-CH"/>
        </w:rPr>
        <w:t xml:space="preserve">examiner, compte tenu des études menées par l'UIT-R conformément à la </w:t>
      </w:r>
      <w:r w:rsidRPr="00630C61">
        <w:rPr>
          <w:szCs w:val="24"/>
          <w:lang w:val="fr-CH"/>
        </w:rPr>
        <w:t>R</w:t>
      </w:r>
      <w:r w:rsidR="00416FC6" w:rsidRPr="00630C61">
        <w:rPr>
          <w:szCs w:val="24"/>
          <w:lang w:val="fr-CH"/>
        </w:rPr>
        <w:t>é</w:t>
      </w:r>
      <w:r w:rsidRPr="00630C61">
        <w:rPr>
          <w:szCs w:val="24"/>
          <w:lang w:val="fr-CH"/>
        </w:rPr>
        <w:t xml:space="preserve">solution </w:t>
      </w:r>
      <w:r w:rsidRPr="00630C61">
        <w:rPr>
          <w:b/>
          <w:szCs w:val="24"/>
          <w:lang w:val="fr-CH"/>
        </w:rPr>
        <w:t xml:space="preserve">[IAP/10(A)/APPENDIX-27] </w:t>
      </w:r>
      <w:r w:rsidR="009D3D19" w:rsidRPr="00630C61">
        <w:rPr>
          <w:b/>
          <w:szCs w:val="24"/>
          <w:lang w:val="fr-CH"/>
        </w:rPr>
        <w:t>(</w:t>
      </w:r>
      <w:r w:rsidR="00416FC6" w:rsidRPr="00630C61">
        <w:rPr>
          <w:b/>
          <w:szCs w:val="24"/>
          <w:lang w:val="fr-CH"/>
        </w:rPr>
        <w:t>CMR</w:t>
      </w:r>
      <w:r w:rsidRPr="00630C61">
        <w:rPr>
          <w:b/>
          <w:szCs w:val="24"/>
          <w:lang w:val="fr-CH"/>
        </w:rPr>
        <w:t>-19)</w:t>
      </w:r>
      <w:r w:rsidRPr="00630C61">
        <w:rPr>
          <w:szCs w:val="24"/>
          <w:lang w:val="fr-CH"/>
        </w:rPr>
        <w:t xml:space="preserve">, </w:t>
      </w:r>
      <w:r w:rsidR="00775152" w:rsidRPr="00630C61">
        <w:rPr>
          <w:szCs w:val="24"/>
          <w:lang w:val="fr-CH"/>
        </w:rPr>
        <w:t xml:space="preserve">les mesures réglementaires pertinentes et les mises à jour de l'Appendice 27 du Règlement des radiocommunications </w:t>
      </w:r>
      <w:r w:rsidR="00E737DC" w:rsidRPr="00630C61">
        <w:rPr>
          <w:szCs w:val="24"/>
          <w:lang w:val="fr-CH"/>
        </w:rPr>
        <w:t>à l'appui de</w:t>
      </w:r>
      <w:r w:rsidR="00775152" w:rsidRPr="00630C61">
        <w:rPr>
          <w:szCs w:val="24"/>
          <w:lang w:val="fr-CH"/>
        </w:rPr>
        <w:t xml:space="preserve"> la modernisation des </w:t>
      </w:r>
      <w:r w:rsidR="009D3D19" w:rsidRPr="00630C61">
        <w:rPr>
          <w:szCs w:val="24"/>
          <w:lang w:val="fr-CH"/>
        </w:rPr>
        <w:t xml:space="preserve">systèmes </w:t>
      </w:r>
      <w:r w:rsidR="00775152" w:rsidRPr="00630C61">
        <w:rPr>
          <w:szCs w:val="24"/>
          <w:lang w:val="fr-CH"/>
        </w:rPr>
        <w:t>aéronautiques large bande en ondes décamétriques</w:t>
      </w:r>
      <w:r w:rsidR="00DA4AF6" w:rsidRPr="00630C61">
        <w:rPr>
          <w:szCs w:val="24"/>
          <w:lang w:val="fr-CH"/>
        </w:rPr>
        <w:t>,</w:t>
      </w:r>
    </w:p>
    <w:p w14:paraId="57A40904" w14:textId="77777777" w:rsidR="000178A0" w:rsidRPr="00630C61" w:rsidRDefault="000178A0" w:rsidP="009D3D19">
      <w:pPr>
        <w:pStyle w:val="Call"/>
        <w:rPr>
          <w:lang w:val="fr-CH"/>
        </w:rPr>
      </w:pPr>
      <w:r w:rsidRPr="00630C61">
        <w:rPr>
          <w:lang w:val="fr-CH"/>
        </w:rPr>
        <w:t>décide en outre</w:t>
      </w:r>
    </w:p>
    <w:p w14:paraId="4AFABF09" w14:textId="77777777" w:rsidR="000178A0" w:rsidRPr="00630C61" w:rsidRDefault="000178A0" w:rsidP="009D3D19">
      <w:pPr>
        <w:rPr>
          <w:lang w:val="fr-CH"/>
        </w:rPr>
      </w:pPr>
      <w:r w:rsidRPr="00630C61">
        <w:rPr>
          <w:lang w:val="fr-CH"/>
        </w:rPr>
        <w:t>d'activer la Réunion de préparation à la Conférence,</w:t>
      </w:r>
    </w:p>
    <w:p w14:paraId="4AC4C1FA" w14:textId="77777777" w:rsidR="000178A0" w:rsidRPr="00630C61" w:rsidRDefault="000178A0" w:rsidP="009D3D19">
      <w:pPr>
        <w:pStyle w:val="Call"/>
        <w:rPr>
          <w:lang w:val="fr-CH"/>
        </w:rPr>
      </w:pPr>
      <w:r w:rsidRPr="00630C61">
        <w:rPr>
          <w:lang w:val="fr-CH"/>
        </w:rPr>
        <w:t>invite le Conseil</w:t>
      </w:r>
    </w:p>
    <w:p w14:paraId="795281F7" w14:textId="6EC257B6" w:rsidR="000178A0" w:rsidRPr="00630C61" w:rsidRDefault="000178A0" w:rsidP="009D3D19">
      <w:pPr>
        <w:rPr>
          <w:lang w:val="fr-CH"/>
        </w:rPr>
      </w:pPr>
      <w:r w:rsidRPr="00630C61">
        <w:rPr>
          <w:lang w:val="fr-CH"/>
        </w:rPr>
        <w:t xml:space="preserve">à arrêter définitivement l'ordre du jour, à prendre les dispositions nécessaires </w:t>
      </w:r>
      <w:r w:rsidR="00A92126" w:rsidRPr="00630C61">
        <w:rPr>
          <w:lang w:val="fr-CH"/>
        </w:rPr>
        <w:t>pour convoquer</w:t>
      </w:r>
      <w:r w:rsidRPr="00630C61">
        <w:rPr>
          <w:lang w:val="fr-CH"/>
        </w:rPr>
        <w:t xml:space="preserve"> la CMR-</w:t>
      </w:r>
      <w:r w:rsidR="00B02E11" w:rsidRPr="00630C61">
        <w:rPr>
          <w:lang w:val="fr-CH"/>
        </w:rPr>
        <w:t>23</w:t>
      </w:r>
      <w:r w:rsidRPr="00630C61">
        <w:rPr>
          <w:lang w:val="fr-CH"/>
        </w:rPr>
        <w:t xml:space="preserve"> et à engager dès que possible les consultations nécessaires avec les </w:t>
      </w:r>
      <w:r w:rsidR="009D3D19" w:rsidRPr="00630C61">
        <w:rPr>
          <w:lang w:val="fr-CH"/>
        </w:rPr>
        <w:t>É</w:t>
      </w:r>
      <w:r w:rsidRPr="00630C61">
        <w:rPr>
          <w:lang w:val="fr-CH"/>
        </w:rPr>
        <w:t>tats</w:t>
      </w:r>
      <w:r w:rsidR="009D3D19" w:rsidRPr="00630C61">
        <w:rPr>
          <w:lang w:val="fr-CH"/>
        </w:rPr>
        <w:t xml:space="preserve"> </w:t>
      </w:r>
      <w:r w:rsidRPr="00630C61">
        <w:rPr>
          <w:lang w:val="fr-CH"/>
        </w:rPr>
        <w:t>Membres,</w:t>
      </w:r>
    </w:p>
    <w:p w14:paraId="0268E7A9" w14:textId="77777777" w:rsidR="003A44ED" w:rsidRPr="00630C61" w:rsidRDefault="003A44ED" w:rsidP="009D3D19">
      <w:pPr>
        <w:pStyle w:val="Call"/>
        <w:rPr>
          <w:lang w:val="fr-CH"/>
        </w:rPr>
      </w:pPr>
      <w:r w:rsidRPr="00630C61">
        <w:rPr>
          <w:lang w:val="fr-CH"/>
        </w:rPr>
        <w:t>charge le Directeur du Bureau des radiocommunications</w:t>
      </w:r>
    </w:p>
    <w:p w14:paraId="0D8BF5B2" w14:textId="539FE3F5" w:rsidR="003A44ED" w:rsidRPr="00630C61" w:rsidRDefault="003A44ED" w:rsidP="009D3D19">
      <w:pPr>
        <w:rPr>
          <w:lang w:val="fr-CH"/>
        </w:rPr>
      </w:pPr>
      <w:r w:rsidRPr="00630C61">
        <w:rPr>
          <w:lang w:val="fr-CH"/>
        </w:rPr>
        <w:t xml:space="preserve">de prendre les dispositions </w:t>
      </w:r>
      <w:r w:rsidR="00E737DC" w:rsidRPr="00630C61">
        <w:rPr>
          <w:lang w:val="fr-CH"/>
        </w:rPr>
        <w:t>requises</w:t>
      </w:r>
      <w:r w:rsidRPr="00630C61">
        <w:rPr>
          <w:lang w:val="fr-CH"/>
        </w:rPr>
        <w:t xml:space="preserve"> pour </w:t>
      </w:r>
      <w:r w:rsidR="003F6B8C" w:rsidRPr="00630C61">
        <w:rPr>
          <w:lang w:val="fr-CH"/>
        </w:rPr>
        <w:t>convoquer les</w:t>
      </w:r>
      <w:r w:rsidRPr="00630C61">
        <w:rPr>
          <w:lang w:val="fr-CH"/>
        </w:rPr>
        <w:t xml:space="preserve"> sessions de la Réunion de préparation à la Conférence et d'élaborer un </w:t>
      </w:r>
      <w:r w:rsidR="007D3D2E" w:rsidRPr="00630C61">
        <w:rPr>
          <w:lang w:val="fr-CH"/>
        </w:rPr>
        <w:t>r</w:t>
      </w:r>
      <w:r w:rsidRPr="00630C61">
        <w:rPr>
          <w:lang w:val="fr-CH"/>
        </w:rPr>
        <w:t>apport à l'intention de la CMR-</w:t>
      </w:r>
      <w:r w:rsidR="00026D03" w:rsidRPr="00630C61">
        <w:rPr>
          <w:lang w:val="fr-CH"/>
        </w:rPr>
        <w:t>23</w:t>
      </w:r>
      <w:r w:rsidRPr="00630C61">
        <w:rPr>
          <w:lang w:val="fr-CH"/>
        </w:rPr>
        <w:t>,</w:t>
      </w:r>
    </w:p>
    <w:p w14:paraId="65AD1EBC" w14:textId="77777777" w:rsidR="003A44ED" w:rsidRPr="00630C61" w:rsidRDefault="003A44ED" w:rsidP="009D3D19">
      <w:pPr>
        <w:pStyle w:val="Call"/>
        <w:rPr>
          <w:lang w:val="fr-CH"/>
        </w:rPr>
      </w:pPr>
      <w:r w:rsidRPr="00630C61">
        <w:rPr>
          <w:lang w:val="fr-CH"/>
        </w:rPr>
        <w:t>charge le Secrétaire général</w:t>
      </w:r>
    </w:p>
    <w:p w14:paraId="3D810DB4" w14:textId="38C1332A" w:rsidR="003A44ED" w:rsidRPr="00630C61" w:rsidRDefault="003A44ED" w:rsidP="009D3D19">
      <w:pPr>
        <w:rPr>
          <w:lang w:val="fr-CH"/>
        </w:rPr>
      </w:pPr>
      <w:r w:rsidRPr="00630C61">
        <w:rPr>
          <w:lang w:val="fr-CH"/>
        </w:rPr>
        <w:t>de communiquer la présente Résolution aux organisations internationales ou régionales concernées.</w:t>
      </w:r>
    </w:p>
    <w:p w14:paraId="0E9A933B" w14:textId="5F605298" w:rsidR="000178A0" w:rsidRPr="00630C61" w:rsidRDefault="00EE3244" w:rsidP="009D3D19">
      <w:pPr>
        <w:pStyle w:val="Reasons"/>
        <w:rPr>
          <w:lang w:val="fr-CH"/>
        </w:rPr>
      </w:pPr>
      <w:r w:rsidRPr="00630C61">
        <w:rPr>
          <w:b/>
          <w:lang w:val="fr-CH"/>
        </w:rPr>
        <w:t>Motifs</w:t>
      </w:r>
      <w:r w:rsidR="00DF63C5" w:rsidRPr="00630C61">
        <w:rPr>
          <w:b/>
          <w:lang w:val="fr-CH"/>
        </w:rPr>
        <w:t>:</w:t>
      </w:r>
      <w:r w:rsidR="00DF63C5" w:rsidRPr="00630C61">
        <w:rPr>
          <w:lang w:val="fr-CH"/>
        </w:rPr>
        <w:tab/>
        <w:t>L</w:t>
      </w:r>
      <w:r w:rsidR="009D3D19" w:rsidRPr="00630C61">
        <w:rPr>
          <w:lang w:val="fr-CH"/>
        </w:rPr>
        <w:t>'</w:t>
      </w:r>
      <w:r w:rsidR="00DF63C5" w:rsidRPr="00630C61">
        <w:rPr>
          <w:lang w:val="fr-CH"/>
        </w:rPr>
        <w:t>utilisation par l</w:t>
      </w:r>
      <w:r w:rsidR="009D3D19" w:rsidRPr="00630C61">
        <w:rPr>
          <w:lang w:val="fr-CH"/>
        </w:rPr>
        <w:t>'</w:t>
      </w:r>
      <w:r w:rsidR="00DF63C5" w:rsidRPr="00630C61">
        <w:rPr>
          <w:lang w:val="fr-CH"/>
        </w:rPr>
        <w:t xml:space="preserve">aviation des différentes bandes de fréquences </w:t>
      </w:r>
      <w:r w:rsidR="00897304" w:rsidRPr="00630C61">
        <w:rPr>
          <w:lang w:val="fr-CH"/>
        </w:rPr>
        <w:t>en ondes décamétriques</w:t>
      </w:r>
      <w:r w:rsidR="00DF63C5" w:rsidRPr="00630C61">
        <w:rPr>
          <w:lang w:val="fr-CH"/>
        </w:rPr>
        <w:t xml:space="preserve"> dans la gamme 2 850</w:t>
      </w:r>
      <w:r w:rsidR="009D3D19" w:rsidRPr="00630C61">
        <w:rPr>
          <w:lang w:val="fr-CH"/>
        </w:rPr>
        <w:t>-</w:t>
      </w:r>
      <w:r w:rsidR="00DF63C5" w:rsidRPr="00630C61">
        <w:rPr>
          <w:lang w:val="fr-CH"/>
        </w:rPr>
        <w:t xml:space="preserve">22 000 kHz est essentielle pour les communications aéronautiques à longue distance </w:t>
      </w:r>
      <w:r w:rsidR="00DE4943" w:rsidRPr="00630C61">
        <w:rPr>
          <w:lang w:val="fr-CH"/>
        </w:rPr>
        <w:t>dans les zones isolées ou océaniques</w:t>
      </w:r>
      <w:r w:rsidR="00DF63C5" w:rsidRPr="00630C61">
        <w:rPr>
          <w:lang w:val="fr-CH"/>
        </w:rPr>
        <w:t>. Depuis le dernier examen de fond de l</w:t>
      </w:r>
      <w:r w:rsidR="009D3D19" w:rsidRPr="00630C61">
        <w:rPr>
          <w:lang w:val="fr-CH"/>
        </w:rPr>
        <w:t>'</w:t>
      </w:r>
      <w:r w:rsidR="00DF63C5" w:rsidRPr="00630C61">
        <w:rPr>
          <w:lang w:val="fr-CH"/>
        </w:rPr>
        <w:t xml:space="preserve">Appendice 27 </w:t>
      </w:r>
      <w:r w:rsidR="00DF63C5" w:rsidRPr="00630C61">
        <w:rPr>
          <w:lang w:val="fr-CH"/>
        </w:rPr>
        <w:lastRenderedPageBreak/>
        <w:t>du Règlement des radiocommunications de l</w:t>
      </w:r>
      <w:r w:rsidR="009D3D19" w:rsidRPr="00630C61">
        <w:rPr>
          <w:lang w:val="fr-CH"/>
        </w:rPr>
        <w:t>'</w:t>
      </w:r>
      <w:r w:rsidR="00DF63C5" w:rsidRPr="00630C61">
        <w:rPr>
          <w:lang w:val="fr-CH"/>
        </w:rPr>
        <w:t>UIT, l</w:t>
      </w:r>
      <w:r w:rsidR="009D3D19" w:rsidRPr="00630C61">
        <w:rPr>
          <w:lang w:val="fr-CH"/>
        </w:rPr>
        <w:t>'</w:t>
      </w:r>
      <w:r w:rsidR="00DF63C5" w:rsidRPr="00630C61">
        <w:rPr>
          <w:lang w:val="fr-CH"/>
        </w:rPr>
        <w:t>utilisation de</w:t>
      </w:r>
      <w:r w:rsidR="0097123F" w:rsidRPr="00630C61">
        <w:rPr>
          <w:lang w:val="fr-CH"/>
        </w:rPr>
        <w:t>s</w:t>
      </w:r>
      <w:r w:rsidR="00DF63C5" w:rsidRPr="00630C61">
        <w:rPr>
          <w:lang w:val="fr-CH"/>
        </w:rPr>
        <w:t xml:space="preserve"> </w:t>
      </w:r>
      <w:r w:rsidR="0097123F" w:rsidRPr="00630C61">
        <w:rPr>
          <w:lang w:val="fr-CH"/>
        </w:rPr>
        <w:t xml:space="preserve">ondes décamétriques </w:t>
      </w:r>
      <w:r w:rsidR="00DF63C5" w:rsidRPr="00630C61">
        <w:rPr>
          <w:lang w:val="fr-CH"/>
        </w:rPr>
        <w:t>par l</w:t>
      </w:r>
      <w:r w:rsidR="009D3D19" w:rsidRPr="00630C61">
        <w:rPr>
          <w:lang w:val="fr-CH"/>
        </w:rPr>
        <w:t>'</w:t>
      </w:r>
      <w:r w:rsidR="00DF63C5" w:rsidRPr="00630C61">
        <w:rPr>
          <w:lang w:val="fr-CH"/>
        </w:rPr>
        <w:t>aviation n</w:t>
      </w:r>
      <w:r w:rsidR="009D3D19" w:rsidRPr="00630C61">
        <w:rPr>
          <w:lang w:val="fr-CH"/>
        </w:rPr>
        <w:t>'</w:t>
      </w:r>
      <w:r w:rsidR="00DF63C5" w:rsidRPr="00630C61">
        <w:rPr>
          <w:lang w:val="fr-CH"/>
        </w:rPr>
        <w:t>a cessé d</w:t>
      </w:r>
      <w:r w:rsidR="009D3D19" w:rsidRPr="00630C61">
        <w:rPr>
          <w:lang w:val="fr-CH"/>
        </w:rPr>
        <w:t>'</w:t>
      </w:r>
      <w:r w:rsidR="00DF63C5" w:rsidRPr="00630C61">
        <w:rPr>
          <w:lang w:val="fr-CH"/>
        </w:rPr>
        <w:t xml:space="preserve">évoluer et de croître, en particulier pour </w:t>
      </w:r>
      <w:r w:rsidR="00427CF2" w:rsidRPr="00630C61">
        <w:rPr>
          <w:lang w:val="fr-CH"/>
        </w:rPr>
        <w:t>les liaisons de données en ondes décamétriques</w:t>
      </w:r>
      <w:r w:rsidR="00DF63C5" w:rsidRPr="00630C61">
        <w:rPr>
          <w:lang w:val="fr-CH"/>
        </w:rPr>
        <w:t xml:space="preserve"> (HFDL) utilisée</w:t>
      </w:r>
      <w:r w:rsidR="009052C1" w:rsidRPr="00630C61">
        <w:rPr>
          <w:lang w:val="fr-CH"/>
        </w:rPr>
        <w:t>s</w:t>
      </w:r>
      <w:r w:rsidR="00DF63C5" w:rsidRPr="00630C61">
        <w:rPr>
          <w:lang w:val="fr-CH"/>
        </w:rPr>
        <w:t xml:space="preserve"> par un grand nombre d</w:t>
      </w:r>
      <w:r w:rsidR="009D3D19" w:rsidRPr="00630C61">
        <w:rPr>
          <w:lang w:val="fr-CH"/>
        </w:rPr>
        <w:t>'</w:t>
      </w:r>
      <w:r w:rsidR="00DF63C5" w:rsidRPr="00630C61">
        <w:rPr>
          <w:lang w:val="fr-CH"/>
        </w:rPr>
        <w:t>aéronefs.</w:t>
      </w:r>
      <w:r w:rsidR="00B91120" w:rsidRPr="00630C61">
        <w:rPr>
          <w:lang w:val="fr-CH"/>
        </w:rPr>
        <w:t xml:space="preserve"> </w:t>
      </w:r>
      <w:r w:rsidR="00DF63C5" w:rsidRPr="00630C61">
        <w:rPr>
          <w:lang w:val="fr-CH"/>
        </w:rPr>
        <w:t>L</w:t>
      </w:r>
      <w:r w:rsidR="009D3D19" w:rsidRPr="00630C61">
        <w:rPr>
          <w:lang w:val="fr-CH"/>
        </w:rPr>
        <w:t>'</w:t>
      </w:r>
      <w:r w:rsidR="00DF63C5" w:rsidRPr="00630C61">
        <w:rPr>
          <w:lang w:val="fr-CH"/>
        </w:rPr>
        <w:t>aviation envisage d</w:t>
      </w:r>
      <w:r w:rsidR="009D3D19" w:rsidRPr="00630C61">
        <w:rPr>
          <w:lang w:val="fr-CH"/>
        </w:rPr>
        <w:t>'</w:t>
      </w:r>
      <w:r w:rsidR="00DF63C5" w:rsidRPr="00630C61">
        <w:rPr>
          <w:lang w:val="fr-CH"/>
        </w:rPr>
        <w:t>autres changements dans cette bande</w:t>
      </w:r>
      <w:r w:rsidR="006A275E" w:rsidRPr="00630C61">
        <w:rPr>
          <w:lang w:val="fr-CH"/>
        </w:rPr>
        <w:t xml:space="preserve"> de fréquences</w:t>
      </w:r>
      <w:r w:rsidR="00DF63C5" w:rsidRPr="00630C61">
        <w:rPr>
          <w:lang w:val="fr-CH"/>
        </w:rPr>
        <w:t xml:space="preserve"> grâce à de nouvelles technologies qui permettront d</w:t>
      </w:r>
      <w:r w:rsidR="009D3D19" w:rsidRPr="00630C61">
        <w:rPr>
          <w:lang w:val="fr-CH"/>
        </w:rPr>
        <w:t>'</w:t>
      </w:r>
      <w:r w:rsidR="00DF63C5" w:rsidRPr="00630C61">
        <w:rPr>
          <w:lang w:val="fr-CH"/>
        </w:rPr>
        <w:t xml:space="preserve">améliorer considérablement la capacité, la connectivité et la qualité de service pour les communications de données et les communications vocales </w:t>
      </w:r>
      <w:r w:rsidR="00392581" w:rsidRPr="00630C61">
        <w:rPr>
          <w:lang w:val="fr-CH"/>
        </w:rPr>
        <w:t>aéronautiques</w:t>
      </w:r>
      <w:r w:rsidR="00B1288B" w:rsidRPr="00630C61">
        <w:rPr>
          <w:lang w:val="fr-CH"/>
        </w:rPr>
        <w:t>. Elle prévoit</w:t>
      </w:r>
      <w:r w:rsidR="00DF63C5" w:rsidRPr="00630C61">
        <w:rPr>
          <w:lang w:val="fr-CH"/>
        </w:rPr>
        <w:t xml:space="preserve"> notamment d</w:t>
      </w:r>
      <w:r w:rsidR="009D3D19" w:rsidRPr="00630C61">
        <w:rPr>
          <w:lang w:val="fr-CH"/>
        </w:rPr>
        <w:t>'</w:t>
      </w:r>
      <w:r w:rsidR="00DF63C5" w:rsidRPr="00630C61">
        <w:rPr>
          <w:lang w:val="fr-CH"/>
        </w:rPr>
        <w:t>accroître la largeur de bande de</w:t>
      </w:r>
      <w:r w:rsidR="00A12341" w:rsidRPr="00630C61">
        <w:rPr>
          <w:lang w:val="fr-CH"/>
        </w:rPr>
        <w:t>s</w:t>
      </w:r>
      <w:r w:rsidR="00DF63C5" w:rsidRPr="00630C61">
        <w:rPr>
          <w:lang w:val="fr-CH"/>
        </w:rPr>
        <w:t xml:space="preserve"> cana</w:t>
      </w:r>
      <w:r w:rsidR="00A12341" w:rsidRPr="00630C61">
        <w:rPr>
          <w:lang w:val="fr-CH"/>
        </w:rPr>
        <w:t>ux</w:t>
      </w:r>
      <w:r w:rsidR="00DF63C5" w:rsidRPr="00630C61">
        <w:rPr>
          <w:lang w:val="fr-CH"/>
        </w:rPr>
        <w:t xml:space="preserve"> </w:t>
      </w:r>
      <w:r w:rsidR="00A12341" w:rsidRPr="00630C61">
        <w:rPr>
          <w:lang w:val="fr-CH"/>
        </w:rPr>
        <w:t>pour améliorer</w:t>
      </w:r>
      <w:r w:rsidR="00DF63C5" w:rsidRPr="00630C61">
        <w:rPr>
          <w:lang w:val="fr-CH"/>
        </w:rPr>
        <w:t xml:space="preserve"> le débit des données. </w:t>
      </w:r>
      <w:r w:rsidR="005B30F3" w:rsidRPr="00630C61">
        <w:rPr>
          <w:lang w:val="fr-CH"/>
        </w:rPr>
        <w:t xml:space="preserve">Une telle </w:t>
      </w:r>
      <w:r w:rsidR="00DF63C5" w:rsidRPr="00630C61">
        <w:rPr>
          <w:lang w:val="fr-CH"/>
        </w:rPr>
        <w:t xml:space="preserve">évolution </w:t>
      </w:r>
      <w:r w:rsidR="005B30F3" w:rsidRPr="00630C61">
        <w:rPr>
          <w:lang w:val="fr-CH"/>
        </w:rPr>
        <w:t xml:space="preserve">dans </w:t>
      </w:r>
      <w:r w:rsidR="009D3D19" w:rsidRPr="00630C61">
        <w:rPr>
          <w:lang w:val="fr-CH"/>
        </w:rPr>
        <w:t>le cadre des attributions existantes en</w:t>
      </w:r>
      <w:r w:rsidR="005B30F3" w:rsidRPr="00630C61">
        <w:rPr>
          <w:lang w:val="fr-CH"/>
        </w:rPr>
        <w:t xml:space="preserve"> ondes décamétriques </w:t>
      </w:r>
      <w:r w:rsidR="009D3D19" w:rsidRPr="00630C61">
        <w:rPr>
          <w:lang w:val="fr-CH"/>
        </w:rPr>
        <w:t>pour</w:t>
      </w:r>
      <w:r w:rsidR="005B30F3" w:rsidRPr="00630C61">
        <w:rPr>
          <w:lang w:val="fr-CH"/>
        </w:rPr>
        <w:t xml:space="preserve"> l'aviation</w:t>
      </w:r>
      <w:r w:rsidR="00DF63C5" w:rsidRPr="00630C61">
        <w:rPr>
          <w:lang w:val="fr-CH"/>
        </w:rPr>
        <w:t xml:space="preserve"> </w:t>
      </w:r>
      <w:r w:rsidR="005B30F3" w:rsidRPr="00630C61">
        <w:rPr>
          <w:lang w:val="fr-CH"/>
        </w:rPr>
        <w:t xml:space="preserve">offrirait à celle-ci </w:t>
      </w:r>
      <w:r w:rsidR="00DF63C5" w:rsidRPr="00630C61">
        <w:rPr>
          <w:lang w:val="fr-CH"/>
        </w:rPr>
        <w:t xml:space="preserve">des moyens </w:t>
      </w:r>
      <w:r w:rsidR="005B30F3" w:rsidRPr="00630C61">
        <w:rPr>
          <w:lang w:val="fr-CH"/>
        </w:rPr>
        <w:t xml:space="preserve">supplémentaires </w:t>
      </w:r>
      <w:r w:rsidR="00FA6300" w:rsidRPr="00630C61">
        <w:rPr>
          <w:lang w:val="fr-CH"/>
        </w:rPr>
        <w:t>d'</w:t>
      </w:r>
      <w:r w:rsidR="005B30F3" w:rsidRPr="00630C61">
        <w:rPr>
          <w:lang w:val="fr-CH"/>
        </w:rPr>
        <w:t>améliorer la sécurité,</w:t>
      </w:r>
      <w:r w:rsidR="00DF63C5" w:rsidRPr="00630C61">
        <w:rPr>
          <w:lang w:val="fr-CH"/>
        </w:rPr>
        <w:t xml:space="preserve"> la couverture mondiale et la diversité des liaisons vers les systèmes </w:t>
      </w:r>
      <w:r w:rsidR="00E15474" w:rsidRPr="00630C61">
        <w:rPr>
          <w:lang w:val="fr-CH"/>
        </w:rPr>
        <w:t>de communication par satellite fonctionnant dans la</w:t>
      </w:r>
      <w:r w:rsidR="00DF63C5" w:rsidRPr="00630C61">
        <w:rPr>
          <w:lang w:val="fr-CH"/>
        </w:rPr>
        <w:t xml:space="preserve"> bande L</w:t>
      </w:r>
      <w:r w:rsidR="00A50416" w:rsidRPr="00630C61">
        <w:rPr>
          <w:lang w:val="fr-CH"/>
        </w:rPr>
        <w:t xml:space="preserve">. </w:t>
      </w:r>
      <w:r w:rsidR="00CB7E85" w:rsidRPr="00630C61">
        <w:rPr>
          <w:lang w:val="fr-CH"/>
        </w:rPr>
        <w:t>L</w:t>
      </w:r>
      <w:r w:rsidR="00A50416" w:rsidRPr="00630C61">
        <w:rPr>
          <w:lang w:val="fr-CH"/>
        </w:rPr>
        <w:t xml:space="preserve">es systèmes </w:t>
      </w:r>
      <w:r w:rsidR="00CB7E85" w:rsidRPr="00630C61">
        <w:rPr>
          <w:lang w:val="fr-CH"/>
        </w:rPr>
        <w:t xml:space="preserve">en ondes décamétriques </w:t>
      </w:r>
      <w:r w:rsidR="00792032" w:rsidRPr="00630C61">
        <w:rPr>
          <w:lang w:val="fr-CH"/>
        </w:rPr>
        <w:t xml:space="preserve">ainsi modernisés fonctionneraient mieux </w:t>
      </w:r>
      <w:r w:rsidR="00CB7E85" w:rsidRPr="00630C61">
        <w:rPr>
          <w:lang w:val="fr-CH"/>
        </w:rPr>
        <w:t xml:space="preserve">avec les systèmes de communication par satellite; ils offriraient des complémentarités et des synergies </w:t>
      </w:r>
      <w:r w:rsidR="00351DF4" w:rsidRPr="00630C61">
        <w:rPr>
          <w:lang w:val="fr-CH"/>
        </w:rPr>
        <w:t>et permettraient</w:t>
      </w:r>
      <w:r w:rsidR="00717195" w:rsidRPr="00630C61">
        <w:rPr>
          <w:lang w:val="fr-CH"/>
        </w:rPr>
        <w:t xml:space="preserve"> de</w:t>
      </w:r>
      <w:r w:rsidR="00351DF4" w:rsidRPr="00630C61">
        <w:rPr>
          <w:lang w:val="fr-CH"/>
        </w:rPr>
        <w:t xml:space="preserve"> </w:t>
      </w:r>
      <w:r w:rsidR="00DF63C5" w:rsidRPr="00630C61">
        <w:rPr>
          <w:lang w:val="fr-CH"/>
        </w:rPr>
        <w:t>mieux maintenir les communications en tout temps.</w:t>
      </w:r>
      <w:r w:rsidR="00B91120" w:rsidRPr="00630C61">
        <w:rPr>
          <w:lang w:val="fr-CH"/>
        </w:rPr>
        <w:t xml:space="preserve"> </w:t>
      </w:r>
      <w:r w:rsidR="00DF63C5" w:rsidRPr="00630C61">
        <w:rPr>
          <w:lang w:val="fr-CH"/>
        </w:rPr>
        <w:t>Compte tenu de l</w:t>
      </w:r>
      <w:r w:rsidR="009D3D19" w:rsidRPr="00630C61">
        <w:rPr>
          <w:lang w:val="fr-CH"/>
        </w:rPr>
        <w:t>'</w:t>
      </w:r>
      <w:r w:rsidR="00DF63C5" w:rsidRPr="00630C61">
        <w:rPr>
          <w:lang w:val="fr-CH"/>
        </w:rPr>
        <w:t xml:space="preserve">évolution des technologies </w:t>
      </w:r>
      <w:r w:rsidR="00EC39FD" w:rsidRPr="00630C61">
        <w:rPr>
          <w:lang w:val="fr-CH"/>
        </w:rPr>
        <w:t>en ondes décamétriques</w:t>
      </w:r>
      <w:r w:rsidR="00DF63C5" w:rsidRPr="00630C61">
        <w:rPr>
          <w:lang w:val="fr-CH"/>
        </w:rPr>
        <w:t>, l</w:t>
      </w:r>
      <w:r w:rsidR="009D3D19" w:rsidRPr="00630C61">
        <w:rPr>
          <w:lang w:val="fr-CH"/>
        </w:rPr>
        <w:t>'</w:t>
      </w:r>
      <w:r w:rsidR="00DF63C5" w:rsidRPr="00630C61">
        <w:rPr>
          <w:lang w:val="fr-CH"/>
        </w:rPr>
        <w:t xml:space="preserve">Appendice 27 </w:t>
      </w:r>
      <w:r w:rsidR="009D3D19" w:rsidRPr="00630C61">
        <w:rPr>
          <w:lang w:val="fr-CH"/>
        </w:rPr>
        <w:t xml:space="preserve">du RR </w:t>
      </w:r>
      <w:r w:rsidR="00DF63C5" w:rsidRPr="00630C61">
        <w:rPr>
          <w:lang w:val="fr-CH"/>
        </w:rPr>
        <w:t xml:space="preserve">doit être </w:t>
      </w:r>
      <w:r w:rsidR="009D3D19" w:rsidRPr="00630C61">
        <w:rPr>
          <w:lang w:val="fr-CH"/>
        </w:rPr>
        <w:t>examiné</w:t>
      </w:r>
      <w:r w:rsidR="00DF63C5" w:rsidRPr="00630C61">
        <w:rPr>
          <w:lang w:val="fr-CH"/>
        </w:rPr>
        <w:t xml:space="preserve"> pour s</w:t>
      </w:r>
      <w:r w:rsidR="009D3D19" w:rsidRPr="00630C61">
        <w:rPr>
          <w:lang w:val="fr-CH"/>
        </w:rPr>
        <w:t>'</w:t>
      </w:r>
      <w:r w:rsidR="00DF63C5" w:rsidRPr="00630C61">
        <w:rPr>
          <w:lang w:val="fr-CH"/>
        </w:rPr>
        <w:t>assurer qu</w:t>
      </w:r>
      <w:r w:rsidR="009D3D19" w:rsidRPr="00630C61">
        <w:rPr>
          <w:lang w:val="fr-CH"/>
        </w:rPr>
        <w:t>'</w:t>
      </w:r>
      <w:r w:rsidR="00DF63C5" w:rsidRPr="00630C61">
        <w:rPr>
          <w:lang w:val="fr-CH"/>
        </w:rPr>
        <w:t>il répond aux besoins aéronautiques actuels et futurs</w:t>
      </w:r>
      <w:r w:rsidR="00B32B49" w:rsidRPr="00630C61">
        <w:rPr>
          <w:lang w:val="fr-CH"/>
        </w:rPr>
        <w:t xml:space="preserve"> en permettant de regrouper des canaux consécutifs en ondes décamétriques et </w:t>
      </w:r>
      <w:r w:rsidR="009D3D19" w:rsidRPr="00630C61">
        <w:rPr>
          <w:lang w:val="fr-CH"/>
        </w:rPr>
        <w:t>d'assurer</w:t>
      </w:r>
      <w:r w:rsidR="00B32B49" w:rsidRPr="00630C61">
        <w:rPr>
          <w:lang w:val="fr-CH"/>
        </w:rPr>
        <w:t xml:space="preserve"> des modulations numériques qui prennent en charge </w:t>
      </w:r>
      <w:r w:rsidR="002509C6" w:rsidRPr="00630C61">
        <w:rPr>
          <w:lang w:val="fr-CH"/>
        </w:rPr>
        <w:t xml:space="preserve">des débits de données plus élevés, tout en garantissant que les brouillages en-dehors des bandes </w:t>
      </w:r>
      <w:r w:rsidR="00924D55" w:rsidRPr="00630C61">
        <w:rPr>
          <w:lang w:val="fr-CH"/>
        </w:rPr>
        <w:t>multi</w:t>
      </w:r>
      <w:r w:rsidR="009D3D19" w:rsidRPr="00630C61">
        <w:rPr>
          <w:lang w:val="fr-CH"/>
        </w:rPr>
        <w:t xml:space="preserve">canal assignées </w:t>
      </w:r>
      <w:r w:rsidR="00924D55" w:rsidRPr="00630C61">
        <w:rPr>
          <w:lang w:val="fr-CH"/>
        </w:rPr>
        <w:t>ne so</w:t>
      </w:r>
      <w:r w:rsidR="00837399" w:rsidRPr="00630C61">
        <w:rPr>
          <w:lang w:val="fr-CH"/>
        </w:rPr>
        <w:t>ie</w:t>
      </w:r>
      <w:r w:rsidR="00924D55" w:rsidRPr="00630C61">
        <w:rPr>
          <w:lang w:val="fr-CH"/>
        </w:rPr>
        <w:t xml:space="preserve">nt pas supérieurs aux brouillages </w:t>
      </w:r>
      <w:r w:rsidR="009C3E9B" w:rsidRPr="00630C61">
        <w:rPr>
          <w:lang w:val="fr-CH"/>
        </w:rPr>
        <w:t>présents</w:t>
      </w:r>
      <w:r w:rsidR="00924D55" w:rsidRPr="00630C61">
        <w:rPr>
          <w:lang w:val="fr-CH"/>
        </w:rPr>
        <w:t xml:space="preserve"> dans chaque </w:t>
      </w:r>
      <w:r w:rsidR="009D3D19" w:rsidRPr="00630C61">
        <w:rPr>
          <w:lang w:val="fr-CH"/>
        </w:rPr>
        <w:t>canal</w:t>
      </w:r>
      <w:r w:rsidR="00924D55" w:rsidRPr="00630C61">
        <w:rPr>
          <w:lang w:val="fr-CH"/>
        </w:rPr>
        <w:t xml:space="preserve"> observé isolément.</w:t>
      </w:r>
    </w:p>
    <w:p w14:paraId="28259DF7" w14:textId="77777777" w:rsidR="0073785C" w:rsidRPr="00630C61" w:rsidRDefault="00BB4D3E" w:rsidP="009D3D19">
      <w:pPr>
        <w:pStyle w:val="Proposal"/>
        <w:rPr>
          <w:lang w:val="fr-CH"/>
        </w:rPr>
      </w:pPr>
      <w:r w:rsidRPr="00630C61">
        <w:rPr>
          <w:lang w:val="fr-CH"/>
        </w:rPr>
        <w:t>ADD</w:t>
      </w:r>
      <w:r w:rsidRPr="00630C61">
        <w:rPr>
          <w:lang w:val="fr-CH"/>
        </w:rPr>
        <w:tab/>
        <w:t>IAP/11A24A1/2</w:t>
      </w:r>
    </w:p>
    <w:p w14:paraId="4629D3C3" w14:textId="619F09FD" w:rsidR="0073785C" w:rsidRPr="00630C61" w:rsidRDefault="00BB4D3E" w:rsidP="009D3D19">
      <w:pPr>
        <w:pStyle w:val="ResNo"/>
        <w:rPr>
          <w:lang w:val="fr-CH"/>
        </w:rPr>
      </w:pPr>
      <w:r w:rsidRPr="00630C61">
        <w:rPr>
          <w:lang w:val="fr-CH"/>
        </w:rPr>
        <w:t>Projet de nouvelle R</w:t>
      </w:r>
      <w:r w:rsidR="00AF504A" w:rsidRPr="00630C61">
        <w:rPr>
          <w:lang w:val="fr-CH"/>
        </w:rPr>
        <w:t>É</w:t>
      </w:r>
      <w:r w:rsidRPr="00630C61">
        <w:rPr>
          <w:lang w:val="fr-CH"/>
        </w:rPr>
        <w:t>solution [IAP-10(A)/APPENDIX-27]</w:t>
      </w:r>
      <w:r w:rsidR="00451DC9" w:rsidRPr="00630C61">
        <w:rPr>
          <w:lang w:val="fr-CH"/>
        </w:rPr>
        <w:t xml:space="preserve"> (</w:t>
      </w:r>
      <w:r w:rsidR="00842ACD" w:rsidRPr="00630C61">
        <w:rPr>
          <w:lang w:val="fr-CH"/>
        </w:rPr>
        <w:t>CMR</w:t>
      </w:r>
      <w:r w:rsidR="00451DC9" w:rsidRPr="00630C61">
        <w:rPr>
          <w:lang w:val="fr-CH"/>
        </w:rPr>
        <w:t>-19)</w:t>
      </w:r>
    </w:p>
    <w:p w14:paraId="7663E53A" w14:textId="0A013D47" w:rsidR="00451DC9" w:rsidRPr="00630C61" w:rsidRDefault="00483D61" w:rsidP="009D3D19">
      <w:pPr>
        <w:pStyle w:val="Restitle"/>
        <w:rPr>
          <w:lang w:val="fr-CH"/>
        </w:rPr>
      </w:pPr>
      <w:r w:rsidRPr="00630C61">
        <w:rPr>
          <w:bCs/>
          <w:lang w:val="fr-CH"/>
        </w:rPr>
        <w:t xml:space="preserve">Examen des dispositions réglementaires visant à </w:t>
      </w:r>
      <w:r w:rsidR="003F2DF0" w:rsidRPr="00630C61">
        <w:rPr>
          <w:bCs/>
          <w:lang w:val="fr-CH"/>
        </w:rPr>
        <w:t>mettre à jour</w:t>
      </w:r>
      <w:r w:rsidRPr="00630C61">
        <w:rPr>
          <w:bCs/>
          <w:lang w:val="fr-CH"/>
        </w:rPr>
        <w:t xml:space="preserve"> l'Appendice 27 </w:t>
      </w:r>
      <w:r w:rsidR="00453C7B">
        <w:rPr>
          <w:bCs/>
          <w:lang w:val="fr-CH"/>
        </w:rPr>
        <w:br/>
      </w:r>
      <w:r w:rsidRPr="00630C61">
        <w:rPr>
          <w:bCs/>
          <w:lang w:val="fr-CH"/>
        </w:rPr>
        <w:t xml:space="preserve">du Règlement des radiocommunications </w:t>
      </w:r>
      <w:r w:rsidR="003279BF" w:rsidRPr="00630C61">
        <w:rPr>
          <w:bCs/>
          <w:lang w:val="fr-CH"/>
        </w:rPr>
        <w:t xml:space="preserve">à l'appui de la modernisation </w:t>
      </w:r>
      <w:r w:rsidR="003279BF" w:rsidRPr="00630C61">
        <w:rPr>
          <w:bCs/>
          <w:lang w:val="fr-CH"/>
        </w:rPr>
        <w:br/>
        <w:t>des</w:t>
      </w:r>
      <w:r w:rsidR="002D26C5" w:rsidRPr="00630C61">
        <w:rPr>
          <w:bCs/>
          <w:lang w:val="fr-CH"/>
        </w:rPr>
        <w:t xml:space="preserve"> systèmes aéronautiques large bande </w:t>
      </w:r>
      <w:r w:rsidR="003279BF" w:rsidRPr="00630C61">
        <w:rPr>
          <w:bCs/>
          <w:lang w:val="fr-CH"/>
        </w:rPr>
        <w:t>en</w:t>
      </w:r>
      <w:r w:rsidR="002D26C5" w:rsidRPr="00630C61">
        <w:rPr>
          <w:bCs/>
          <w:lang w:val="fr-CH"/>
        </w:rPr>
        <w:t xml:space="preserve"> ondes décamétriques</w:t>
      </w:r>
    </w:p>
    <w:p w14:paraId="715DCF9D" w14:textId="7C272FF2" w:rsidR="00451DC9" w:rsidRPr="00630C61" w:rsidRDefault="00FD0D50" w:rsidP="009D3D19">
      <w:pPr>
        <w:pStyle w:val="Normalaftertitle"/>
        <w:rPr>
          <w:lang w:val="fr-CH"/>
        </w:rPr>
      </w:pPr>
      <w:r w:rsidRPr="00630C61">
        <w:rPr>
          <w:lang w:val="fr-CH"/>
        </w:rPr>
        <w:t xml:space="preserve">La </w:t>
      </w:r>
      <w:r w:rsidR="00451DC9" w:rsidRPr="00630C61">
        <w:rPr>
          <w:lang w:val="fr-CH"/>
        </w:rPr>
        <w:t>Conf</w:t>
      </w:r>
      <w:r w:rsidRPr="00630C61">
        <w:rPr>
          <w:lang w:val="fr-CH"/>
        </w:rPr>
        <w:t>é</w:t>
      </w:r>
      <w:r w:rsidR="00451DC9" w:rsidRPr="00630C61">
        <w:rPr>
          <w:lang w:val="fr-CH"/>
        </w:rPr>
        <w:t xml:space="preserve">rence </w:t>
      </w:r>
      <w:r w:rsidRPr="00630C61">
        <w:rPr>
          <w:lang w:val="fr-CH"/>
        </w:rPr>
        <w:t xml:space="preserve">mondiale des radiocommunications </w:t>
      </w:r>
      <w:r w:rsidR="00451DC9" w:rsidRPr="00630C61">
        <w:rPr>
          <w:lang w:val="fr-CH"/>
        </w:rPr>
        <w:t>(</w:t>
      </w:r>
      <w:r w:rsidRPr="00630C61">
        <w:rPr>
          <w:lang w:val="fr-CH"/>
        </w:rPr>
        <w:t>C</w:t>
      </w:r>
      <w:r w:rsidR="00451DC9" w:rsidRPr="00630C61">
        <w:rPr>
          <w:lang w:val="fr-CH"/>
        </w:rPr>
        <w:t>harm el-</w:t>
      </w:r>
      <w:r w:rsidR="003279BF" w:rsidRPr="00630C61">
        <w:rPr>
          <w:lang w:val="fr-CH"/>
        </w:rPr>
        <w:t>C</w:t>
      </w:r>
      <w:r w:rsidR="00451DC9" w:rsidRPr="00630C61">
        <w:rPr>
          <w:lang w:val="fr-CH"/>
        </w:rPr>
        <w:t>heik</w:t>
      </w:r>
      <w:r w:rsidR="00AF504A" w:rsidRPr="00630C61">
        <w:rPr>
          <w:lang w:val="fr-CH"/>
        </w:rPr>
        <w:t>h</w:t>
      </w:r>
      <w:r w:rsidRPr="00630C61">
        <w:rPr>
          <w:lang w:val="fr-CH"/>
        </w:rPr>
        <w:t>,</w:t>
      </w:r>
      <w:r w:rsidR="00451DC9" w:rsidRPr="00630C61">
        <w:rPr>
          <w:lang w:val="fr-CH"/>
        </w:rPr>
        <w:t xml:space="preserve"> 2019), </w:t>
      </w:r>
    </w:p>
    <w:p w14:paraId="36F2A974" w14:textId="0D2FF158" w:rsidR="00451DC9" w:rsidRPr="00630C61" w:rsidRDefault="00451DC9" w:rsidP="009D3D19">
      <w:pPr>
        <w:pStyle w:val="Call"/>
        <w:rPr>
          <w:rFonts w:eastAsia="Times"/>
          <w:lang w:val="fr-CH"/>
        </w:rPr>
      </w:pPr>
      <w:r w:rsidRPr="00630C61">
        <w:rPr>
          <w:rFonts w:eastAsia="Times"/>
          <w:lang w:val="fr-CH"/>
        </w:rPr>
        <w:t>consid</w:t>
      </w:r>
      <w:r w:rsidR="00AF504A" w:rsidRPr="00630C61">
        <w:rPr>
          <w:rFonts w:eastAsia="Times"/>
          <w:lang w:val="fr-CH"/>
        </w:rPr>
        <w:t>érant</w:t>
      </w:r>
    </w:p>
    <w:p w14:paraId="229714DE" w14:textId="40A50630" w:rsidR="0090517F" w:rsidRPr="00630C61" w:rsidRDefault="00451DC9" w:rsidP="009D3D19">
      <w:pPr>
        <w:rPr>
          <w:lang w:val="fr-CH"/>
        </w:rPr>
      </w:pPr>
      <w:r w:rsidRPr="00630C61">
        <w:rPr>
          <w:i/>
          <w:iCs/>
          <w:lang w:val="fr-CH"/>
        </w:rPr>
        <w:t>a)</w:t>
      </w:r>
      <w:r w:rsidRPr="00630C61">
        <w:rPr>
          <w:lang w:val="fr-CH"/>
        </w:rPr>
        <w:tab/>
      </w:r>
      <w:r w:rsidR="0037643E" w:rsidRPr="00630C61">
        <w:rPr>
          <w:lang w:val="fr-CH"/>
        </w:rPr>
        <w:t xml:space="preserve">qu'en raison des technologies </w:t>
      </w:r>
      <w:r w:rsidR="00695BC4" w:rsidRPr="00630C61">
        <w:rPr>
          <w:lang w:val="fr-CH"/>
        </w:rPr>
        <w:t xml:space="preserve">évoluées </w:t>
      </w:r>
      <w:r w:rsidR="0037643E" w:rsidRPr="00630C61">
        <w:rPr>
          <w:lang w:val="fr-CH"/>
        </w:rPr>
        <w:t xml:space="preserve">disponibles et des capacités avérées </w:t>
      </w:r>
      <w:r w:rsidR="00695BC4" w:rsidRPr="00630C61">
        <w:rPr>
          <w:lang w:val="fr-CH"/>
        </w:rPr>
        <w:t>des systèmes aéronautiques</w:t>
      </w:r>
      <w:r w:rsidR="0037643E" w:rsidRPr="00630C61">
        <w:rPr>
          <w:lang w:val="fr-CH"/>
        </w:rPr>
        <w:t xml:space="preserve"> large bande en ondes décamétriques grâce au regroupement de canaux, il est possible d'obtenir des débits de données plus élevés et une meilleure qualité de communication vocale;</w:t>
      </w:r>
    </w:p>
    <w:p w14:paraId="54D10821" w14:textId="5C00D198" w:rsidR="00451DC9" w:rsidRPr="00630C61" w:rsidRDefault="00451DC9" w:rsidP="009D3D19">
      <w:pPr>
        <w:rPr>
          <w:lang w:val="fr-CH"/>
        </w:rPr>
      </w:pPr>
      <w:r w:rsidRPr="00630C61">
        <w:rPr>
          <w:i/>
          <w:iCs/>
          <w:lang w:val="fr-CH"/>
        </w:rPr>
        <w:t>b)</w:t>
      </w:r>
      <w:r w:rsidRPr="00630C61">
        <w:rPr>
          <w:lang w:val="fr-CH"/>
        </w:rPr>
        <w:tab/>
      </w:r>
      <w:r w:rsidR="0037643E" w:rsidRPr="00630C61">
        <w:rPr>
          <w:lang w:val="fr-CH"/>
        </w:rPr>
        <w:t>que le</w:t>
      </w:r>
      <w:r w:rsidR="007C49A3" w:rsidRPr="00630C61">
        <w:rPr>
          <w:lang w:val="fr-CH"/>
        </w:rPr>
        <w:t xml:space="preserve">s systèmes aéronautiques large bande </w:t>
      </w:r>
      <w:r w:rsidR="00695BC4" w:rsidRPr="00630C61">
        <w:rPr>
          <w:lang w:val="fr-CH"/>
        </w:rPr>
        <w:t>en</w:t>
      </w:r>
      <w:r w:rsidR="007C49A3" w:rsidRPr="00630C61">
        <w:rPr>
          <w:lang w:val="fr-CH"/>
        </w:rPr>
        <w:t xml:space="preserve"> ondes décamétriques </w:t>
      </w:r>
      <w:r w:rsidR="0037643E" w:rsidRPr="00630C61">
        <w:rPr>
          <w:lang w:val="fr-CH"/>
        </w:rPr>
        <w:t>doi</w:t>
      </w:r>
      <w:r w:rsidR="007C49A3" w:rsidRPr="00630C61">
        <w:rPr>
          <w:lang w:val="fr-CH"/>
        </w:rPr>
        <w:t>ven</w:t>
      </w:r>
      <w:r w:rsidR="0037643E" w:rsidRPr="00630C61">
        <w:rPr>
          <w:lang w:val="fr-CH"/>
        </w:rPr>
        <w:t xml:space="preserve">t coexister avec les systèmes </w:t>
      </w:r>
      <w:r w:rsidR="00695BC4" w:rsidRPr="00630C61">
        <w:rPr>
          <w:lang w:val="fr-CH"/>
        </w:rPr>
        <w:t xml:space="preserve">aéronautiques </w:t>
      </w:r>
      <w:r w:rsidR="0037643E" w:rsidRPr="00630C61">
        <w:rPr>
          <w:lang w:val="fr-CH"/>
        </w:rPr>
        <w:t xml:space="preserve">analogiques de communication vocale et de données </w:t>
      </w:r>
      <w:r w:rsidR="00695BC4" w:rsidRPr="00630C61">
        <w:rPr>
          <w:lang w:val="fr-CH"/>
        </w:rPr>
        <w:t>existants en ondes décamétriques</w:t>
      </w:r>
      <w:r w:rsidR="0037643E" w:rsidRPr="00630C61">
        <w:rPr>
          <w:lang w:val="fr-CH"/>
        </w:rPr>
        <w:t>;</w:t>
      </w:r>
    </w:p>
    <w:p w14:paraId="7231C343" w14:textId="30B397B7" w:rsidR="00451DC9" w:rsidRPr="00630C61" w:rsidRDefault="00451DC9" w:rsidP="009D3D19">
      <w:pPr>
        <w:rPr>
          <w:lang w:val="fr-CH"/>
        </w:rPr>
      </w:pPr>
      <w:r w:rsidRPr="00630C61">
        <w:rPr>
          <w:i/>
          <w:iCs/>
          <w:lang w:val="fr-CH"/>
        </w:rPr>
        <w:t>c)</w:t>
      </w:r>
      <w:r w:rsidRPr="00630C61">
        <w:rPr>
          <w:lang w:val="fr-CH"/>
        </w:rPr>
        <w:tab/>
      </w:r>
      <w:r w:rsidR="00BA50FF" w:rsidRPr="00630C61">
        <w:rPr>
          <w:lang w:val="fr-CH"/>
        </w:rPr>
        <w:t>que l</w:t>
      </w:r>
      <w:r w:rsidR="00695BC4" w:rsidRPr="00630C61">
        <w:rPr>
          <w:lang w:val="fr-CH"/>
        </w:rPr>
        <w:t>a propagation en</w:t>
      </w:r>
      <w:r w:rsidR="00BA50FF" w:rsidRPr="00630C61">
        <w:rPr>
          <w:lang w:val="fr-CH"/>
        </w:rPr>
        <w:t xml:space="preserve"> ondes décamétriques présente l'avantage d</w:t>
      </w:r>
      <w:r w:rsidR="00EA5806" w:rsidRPr="00630C61">
        <w:rPr>
          <w:lang w:val="fr-CH"/>
        </w:rPr>
        <w:t>'offrir</w:t>
      </w:r>
      <w:r w:rsidR="00BA50FF" w:rsidRPr="00630C61">
        <w:rPr>
          <w:lang w:val="fr-CH"/>
        </w:rPr>
        <w:t xml:space="preserve"> une couverture mondiale </w:t>
      </w:r>
      <w:r w:rsidR="00695BC4" w:rsidRPr="00630C61">
        <w:rPr>
          <w:lang w:val="fr-CH"/>
        </w:rPr>
        <w:t>pour l</w:t>
      </w:r>
      <w:r w:rsidR="00BA50FF" w:rsidRPr="00630C61">
        <w:rPr>
          <w:lang w:val="fr-CH"/>
        </w:rPr>
        <w:t>es aéronefs;</w:t>
      </w:r>
    </w:p>
    <w:p w14:paraId="6A2810FD" w14:textId="01D0B02A" w:rsidR="00451DC9" w:rsidRPr="00630C61" w:rsidRDefault="00451DC9" w:rsidP="009D3D19">
      <w:pPr>
        <w:rPr>
          <w:lang w:val="fr-CH"/>
        </w:rPr>
      </w:pPr>
      <w:r w:rsidRPr="00630C61">
        <w:rPr>
          <w:i/>
          <w:iCs/>
          <w:lang w:val="fr-CH"/>
        </w:rPr>
        <w:t>d)</w:t>
      </w:r>
      <w:r w:rsidRPr="00630C61">
        <w:rPr>
          <w:lang w:val="fr-CH"/>
        </w:rPr>
        <w:tab/>
      </w:r>
      <w:r w:rsidR="00BA50FF" w:rsidRPr="00630C61">
        <w:rPr>
          <w:lang w:val="fr-CH"/>
        </w:rPr>
        <w:t xml:space="preserve">que les systèmes </w:t>
      </w:r>
      <w:r w:rsidR="00695BC4" w:rsidRPr="00630C61">
        <w:rPr>
          <w:lang w:val="fr-CH"/>
        </w:rPr>
        <w:t xml:space="preserve">aéronautiques </w:t>
      </w:r>
      <w:r w:rsidR="00BA50FF" w:rsidRPr="00630C61">
        <w:rPr>
          <w:lang w:val="fr-CH"/>
        </w:rPr>
        <w:t xml:space="preserve">analogiques de communication vocale et les systèmes </w:t>
      </w:r>
      <w:r w:rsidR="00695BC4" w:rsidRPr="00630C61">
        <w:rPr>
          <w:lang w:val="fr-CH"/>
        </w:rPr>
        <w:t xml:space="preserve">aéronautiques </w:t>
      </w:r>
      <w:r w:rsidR="00BA50FF" w:rsidRPr="00630C61">
        <w:rPr>
          <w:lang w:val="fr-CH"/>
        </w:rPr>
        <w:t xml:space="preserve">numériques </w:t>
      </w:r>
      <w:r w:rsidR="00695BC4" w:rsidRPr="00630C61">
        <w:rPr>
          <w:lang w:val="fr-CH"/>
        </w:rPr>
        <w:t>à</w:t>
      </w:r>
      <w:r w:rsidR="00BA50FF" w:rsidRPr="00630C61">
        <w:rPr>
          <w:lang w:val="fr-CH"/>
        </w:rPr>
        <w:t xml:space="preserve"> bande étroite </w:t>
      </w:r>
      <w:r w:rsidR="00695BC4" w:rsidRPr="00630C61">
        <w:rPr>
          <w:lang w:val="fr-CH"/>
        </w:rPr>
        <w:t>en</w:t>
      </w:r>
      <w:r w:rsidR="00BA50FF" w:rsidRPr="00630C61">
        <w:rPr>
          <w:lang w:val="fr-CH"/>
        </w:rPr>
        <w:t xml:space="preserve"> ondes décamétriques constituent les principaux moyens dont dispose </w:t>
      </w:r>
      <w:r w:rsidR="00695BC4" w:rsidRPr="00630C61">
        <w:rPr>
          <w:lang w:val="fr-CH"/>
        </w:rPr>
        <w:t>l</w:t>
      </w:r>
      <w:r w:rsidR="00486D3A" w:rsidRPr="00630C61">
        <w:rPr>
          <w:lang w:val="fr-CH"/>
        </w:rPr>
        <w:t>e secteur</w:t>
      </w:r>
      <w:r w:rsidR="00BA50FF" w:rsidRPr="00630C61">
        <w:rPr>
          <w:lang w:val="fr-CH"/>
        </w:rPr>
        <w:t xml:space="preserve"> </w:t>
      </w:r>
      <w:r w:rsidR="00695BC4" w:rsidRPr="00630C61">
        <w:rPr>
          <w:lang w:val="fr-CH"/>
        </w:rPr>
        <w:t>de l'aviation pour les communications</w:t>
      </w:r>
      <w:r w:rsidR="00BA50FF" w:rsidRPr="00630C61">
        <w:rPr>
          <w:lang w:val="fr-CH"/>
        </w:rPr>
        <w:t xml:space="preserve"> à l'échelle nationale et internationale avec des aéronefs dans les zones isolées ou océaniques;</w:t>
      </w:r>
    </w:p>
    <w:p w14:paraId="541760E3" w14:textId="7CEBC24F" w:rsidR="00451DC9" w:rsidRPr="00630C61" w:rsidRDefault="00451DC9" w:rsidP="009D3D19">
      <w:pPr>
        <w:rPr>
          <w:lang w:val="fr-CH"/>
        </w:rPr>
      </w:pPr>
      <w:r w:rsidRPr="00630C61">
        <w:rPr>
          <w:i/>
          <w:iCs/>
          <w:lang w:val="fr-CH"/>
        </w:rPr>
        <w:t>e)</w:t>
      </w:r>
      <w:r w:rsidRPr="00630C61">
        <w:rPr>
          <w:lang w:val="fr-CH"/>
        </w:rPr>
        <w:tab/>
        <w:t xml:space="preserve">la nécessité opérationnelle de </w:t>
      </w:r>
      <w:r w:rsidR="00E96639" w:rsidRPr="00630C61">
        <w:rPr>
          <w:lang w:val="fr-CH"/>
        </w:rPr>
        <w:t>moderniser l</w:t>
      </w:r>
      <w:r w:rsidRPr="00630C61">
        <w:rPr>
          <w:lang w:val="fr-CH"/>
        </w:rPr>
        <w:t xml:space="preserve">es services de liaison </w:t>
      </w:r>
      <w:r w:rsidR="0022594D" w:rsidRPr="00630C61">
        <w:rPr>
          <w:lang w:val="fr-CH"/>
        </w:rPr>
        <w:t xml:space="preserve">de </w:t>
      </w:r>
      <w:r w:rsidRPr="00630C61">
        <w:rPr>
          <w:lang w:val="fr-CH"/>
        </w:rPr>
        <w:t xml:space="preserve">données </w:t>
      </w:r>
      <w:r w:rsidR="00695BC4" w:rsidRPr="00630C61">
        <w:rPr>
          <w:lang w:val="fr-CH"/>
        </w:rPr>
        <w:t>dans la bande d'</w:t>
      </w:r>
      <w:r w:rsidRPr="00630C61">
        <w:rPr>
          <w:lang w:val="fr-CH"/>
        </w:rPr>
        <w:t xml:space="preserve">ondes décamétriques pour les messages </w:t>
      </w:r>
      <w:r w:rsidR="00003A66" w:rsidRPr="00630C61">
        <w:rPr>
          <w:lang w:val="fr-CH"/>
        </w:rPr>
        <w:t xml:space="preserve">de l'aviation civile internationale </w:t>
      </w:r>
      <w:r w:rsidRPr="00630C61">
        <w:rPr>
          <w:lang w:val="fr-CH"/>
        </w:rPr>
        <w:t xml:space="preserve">relatifs à la sécurité et </w:t>
      </w:r>
      <w:r w:rsidR="00F55FB2" w:rsidRPr="00630C61">
        <w:rPr>
          <w:lang w:val="fr-CH"/>
        </w:rPr>
        <w:t xml:space="preserve">à </w:t>
      </w:r>
      <w:r w:rsidRPr="00630C61">
        <w:rPr>
          <w:lang w:val="fr-CH"/>
        </w:rPr>
        <w:t>la régularité des vols;</w:t>
      </w:r>
    </w:p>
    <w:p w14:paraId="3D082585" w14:textId="78E9EB33" w:rsidR="00716E16" w:rsidRPr="00630C61" w:rsidRDefault="00451DC9" w:rsidP="009D3D19">
      <w:pPr>
        <w:rPr>
          <w:lang w:val="fr-CH"/>
        </w:rPr>
      </w:pPr>
      <w:r w:rsidRPr="00630C61">
        <w:rPr>
          <w:i/>
          <w:iCs/>
          <w:lang w:val="fr-CH"/>
        </w:rPr>
        <w:t>f)</w:t>
      </w:r>
      <w:r w:rsidRPr="00630C61">
        <w:rPr>
          <w:lang w:val="fr-CH"/>
        </w:rPr>
        <w:tab/>
      </w:r>
      <w:r w:rsidR="00716E16" w:rsidRPr="00630C61">
        <w:rPr>
          <w:lang w:val="fr-CH"/>
        </w:rPr>
        <w:t xml:space="preserve">que les systèmes </w:t>
      </w:r>
      <w:r w:rsidR="00695BC4" w:rsidRPr="00630C61">
        <w:rPr>
          <w:lang w:val="fr-CH"/>
        </w:rPr>
        <w:t xml:space="preserve">aéronautiques </w:t>
      </w:r>
      <w:r w:rsidR="00716E16" w:rsidRPr="00630C61">
        <w:rPr>
          <w:lang w:val="fr-CH"/>
        </w:rPr>
        <w:t>en ondes décamétriques actuel</w:t>
      </w:r>
      <w:r w:rsidR="00695BC4" w:rsidRPr="00630C61">
        <w:rPr>
          <w:lang w:val="fr-CH"/>
        </w:rPr>
        <w:t xml:space="preserve">s </w:t>
      </w:r>
      <w:r w:rsidR="00716E16" w:rsidRPr="00630C61">
        <w:rPr>
          <w:lang w:val="fr-CH"/>
        </w:rPr>
        <w:t xml:space="preserve">sont limités par les technologies disponibles et ne permettent pas de répondre aux besoins d'information des aéronefs </w:t>
      </w:r>
      <w:r w:rsidR="00716E16" w:rsidRPr="00630C61">
        <w:rPr>
          <w:lang w:val="fr-CH"/>
        </w:rPr>
        <w:lastRenderedPageBreak/>
        <w:t>modernes</w:t>
      </w:r>
      <w:r w:rsidR="00AD5232" w:rsidRPr="00630C61">
        <w:rPr>
          <w:lang w:val="fr-CH"/>
        </w:rPr>
        <w:t xml:space="preserve"> si leurs capacités ne sont pas accrues par des systèmes de communication par satellite </w:t>
      </w:r>
      <w:r w:rsidR="00695BC4" w:rsidRPr="00630C61">
        <w:rPr>
          <w:lang w:val="fr-CH"/>
        </w:rPr>
        <w:t>pour</w:t>
      </w:r>
      <w:r w:rsidR="00AD5232" w:rsidRPr="00630C61">
        <w:rPr>
          <w:lang w:val="fr-CH"/>
        </w:rPr>
        <w:t xml:space="preserve"> la sécurité aéronautique;</w:t>
      </w:r>
    </w:p>
    <w:p w14:paraId="7A918471" w14:textId="3F836F7D" w:rsidR="00451DC9" w:rsidRPr="00630C61" w:rsidRDefault="00451DC9" w:rsidP="009D3D19">
      <w:pPr>
        <w:rPr>
          <w:lang w:val="fr-CH"/>
        </w:rPr>
      </w:pPr>
      <w:r w:rsidRPr="00630C61">
        <w:rPr>
          <w:i/>
          <w:iCs/>
          <w:lang w:val="fr-CH"/>
        </w:rPr>
        <w:t>g)</w:t>
      </w:r>
      <w:r w:rsidRPr="00630C61">
        <w:rPr>
          <w:lang w:val="fr-CH"/>
        </w:rPr>
        <w:tab/>
      </w:r>
      <w:r w:rsidR="00C17DEE" w:rsidRPr="00630C61">
        <w:rPr>
          <w:lang w:val="fr-CH"/>
        </w:rPr>
        <w:t>que l'utilisation des fréquences dans les bandes attribuées au</w:t>
      </w:r>
      <w:r w:rsidR="000D574E" w:rsidRPr="00630C61">
        <w:rPr>
          <w:lang w:val="fr-CH"/>
        </w:rPr>
        <w:t xml:space="preserve"> service mobile</w:t>
      </w:r>
      <w:r w:rsidR="00220DD8" w:rsidRPr="00630C61">
        <w:rPr>
          <w:lang w:val="fr-CH"/>
        </w:rPr>
        <w:t xml:space="preserve"> </w:t>
      </w:r>
      <w:r w:rsidR="000D574E" w:rsidRPr="00630C61">
        <w:rPr>
          <w:lang w:val="fr-CH"/>
        </w:rPr>
        <w:t>aéronautique (le long des routes) (SMA(R))</w:t>
      </w:r>
      <w:r w:rsidR="00C17DEE" w:rsidRPr="00630C61">
        <w:rPr>
          <w:lang w:val="fr-CH"/>
        </w:rPr>
        <w:t xml:space="preserve"> dans les bandes comprises entre </w:t>
      </w:r>
      <w:r w:rsidR="00415D2A" w:rsidRPr="00630C61">
        <w:rPr>
          <w:lang w:val="fr-CH"/>
        </w:rPr>
        <w:t>2 850</w:t>
      </w:r>
      <w:r w:rsidR="00EF2250">
        <w:rPr>
          <w:lang w:val="fr-CH"/>
        </w:rPr>
        <w:t xml:space="preserve"> </w:t>
      </w:r>
      <w:r w:rsidR="00EF2250" w:rsidRPr="00630C61">
        <w:rPr>
          <w:lang w:val="fr-CH"/>
        </w:rPr>
        <w:t>kHz</w:t>
      </w:r>
      <w:r w:rsidR="00415D2A" w:rsidRPr="00630C61">
        <w:rPr>
          <w:lang w:val="fr-CH"/>
        </w:rPr>
        <w:t xml:space="preserve"> et 22</w:t>
      </w:r>
      <w:r w:rsidR="00EF2250">
        <w:rPr>
          <w:lang w:val="fr-CH"/>
        </w:rPr>
        <w:t> </w:t>
      </w:r>
      <w:r w:rsidR="00415D2A" w:rsidRPr="00630C61">
        <w:rPr>
          <w:lang w:val="fr-CH"/>
        </w:rPr>
        <w:t>000</w:t>
      </w:r>
      <w:r w:rsidR="00EF2250">
        <w:rPr>
          <w:lang w:val="fr-CH"/>
        </w:rPr>
        <w:t> </w:t>
      </w:r>
      <w:r w:rsidR="00415D2A" w:rsidRPr="00630C61">
        <w:rPr>
          <w:lang w:val="fr-CH"/>
        </w:rPr>
        <w:t xml:space="preserve">kHz </w:t>
      </w:r>
      <w:r w:rsidR="00C17DEE" w:rsidRPr="00630C61">
        <w:rPr>
          <w:lang w:val="fr-CH"/>
        </w:rPr>
        <w:t>est régie par les dispositions de l'</w:t>
      </w:r>
      <w:r w:rsidR="007B3945" w:rsidRPr="00630C61">
        <w:rPr>
          <w:lang w:val="fr-CH"/>
        </w:rPr>
        <w:t>A</w:t>
      </w:r>
      <w:r w:rsidR="00C17DEE" w:rsidRPr="00630C61">
        <w:rPr>
          <w:lang w:val="fr-CH"/>
        </w:rPr>
        <w:t xml:space="preserve">ppendice </w:t>
      </w:r>
      <w:r w:rsidR="00C17DEE" w:rsidRPr="00630C61">
        <w:rPr>
          <w:b/>
          <w:bCs/>
          <w:lang w:val="fr-CH"/>
        </w:rPr>
        <w:t>27</w:t>
      </w:r>
      <w:r w:rsidR="00C17DEE" w:rsidRPr="00630C61">
        <w:rPr>
          <w:lang w:val="fr-CH"/>
        </w:rPr>
        <w:t>,</w:t>
      </w:r>
    </w:p>
    <w:p w14:paraId="2B7F5173" w14:textId="40F0EADB" w:rsidR="00C17DEE" w:rsidRPr="00630C61" w:rsidRDefault="00C17DEE" w:rsidP="009D3D19">
      <w:pPr>
        <w:pStyle w:val="Call"/>
        <w:rPr>
          <w:rFonts w:eastAsia="Times"/>
          <w:lang w:val="fr-CH"/>
        </w:rPr>
      </w:pPr>
      <w:r w:rsidRPr="00630C61">
        <w:rPr>
          <w:rFonts w:eastAsia="Times"/>
          <w:lang w:val="fr-CH"/>
        </w:rPr>
        <w:t>not</w:t>
      </w:r>
      <w:r w:rsidR="006E1EA0" w:rsidRPr="00630C61">
        <w:rPr>
          <w:rFonts w:eastAsia="Times"/>
          <w:lang w:val="fr-CH"/>
        </w:rPr>
        <w:t>ant</w:t>
      </w:r>
    </w:p>
    <w:p w14:paraId="4E646937" w14:textId="79B6F947" w:rsidR="00C17DEE" w:rsidRPr="00630C61" w:rsidRDefault="00C17DEE" w:rsidP="009D3D19">
      <w:pPr>
        <w:rPr>
          <w:i/>
          <w:iCs/>
          <w:lang w:val="fr-CH"/>
        </w:rPr>
      </w:pPr>
      <w:r w:rsidRPr="00630C61">
        <w:rPr>
          <w:i/>
          <w:iCs/>
          <w:lang w:val="fr-CH"/>
        </w:rPr>
        <w:t>a)</w:t>
      </w:r>
      <w:r w:rsidRPr="00630C61">
        <w:rPr>
          <w:i/>
          <w:iCs/>
          <w:lang w:val="fr-CH"/>
        </w:rPr>
        <w:tab/>
      </w:r>
      <w:r w:rsidR="007675DE" w:rsidRPr="00630C61">
        <w:rPr>
          <w:lang w:val="fr-CH"/>
        </w:rPr>
        <w:t xml:space="preserve">les </w:t>
      </w:r>
      <w:r w:rsidR="00D72383" w:rsidRPr="00630C61">
        <w:rPr>
          <w:lang w:val="fr-CH"/>
        </w:rPr>
        <w:t>dispositions particulières</w:t>
      </w:r>
      <w:r w:rsidR="007675DE" w:rsidRPr="00630C61">
        <w:rPr>
          <w:lang w:val="fr-CH"/>
        </w:rPr>
        <w:t xml:space="preserve"> </w:t>
      </w:r>
      <w:r w:rsidR="00D72383" w:rsidRPr="00630C61">
        <w:rPr>
          <w:lang w:val="fr-CH"/>
        </w:rPr>
        <w:t xml:space="preserve">de </w:t>
      </w:r>
      <w:r w:rsidR="007675DE" w:rsidRPr="00630C61">
        <w:rPr>
          <w:lang w:val="fr-CH"/>
        </w:rPr>
        <w:t>l'Appendice </w:t>
      </w:r>
      <w:r w:rsidR="007675DE" w:rsidRPr="00630C61">
        <w:rPr>
          <w:b/>
          <w:bCs/>
          <w:lang w:val="fr-CH"/>
        </w:rPr>
        <w:t>27</w:t>
      </w:r>
      <w:r w:rsidR="007675DE" w:rsidRPr="00630C61">
        <w:rPr>
          <w:lang w:val="fr-CH"/>
        </w:rPr>
        <w:t xml:space="preserve"> </w:t>
      </w:r>
      <w:r w:rsidR="00D72383" w:rsidRPr="00630C61">
        <w:rPr>
          <w:lang w:val="fr-CH"/>
        </w:rPr>
        <w:t xml:space="preserve">concernant </w:t>
      </w:r>
      <w:r w:rsidR="007675DE" w:rsidRPr="00630C61">
        <w:rPr>
          <w:lang w:val="fr-CH"/>
        </w:rPr>
        <w:t>les classes d'émission autre</w:t>
      </w:r>
      <w:r w:rsidR="001356DC" w:rsidRPr="00630C61">
        <w:rPr>
          <w:lang w:val="fr-CH"/>
        </w:rPr>
        <w:t>s</w:t>
      </w:r>
      <w:r w:rsidR="007675DE" w:rsidRPr="00630C61">
        <w:rPr>
          <w:lang w:val="fr-CH"/>
        </w:rPr>
        <w:t xml:space="preserve"> que </w:t>
      </w:r>
      <w:r w:rsidRPr="00630C61">
        <w:rPr>
          <w:rFonts w:eastAsia="Times"/>
          <w:lang w:val="fr-CH"/>
        </w:rPr>
        <w:t>J3E o</w:t>
      </w:r>
      <w:r w:rsidR="007675DE" w:rsidRPr="00630C61">
        <w:rPr>
          <w:rFonts w:eastAsia="Times"/>
          <w:lang w:val="fr-CH"/>
        </w:rPr>
        <w:t>u</w:t>
      </w:r>
      <w:r w:rsidRPr="00630C61">
        <w:rPr>
          <w:rFonts w:eastAsia="Times"/>
          <w:lang w:val="fr-CH"/>
        </w:rPr>
        <w:t xml:space="preserve"> H2B;</w:t>
      </w:r>
    </w:p>
    <w:p w14:paraId="7D2544E9" w14:textId="6665AD67" w:rsidR="00C17DEE" w:rsidRPr="00630C61" w:rsidRDefault="00C17DEE" w:rsidP="009D3D19">
      <w:pPr>
        <w:rPr>
          <w:i/>
          <w:iCs/>
          <w:lang w:val="fr-CH"/>
        </w:rPr>
      </w:pPr>
      <w:r w:rsidRPr="00630C61">
        <w:rPr>
          <w:i/>
          <w:iCs/>
          <w:lang w:val="fr-CH"/>
        </w:rPr>
        <w:t>b)</w:t>
      </w:r>
      <w:r w:rsidRPr="00630C61">
        <w:rPr>
          <w:i/>
          <w:iCs/>
          <w:lang w:val="fr-CH"/>
        </w:rPr>
        <w:tab/>
      </w:r>
      <w:r w:rsidR="00695BC4" w:rsidRPr="00630C61">
        <w:rPr>
          <w:lang w:val="fr-CH"/>
        </w:rPr>
        <w:t xml:space="preserve">que l'Appendice </w:t>
      </w:r>
      <w:r w:rsidR="00695BC4" w:rsidRPr="00630C61">
        <w:rPr>
          <w:b/>
          <w:bCs/>
          <w:lang w:val="fr-CH"/>
        </w:rPr>
        <w:t>27</w:t>
      </w:r>
      <w:r w:rsidR="00695BC4" w:rsidRPr="00630C61">
        <w:rPr>
          <w:lang w:val="fr-CH"/>
        </w:rPr>
        <w:t xml:space="preserve"> présente en détail les allotissements de fréquence existants</w:t>
      </w:r>
      <w:r w:rsidR="00BF7C73" w:rsidRPr="00630C61">
        <w:rPr>
          <w:lang w:val="fr-CH"/>
        </w:rPr>
        <w:t xml:space="preserve"> </w:t>
      </w:r>
      <w:r w:rsidR="00C9252F" w:rsidRPr="00630C61">
        <w:rPr>
          <w:lang w:val="fr-CH"/>
        </w:rPr>
        <w:t>à l'échelle régionale</w:t>
      </w:r>
      <w:r w:rsidR="00695BC4" w:rsidRPr="00630C61">
        <w:rPr>
          <w:lang w:val="fr-CH"/>
        </w:rPr>
        <w:t xml:space="preserve"> pour les </w:t>
      </w:r>
      <w:r w:rsidR="00A353CF" w:rsidRPr="00630C61">
        <w:rPr>
          <w:lang w:val="fr-CH"/>
        </w:rPr>
        <w:t xml:space="preserve">systèmes aéronautiques </w:t>
      </w:r>
      <w:r w:rsidR="00695BC4" w:rsidRPr="00630C61">
        <w:rPr>
          <w:lang w:val="fr-CH"/>
        </w:rPr>
        <w:t>en</w:t>
      </w:r>
      <w:r w:rsidR="009B36E3" w:rsidRPr="00630C61">
        <w:rPr>
          <w:lang w:val="fr-CH"/>
        </w:rPr>
        <w:t xml:space="preserve"> ondes décamétriques</w:t>
      </w:r>
      <w:r w:rsidR="00695BC4" w:rsidRPr="00630C61">
        <w:rPr>
          <w:lang w:val="fr-CH"/>
        </w:rPr>
        <w:t xml:space="preserve"> du (SMA(R))</w:t>
      </w:r>
      <w:r w:rsidR="00BF7C73" w:rsidRPr="00630C61">
        <w:rPr>
          <w:lang w:val="fr-CH"/>
        </w:rPr>
        <w:t>;</w:t>
      </w:r>
    </w:p>
    <w:p w14:paraId="19D187FF" w14:textId="60DF7779" w:rsidR="00C17DEE" w:rsidRPr="00630C61" w:rsidRDefault="00C17DEE" w:rsidP="009D3D19">
      <w:pPr>
        <w:rPr>
          <w:i/>
          <w:iCs/>
          <w:lang w:val="fr-CH"/>
        </w:rPr>
      </w:pPr>
      <w:r w:rsidRPr="00630C61">
        <w:rPr>
          <w:i/>
          <w:iCs/>
          <w:lang w:val="fr-CH"/>
        </w:rPr>
        <w:t>c)</w:t>
      </w:r>
      <w:r w:rsidRPr="00630C61">
        <w:rPr>
          <w:i/>
          <w:iCs/>
          <w:lang w:val="fr-CH"/>
        </w:rPr>
        <w:tab/>
      </w:r>
      <w:r w:rsidR="001F66CC" w:rsidRPr="00630C61">
        <w:rPr>
          <w:lang w:val="fr-CH"/>
        </w:rPr>
        <w:t xml:space="preserve">que l'Appendice </w:t>
      </w:r>
      <w:r w:rsidR="001F66CC" w:rsidRPr="00630C61">
        <w:rPr>
          <w:b/>
          <w:bCs/>
          <w:lang w:val="fr-CH"/>
        </w:rPr>
        <w:t>27</w:t>
      </w:r>
      <w:r w:rsidR="001F66CC" w:rsidRPr="00630C61">
        <w:rPr>
          <w:lang w:val="fr-CH"/>
        </w:rPr>
        <w:t xml:space="preserve"> </w:t>
      </w:r>
      <w:r w:rsidR="00695BC4" w:rsidRPr="00630C61">
        <w:rPr>
          <w:lang w:val="fr-CH"/>
        </w:rPr>
        <w:t>contient les allotissements</w:t>
      </w:r>
      <w:r w:rsidR="00D21A6A" w:rsidRPr="00630C61">
        <w:rPr>
          <w:lang w:val="fr-CH"/>
        </w:rPr>
        <w:t xml:space="preserve"> à l'échelle internationale et régionale</w:t>
      </w:r>
      <w:r w:rsidR="00695BC4" w:rsidRPr="00630C61">
        <w:rPr>
          <w:lang w:val="fr-CH"/>
        </w:rPr>
        <w:t xml:space="preserve"> pour les canaux en ondes décamétriques au sein du SMA(R)</w:t>
      </w:r>
      <w:r w:rsidR="001F66CC" w:rsidRPr="00630C61">
        <w:rPr>
          <w:lang w:val="fr-CH"/>
        </w:rPr>
        <w:t>;</w:t>
      </w:r>
    </w:p>
    <w:p w14:paraId="165B041A" w14:textId="2ED3DEB5" w:rsidR="00C17DEE" w:rsidRPr="00630C61" w:rsidRDefault="00C17DEE" w:rsidP="009D3D19">
      <w:pPr>
        <w:rPr>
          <w:rFonts w:eastAsia="Times"/>
          <w:lang w:val="fr-CH"/>
        </w:rPr>
      </w:pPr>
      <w:r w:rsidRPr="00630C61">
        <w:rPr>
          <w:i/>
          <w:iCs/>
          <w:lang w:val="fr-CH"/>
        </w:rPr>
        <w:t>d)</w:t>
      </w:r>
      <w:r w:rsidRPr="00630C61">
        <w:rPr>
          <w:lang w:val="fr-CH"/>
        </w:rPr>
        <w:tab/>
      </w:r>
      <w:r w:rsidR="00695BC4" w:rsidRPr="00630C61">
        <w:rPr>
          <w:lang w:val="fr-CH"/>
        </w:rPr>
        <w:t>que les</w:t>
      </w:r>
      <w:r w:rsidR="00130D1A" w:rsidRPr="00630C61">
        <w:rPr>
          <w:lang w:val="fr-CH"/>
        </w:rPr>
        <w:t xml:space="preserve"> systèmes aéronautiques</w:t>
      </w:r>
      <w:r w:rsidR="00684CC5" w:rsidRPr="00630C61">
        <w:rPr>
          <w:lang w:val="fr-CH"/>
        </w:rPr>
        <w:t xml:space="preserve"> </w:t>
      </w:r>
      <w:r w:rsidR="00695BC4" w:rsidRPr="00630C61">
        <w:rPr>
          <w:lang w:val="fr-CH"/>
        </w:rPr>
        <w:t xml:space="preserve">actuels </w:t>
      </w:r>
      <w:r w:rsidR="00684CC5" w:rsidRPr="00630C61">
        <w:rPr>
          <w:lang w:val="fr-CH"/>
        </w:rPr>
        <w:t>pour les</w:t>
      </w:r>
      <w:r w:rsidR="00596E94" w:rsidRPr="00630C61">
        <w:rPr>
          <w:lang w:val="fr-CH"/>
        </w:rPr>
        <w:t xml:space="preserve"> communications numériques </w:t>
      </w:r>
      <w:r w:rsidR="00695BC4" w:rsidRPr="00630C61">
        <w:rPr>
          <w:lang w:val="fr-CH"/>
        </w:rPr>
        <w:t>à</w:t>
      </w:r>
      <w:r w:rsidR="00596E94" w:rsidRPr="00630C61">
        <w:rPr>
          <w:lang w:val="fr-CH"/>
        </w:rPr>
        <w:t xml:space="preserve"> bande étroite</w:t>
      </w:r>
      <w:r w:rsidR="00695BC4" w:rsidRPr="00630C61">
        <w:rPr>
          <w:lang w:val="fr-CH"/>
        </w:rPr>
        <w:t xml:space="preserve"> en ondes décamétriques font l'objet de la </w:t>
      </w:r>
      <w:r w:rsidR="00695BC4" w:rsidRPr="00630C61">
        <w:rPr>
          <w:rFonts w:eastAsia="Times"/>
          <w:lang w:val="fr-CH"/>
        </w:rPr>
        <w:t>Recommandation UIT-R</w:t>
      </w:r>
      <w:r w:rsidR="00695BC4" w:rsidRPr="00630C61">
        <w:rPr>
          <w:lang w:val="fr-CH"/>
        </w:rPr>
        <w:t> M.1458</w:t>
      </w:r>
      <w:r w:rsidR="00355D36" w:rsidRPr="00630C61">
        <w:rPr>
          <w:lang w:val="fr-CH"/>
        </w:rPr>
        <w:t>;</w:t>
      </w:r>
    </w:p>
    <w:p w14:paraId="3CB91158" w14:textId="208F3D63" w:rsidR="00C17DEE" w:rsidRPr="00630C61" w:rsidRDefault="00C17DEE" w:rsidP="009D3D19">
      <w:pPr>
        <w:rPr>
          <w:rFonts w:eastAsia="Times"/>
          <w:lang w:val="fr-CH"/>
        </w:rPr>
      </w:pPr>
      <w:r w:rsidRPr="00630C61">
        <w:rPr>
          <w:i/>
          <w:iCs/>
          <w:lang w:val="fr-CH"/>
        </w:rPr>
        <w:t>e)</w:t>
      </w:r>
      <w:r w:rsidRPr="00630C61">
        <w:rPr>
          <w:lang w:val="fr-CH"/>
        </w:rPr>
        <w:tab/>
      </w:r>
      <w:r w:rsidR="00B06C0B" w:rsidRPr="00630C61">
        <w:rPr>
          <w:lang w:val="fr-CH"/>
        </w:rPr>
        <w:t>que l</w:t>
      </w:r>
      <w:r w:rsidR="00910A04" w:rsidRPr="00630C61">
        <w:rPr>
          <w:lang w:val="fr-CH"/>
        </w:rPr>
        <w:t>a</w:t>
      </w:r>
      <w:r w:rsidR="00B06C0B" w:rsidRPr="00630C61">
        <w:rPr>
          <w:lang w:val="fr-CH"/>
        </w:rPr>
        <w:t xml:space="preserve"> question</w:t>
      </w:r>
      <w:r w:rsidR="00910A04" w:rsidRPr="00630C61">
        <w:rPr>
          <w:lang w:val="fr-CH"/>
        </w:rPr>
        <w:t xml:space="preserve"> </w:t>
      </w:r>
      <w:r w:rsidR="00B06C0B" w:rsidRPr="00630C61">
        <w:rPr>
          <w:lang w:val="fr-CH"/>
        </w:rPr>
        <w:t>de</w:t>
      </w:r>
      <w:r w:rsidR="00910A04" w:rsidRPr="00630C61">
        <w:rPr>
          <w:lang w:val="fr-CH"/>
        </w:rPr>
        <w:t xml:space="preserve"> la</w:t>
      </w:r>
      <w:r w:rsidR="00B06C0B" w:rsidRPr="00630C61">
        <w:rPr>
          <w:lang w:val="fr-CH"/>
        </w:rPr>
        <w:t xml:space="preserve"> compatibilité </w:t>
      </w:r>
      <w:r w:rsidR="00EF2250">
        <w:rPr>
          <w:lang w:val="fr-CH"/>
        </w:rPr>
        <w:t xml:space="preserve">inter-systèmes </w:t>
      </w:r>
      <w:r w:rsidR="00B06C0B" w:rsidRPr="00630C61">
        <w:rPr>
          <w:lang w:val="fr-CH"/>
        </w:rPr>
        <w:t>entre les équipements aéronautiques normalisés à l'échelle internationale relève de la responsabilité de l'OACI;</w:t>
      </w:r>
    </w:p>
    <w:p w14:paraId="22DB23C7" w14:textId="268D5DC5" w:rsidR="00C17DEE" w:rsidRPr="00630C61" w:rsidRDefault="00C17DEE" w:rsidP="009D3D19">
      <w:pPr>
        <w:rPr>
          <w:rFonts w:eastAsia="Times"/>
          <w:i/>
          <w:iCs/>
          <w:lang w:val="fr-CH"/>
        </w:rPr>
      </w:pPr>
      <w:r w:rsidRPr="00630C61">
        <w:rPr>
          <w:i/>
          <w:iCs/>
          <w:lang w:val="fr-CH"/>
        </w:rPr>
        <w:t>f)</w:t>
      </w:r>
      <w:r w:rsidRPr="00630C61">
        <w:rPr>
          <w:i/>
          <w:iCs/>
          <w:lang w:val="fr-CH"/>
        </w:rPr>
        <w:tab/>
      </w:r>
      <w:r w:rsidR="00F4223B" w:rsidRPr="00630C61">
        <w:rPr>
          <w:lang w:val="fr-CH"/>
        </w:rPr>
        <w:t xml:space="preserve">qu'une nouvelle technologie de regroupement de canaux </w:t>
      </w:r>
      <w:r w:rsidR="00695BC4" w:rsidRPr="00630C61">
        <w:rPr>
          <w:lang w:val="fr-CH"/>
        </w:rPr>
        <w:t>en</w:t>
      </w:r>
      <w:r w:rsidR="00F4223B" w:rsidRPr="00630C61">
        <w:rPr>
          <w:lang w:val="fr-CH"/>
        </w:rPr>
        <w:t xml:space="preserve"> ondes décamétriques permet d'offrir une largeur de bande variable allant jusqu'à </w:t>
      </w:r>
      <w:r w:rsidRPr="00630C61">
        <w:rPr>
          <w:lang w:val="fr-CH"/>
        </w:rPr>
        <w:t xml:space="preserve">48 kHz, </w:t>
      </w:r>
      <w:r w:rsidR="00F4223B" w:rsidRPr="00630C61">
        <w:rPr>
          <w:lang w:val="fr-CH"/>
        </w:rPr>
        <w:t>par tranches de</w:t>
      </w:r>
      <w:r w:rsidRPr="00630C61">
        <w:rPr>
          <w:lang w:val="fr-CH"/>
        </w:rPr>
        <w:t xml:space="preserve"> 3 kHz,</w:t>
      </w:r>
    </w:p>
    <w:p w14:paraId="4BF855B8" w14:textId="672EB52F" w:rsidR="00C17DEE" w:rsidRPr="00630C61" w:rsidRDefault="00C17DEE" w:rsidP="009D3D19">
      <w:pPr>
        <w:pStyle w:val="Call"/>
        <w:rPr>
          <w:rFonts w:eastAsia="Times"/>
          <w:lang w:val="fr-CH"/>
        </w:rPr>
      </w:pPr>
      <w:r w:rsidRPr="00630C61">
        <w:rPr>
          <w:rFonts w:eastAsia="Times"/>
          <w:lang w:val="fr-CH"/>
        </w:rPr>
        <w:t>reco</w:t>
      </w:r>
      <w:r w:rsidR="00B205D1" w:rsidRPr="00630C61">
        <w:rPr>
          <w:rFonts w:eastAsia="Times"/>
          <w:lang w:val="fr-CH"/>
        </w:rPr>
        <w:t>nnaissant</w:t>
      </w:r>
    </w:p>
    <w:p w14:paraId="4D99E9FC" w14:textId="36606F7A" w:rsidR="00C17DEE" w:rsidRPr="00630C61" w:rsidRDefault="00C17DEE" w:rsidP="009D3D19">
      <w:pPr>
        <w:rPr>
          <w:rFonts w:eastAsia="Times"/>
          <w:szCs w:val="24"/>
          <w:lang w:val="fr-CH"/>
        </w:rPr>
      </w:pPr>
      <w:r w:rsidRPr="00630C61">
        <w:rPr>
          <w:rFonts w:eastAsia="Times"/>
          <w:i/>
          <w:iCs/>
          <w:szCs w:val="24"/>
          <w:lang w:val="fr-CH"/>
        </w:rPr>
        <w:t>a)</w:t>
      </w:r>
      <w:r w:rsidRPr="00630C61">
        <w:rPr>
          <w:rFonts w:eastAsia="Times"/>
          <w:szCs w:val="24"/>
          <w:lang w:val="fr-CH"/>
        </w:rPr>
        <w:tab/>
      </w:r>
      <w:r w:rsidR="00B205D1" w:rsidRPr="00630C61">
        <w:rPr>
          <w:rFonts w:eastAsia="Times"/>
          <w:szCs w:val="24"/>
          <w:lang w:val="fr-CH"/>
        </w:rPr>
        <w:t xml:space="preserve">la </w:t>
      </w:r>
      <w:r w:rsidR="003E068B" w:rsidRPr="00630C61">
        <w:rPr>
          <w:rFonts w:eastAsia="Times"/>
          <w:szCs w:val="24"/>
          <w:lang w:val="fr-CH"/>
        </w:rPr>
        <w:t xml:space="preserve">nécessité d'améliorer </w:t>
      </w:r>
      <w:r w:rsidR="00CF64C3" w:rsidRPr="00630C61">
        <w:rPr>
          <w:rFonts w:eastAsia="Times"/>
          <w:szCs w:val="24"/>
          <w:lang w:val="fr-CH"/>
        </w:rPr>
        <w:t>la performance</w:t>
      </w:r>
      <w:r w:rsidR="003E068B" w:rsidRPr="00630C61">
        <w:rPr>
          <w:rFonts w:eastAsia="Times"/>
          <w:szCs w:val="24"/>
          <w:lang w:val="fr-CH"/>
        </w:rPr>
        <w:t xml:space="preserve"> des </w:t>
      </w:r>
      <w:r w:rsidR="00B000CA" w:rsidRPr="00630C61">
        <w:rPr>
          <w:rFonts w:eastAsia="Times"/>
          <w:szCs w:val="24"/>
          <w:lang w:val="fr-CH"/>
        </w:rPr>
        <w:t xml:space="preserve">systèmes </w:t>
      </w:r>
      <w:r w:rsidR="003E068B" w:rsidRPr="00630C61">
        <w:rPr>
          <w:rFonts w:eastAsia="Times"/>
          <w:szCs w:val="24"/>
          <w:lang w:val="fr-CH"/>
        </w:rPr>
        <w:t>aéronautique</w:t>
      </w:r>
      <w:r w:rsidR="00CF64C3" w:rsidRPr="00630C61">
        <w:rPr>
          <w:rFonts w:eastAsia="Times"/>
          <w:szCs w:val="24"/>
          <w:lang w:val="fr-CH"/>
        </w:rPr>
        <w:t>s</w:t>
      </w:r>
      <w:r w:rsidR="003E068B" w:rsidRPr="00630C61">
        <w:rPr>
          <w:rFonts w:eastAsia="Times"/>
          <w:szCs w:val="24"/>
          <w:lang w:val="fr-CH"/>
        </w:rPr>
        <w:t xml:space="preserve"> </w:t>
      </w:r>
      <w:r w:rsidR="00451D2F" w:rsidRPr="00630C61">
        <w:rPr>
          <w:rFonts w:eastAsia="Times"/>
          <w:szCs w:val="24"/>
          <w:lang w:val="fr-CH"/>
        </w:rPr>
        <w:t>en</w:t>
      </w:r>
      <w:r w:rsidR="003E068B" w:rsidRPr="00630C61">
        <w:rPr>
          <w:rFonts w:eastAsia="Times"/>
          <w:szCs w:val="24"/>
          <w:lang w:val="fr-CH"/>
        </w:rPr>
        <w:t xml:space="preserve"> ondes décamétriques pour répondre aux normes </w:t>
      </w:r>
      <w:r w:rsidR="00CF64C3" w:rsidRPr="00630C61">
        <w:rPr>
          <w:rFonts w:eastAsia="Times"/>
          <w:szCs w:val="24"/>
          <w:lang w:val="fr-CH"/>
        </w:rPr>
        <w:t>de performance</w:t>
      </w:r>
      <w:r w:rsidR="003E068B" w:rsidRPr="00630C61">
        <w:rPr>
          <w:rFonts w:eastAsia="Times"/>
          <w:szCs w:val="24"/>
          <w:lang w:val="fr-CH"/>
        </w:rPr>
        <w:t xml:space="preserve"> définies par l'OACI et reconnues à l'échelle mondiale dans le secteur de l'aviation</w:t>
      </w:r>
      <w:r w:rsidR="0045111C" w:rsidRPr="00630C61">
        <w:rPr>
          <w:rFonts w:eastAsia="Times"/>
          <w:szCs w:val="24"/>
          <w:lang w:val="fr-CH"/>
        </w:rPr>
        <w:t>;</w:t>
      </w:r>
    </w:p>
    <w:p w14:paraId="5581A851" w14:textId="1CF4B191" w:rsidR="00C17DEE" w:rsidRPr="00630C61" w:rsidRDefault="00C17DEE" w:rsidP="00695BC4">
      <w:pPr>
        <w:rPr>
          <w:lang w:val="fr-CH"/>
        </w:rPr>
      </w:pPr>
      <w:r w:rsidRPr="00630C61">
        <w:rPr>
          <w:i/>
          <w:iCs/>
          <w:lang w:val="fr-CH"/>
        </w:rPr>
        <w:t>b)</w:t>
      </w:r>
      <w:r w:rsidRPr="00630C61">
        <w:rPr>
          <w:lang w:val="fr-CH"/>
        </w:rPr>
        <w:tab/>
        <w:t>que l'Annexe 10</w:t>
      </w:r>
      <w:r w:rsidR="0045111C" w:rsidRPr="00630C61">
        <w:rPr>
          <w:lang w:val="fr-CH"/>
        </w:rPr>
        <w:t>, volume III</w:t>
      </w:r>
      <w:r w:rsidRPr="00630C61">
        <w:rPr>
          <w:lang w:val="fr-CH"/>
        </w:rPr>
        <w:t xml:space="preserve"> de la Convention relative à l'aviation civile internationale fait partie des normes et pratiques internationales recommandées (SARP) pour les systèmes de communication aéronautique</w:t>
      </w:r>
      <w:r w:rsidR="00181512" w:rsidRPr="00630C61">
        <w:rPr>
          <w:lang w:val="fr-CH"/>
        </w:rPr>
        <w:t xml:space="preserve"> </w:t>
      </w:r>
      <w:r w:rsidR="00CF64C3" w:rsidRPr="00630C61">
        <w:rPr>
          <w:lang w:val="fr-CH"/>
        </w:rPr>
        <w:t>à</w:t>
      </w:r>
      <w:r w:rsidR="009167ED" w:rsidRPr="00630C61">
        <w:rPr>
          <w:lang w:val="fr-CH"/>
        </w:rPr>
        <w:t xml:space="preserve"> bande étroite </w:t>
      </w:r>
      <w:r w:rsidR="00CF64C3" w:rsidRPr="00630C61">
        <w:rPr>
          <w:lang w:val="fr-CH"/>
        </w:rPr>
        <w:t>en</w:t>
      </w:r>
      <w:r w:rsidR="009167ED" w:rsidRPr="00630C61">
        <w:rPr>
          <w:lang w:val="fr-CH"/>
        </w:rPr>
        <w:t xml:space="preserve"> ondes décamétriques </w:t>
      </w:r>
      <w:r w:rsidR="00CF64C3" w:rsidRPr="00630C61">
        <w:rPr>
          <w:lang w:val="fr-CH"/>
        </w:rPr>
        <w:t xml:space="preserve">actuellement utilisés </w:t>
      </w:r>
      <w:r w:rsidRPr="00630C61">
        <w:rPr>
          <w:lang w:val="fr-CH"/>
        </w:rPr>
        <w:t>par l'aviation civile internationale</w:t>
      </w:r>
      <w:r w:rsidR="005C1D22" w:rsidRPr="00630C61">
        <w:rPr>
          <w:lang w:val="fr-CH"/>
        </w:rPr>
        <w:t>;</w:t>
      </w:r>
    </w:p>
    <w:p w14:paraId="7CFE31DC" w14:textId="3232C33A" w:rsidR="00C17DEE" w:rsidRPr="00630C61" w:rsidRDefault="00C17DEE" w:rsidP="00695BC4">
      <w:pPr>
        <w:rPr>
          <w:rFonts w:eastAsia="Times"/>
          <w:lang w:val="fr-CH"/>
        </w:rPr>
      </w:pPr>
      <w:r w:rsidRPr="00630C61">
        <w:rPr>
          <w:rFonts w:eastAsia="Times"/>
          <w:i/>
          <w:iCs/>
          <w:lang w:val="fr-CH"/>
        </w:rPr>
        <w:t>c)</w:t>
      </w:r>
      <w:r w:rsidRPr="00630C61">
        <w:rPr>
          <w:rFonts w:eastAsia="Times"/>
          <w:lang w:val="fr-CH"/>
        </w:rPr>
        <w:tab/>
      </w:r>
      <w:r w:rsidR="00064964" w:rsidRPr="00630C61">
        <w:rPr>
          <w:rFonts w:eastAsia="Times"/>
          <w:lang w:val="fr-CH"/>
        </w:rPr>
        <w:t xml:space="preserve">que la modernisation des </w:t>
      </w:r>
      <w:r w:rsidR="00CF64C3" w:rsidRPr="00630C61">
        <w:rPr>
          <w:rFonts w:eastAsia="Times"/>
          <w:lang w:val="fr-CH"/>
        </w:rPr>
        <w:t xml:space="preserve">systèmes de </w:t>
      </w:r>
      <w:r w:rsidR="003C612F" w:rsidRPr="00630C61">
        <w:rPr>
          <w:rFonts w:eastAsia="Times"/>
          <w:lang w:val="fr-CH"/>
        </w:rPr>
        <w:t>communication</w:t>
      </w:r>
      <w:r w:rsidR="00064964" w:rsidRPr="00630C61">
        <w:rPr>
          <w:rFonts w:eastAsia="Times"/>
          <w:lang w:val="fr-CH"/>
        </w:rPr>
        <w:t xml:space="preserve"> aéronautique en ondes décamétriques ne nécessite</w:t>
      </w:r>
      <w:r w:rsidR="00CF64C3" w:rsidRPr="00630C61">
        <w:rPr>
          <w:rFonts w:eastAsia="Times"/>
          <w:lang w:val="fr-CH"/>
        </w:rPr>
        <w:t>ra</w:t>
      </w:r>
      <w:r w:rsidR="00064964" w:rsidRPr="00630C61">
        <w:rPr>
          <w:rFonts w:eastAsia="Times"/>
          <w:lang w:val="fr-CH"/>
        </w:rPr>
        <w:t xml:space="preserve"> pas de modifier l'article </w:t>
      </w:r>
      <w:r w:rsidR="00064964" w:rsidRPr="00630C61">
        <w:rPr>
          <w:rFonts w:eastAsia="Times"/>
          <w:b/>
          <w:bCs/>
          <w:lang w:val="fr-CH"/>
        </w:rPr>
        <w:t>5</w:t>
      </w:r>
      <w:r w:rsidR="00064964" w:rsidRPr="00630C61">
        <w:rPr>
          <w:rFonts w:eastAsia="Times"/>
          <w:lang w:val="fr-CH"/>
        </w:rPr>
        <w:t xml:space="preserve"> du Règlement des radiocommunications;</w:t>
      </w:r>
    </w:p>
    <w:p w14:paraId="3ECBCC51" w14:textId="21BBA421" w:rsidR="00C17DEE" w:rsidRPr="00630C61" w:rsidRDefault="00C17DEE" w:rsidP="00695BC4">
      <w:pPr>
        <w:rPr>
          <w:rFonts w:eastAsia="Times"/>
          <w:lang w:val="fr-CH"/>
        </w:rPr>
      </w:pPr>
      <w:r w:rsidRPr="00630C61">
        <w:rPr>
          <w:rFonts w:eastAsia="Times"/>
          <w:i/>
          <w:iCs/>
          <w:lang w:val="fr-CH"/>
        </w:rPr>
        <w:t>d)</w:t>
      </w:r>
      <w:r w:rsidRPr="00630C61">
        <w:rPr>
          <w:rFonts w:eastAsia="Times"/>
          <w:lang w:val="fr-CH"/>
        </w:rPr>
        <w:tab/>
      </w:r>
      <w:r w:rsidR="002868A7" w:rsidRPr="00630C61">
        <w:rPr>
          <w:rFonts w:eastAsia="Times"/>
          <w:lang w:val="fr-CH"/>
        </w:rPr>
        <w:t xml:space="preserve">que les </w:t>
      </w:r>
      <w:r w:rsidR="00CF64C3" w:rsidRPr="00630C61">
        <w:rPr>
          <w:rFonts w:eastAsia="Times"/>
          <w:lang w:val="fr-CH"/>
        </w:rPr>
        <w:t>fréquences</w:t>
      </w:r>
      <w:r w:rsidRPr="00630C61">
        <w:rPr>
          <w:rFonts w:eastAsia="Times"/>
          <w:lang w:val="fr-CH"/>
        </w:rPr>
        <w:t xml:space="preserve"> 3 023 kHz </w:t>
      </w:r>
      <w:r w:rsidR="002868A7" w:rsidRPr="00630C61">
        <w:rPr>
          <w:rFonts w:eastAsia="Times"/>
          <w:lang w:val="fr-CH"/>
        </w:rPr>
        <w:t xml:space="preserve">et </w:t>
      </w:r>
      <w:r w:rsidRPr="00630C61">
        <w:rPr>
          <w:rFonts w:eastAsia="Times"/>
          <w:lang w:val="fr-CH"/>
        </w:rPr>
        <w:t xml:space="preserve">5 680 kHz </w:t>
      </w:r>
      <w:r w:rsidR="002868A7" w:rsidRPr="00630C61">
        <w:rPr>
          <w:rFonts w:eastAsia="Times"/>
          <w:lang w:val="fr-CH"/>
        </w:rPr>
        <w:t xml:space="preserve">sont </w:t>
      </w:r>
      <w:r w:rsidR="00CF64C3" w:rsidRPr="00630C61">
        <w:rPr>
          <w:rFonts w:eastAsia="Times"/>
          <w:lang w:val="fr-CH"/>
        </w:rPr>
        <w:t>désignées pour être utilisées pour les opérations de</w:t>
      </w:r>
      <w:r w:rsidR="009A6410" w:rsidRPr="00630C61">
        <w:rPr>
          <w:rFonts w:eastAsia="Times"/>
          <w:lang w:val="fr-CH"/>
        </w:rPr>
        <w:t xml:space="preserve"> recherche et </w:t>
      </w:r>
      <w:r w:rsidR="00CF64C3" w:rsidRPr="00630C61">
        <w:rPr>
          <w:rFonts w:eastAsia="Times"/>
          <w:lang w:val="fr-CH"/>
        </w:rPr>
        <w:t>de sauvetage</w:t>
      </w:r>
      <w:r w:rsidR="009A6410" w:rsidRPr="00630C61">
        <w:rPr>
          <w:rFonts w:eastAsia="Times"/>
          <w:lang w:val="fr-CH"/>
        </w:rPr>
        <w:t xml:space="preserve"> en vertu de l'Appendice </w:t>
      </w:r>
      <w:r w:rsidR="009A6410" w:rsidRPr="00630C61">
        <w:rPr>
          <w:rFonts w:eastAsia="Times"/>
          <w:b/>
          <w:bCs/>
          <w:lang w:val="fr-CH"/>
        </w:rPr>
        <w:t>15</w:t>
      </w:r>
      <w:r w:rsidR="009A6410" w:rsidRPr="00630C61">
        <w:rPr>
          <w:rFonts w:eastAsia="Times"/>
          <w:lang w:val="fr-CH"/>
        </w:rPr>
        <w:t xml:space="preserve"> du Règlement des radiocommunications</w:t>
      </w:r>
      <w:r w:rsidR="00CF64C3" w:rsidRPr="00630C61">
        <w:rPr>
          <w:rFonts w:eastAsia="Times"/>
          <w:lang w:val="fr-CH"/>
        </w:rPr>
        <w:t>,</w:t>
      </w:r>
    </w:p>
    <w:p w14:paraId="5296A4CB" w14:textId="426ADF31" w:rsidR="00C17DEE" w:rsidRPr="00630C61" w:rsidRDefault="00371A19" w:rsidP="009D3D19">
      <w:pPr>
        <w:pStyle w:val="Call"/>
        <w:rPr>
          <w:rFonts w:eastAsia="Times"/>
          <w:lang w:val="fr-CH"/>
        </w:rPr>
      </w:pPr>
      <w:r w:rsidRPr="00630C61">
        <w:rPr>
          <w:rFonts w:eastAsia="Times"/>
          <w:lang w:val="fr-CH"/>
        </w:rPr>
        <w:t>décide d'inviter l'UIT-R</w:t>
      </w:r>
    </w:p>
    <w:p w14:paraId="783CEBB7" w14:textId="024BBC1C" w:rsidR="00C17DEE" w:rsidRPr="00630C61" w:rsidRDefault="00C17DEE" w:rsidP="009D3D19">
      <w:pPr>
        <w:rPr>
          <w:rFonts w:eastAsia="Times"/>
          <w:lang w:val="fr-CH"/>
        </w:rPr>
      </w:pPr>
      <w:r w:rsidRPr="00630C61">
        <w:rPr>
          <w:rFonts w:eastAsia="Times"/>
          <w:lang w:val="fr-CH"/>
        </w:rPr>
        <w:t>1</w:t>
      </w:r>
      <w:r w:rsidRPr="00630C61">
        <w:rPr>
          <w:rFonts w:eastAsia="Times"/>
          <w:lang w:val="fr-CH"/>
        </w:rPr>
        <w:tab/>
      </w:r>
      <w:r w:rsidR="00371A19" w:rsidRPr="00630C61">
        <w:rPr>
          <w:rFonts w:eastAsia="Times"/>
          <w:lang w:val="fr-CH"/>
        </w:rPr>
        <w:t xml:space="preserve">à recenser les </w:t>
      </w:r>
      <w:r w:rsidR="002D1225" w:rsidRPr="00630C61">
        <w:rPr>
          <w:rFonts w:eastAsia="Times"/>
          <w:lang w:val="fr-CH"/>
        </w:rPr>
        <w:t xml:space="preserve">éventuelles </w:t>
      </w:r>
      <w:r w:rsidR="00371A19" w:rsidRPr="00630C61">
        <w:rPr>
          <w:rFonts w:eastAsia="Times"/>
          <w:lang w:val="fr-CH"/>
        </w:rPr>
        <w:t xml:space="preserve">modifications </w:t>
      </w:r>
      <w:r w:rsidR="00CC6A67" w:rsidRPr="00630C61">
        <w:rPr>
          <w:rFonts w:eastAsia="Times"/>
          <w:lang w:val="fr-CH"/>
        </w:rPr>
        <w:t>à apporter à</w:t>
      </w:r>
      <w:r w:rsidR="00371A19" w:rsidRPr="00630C61">
        <w:rPr>
          <w:rFonts w:eastAsia="Times"/>
          <w:lang w:val="fr-CH"/>
        </w:rPr>
        <w:t xml:space="preserve"> l'Appendice </w:t>
      </w:r>
      <w:r w:rsidR="00371A19" w:rsidRPr="00630C61">
        <w:rPr>
          <w:rFonts w:eastAsia="Times"/>
          <w:b/>
          <w:bCs/>
          <w:lang w:val="fr-CH"/>
        </w:rPr>
        <w:t>27</w:t>
      </w:r>
      <w:r w:rsidR="00371A19" w:rsidRPr="00630C61">
        <w:rPr>
          <w:rFonts w:eastAsia="Times"/>
          <w:lang w:val="fr-CH"/>
        </w:rPr>
        <w:t xml:space="preserve"> concernant </w:t>
      </w:r>
      <w:r w:rsidR="00CF64C3" w:rsidRPr="00630C61">
        <w:rPr>
          <w:rFonts w:eastAsia="Times"/>
          <w:lang w:val="fr-CH"/>
        </w:rPr>
        <w:t>l'allotissement</w:t>
      </w:r>
      <w:r w:rsidR="00371A19" w:rsidRPr="00630C61">
        <w:rPr>
          <w:rFonts w:eastAsia="Times"/>
          <w:lang w:val="fr-CH"/>
        </w:rPr>
        <w:t xml:space="preserve"> de</w:t>
      </w:r>
      <w:r w:rsidR="00CF64C3" w:rsidRPr="00630C61">
        <w:rPr>
          <w:rFonts w:eastAsia="Times"/>
          <w:lang w:val="fr-CH"/>
        </w:rPr>
        <w:t>s</w:t>
      </w:r>
      <w:r w:rsidR="00371A19" w:rsidRPr="00630C61">
        <w:rPr>
          <w:rFonts w:eastAsia="Times"/>
          <w:lang w:val="fr-CH"/>
        </w:rPr>
        <w:t xml:space="preserve"> canaux </w:t>
      </w:r>
      <w:r w:rsidR="00CF64C3" w:rsidRPr="00630C61">
        <w:rPr>
          <w:rFonts w:eastAsia="Times"/>
          <w:lang w:val="fr-CH"/>
        </w:rPr>
        <w:t xml:space="preserve">aéronautiques </w:t>
      </w:r>
      <w:r w:rsidR="00371A19" w:rsidRPr="00630C61">
        <w:rPr>
          <w:rFonts w:eastAsia="Times"/>
          <w:lang w:val="fr-CH"/>
        </w:rPr>
        <w:t xml:space="preserve">large bande en ondes décamétriques </w:t>
      </w:r>
      <w:r w:rsidR="00CF64C3" w:rsidRPr="00630C61">
        <w:rPr>
          <w:rFonts w:eastAsia="Times"/>
          <w:lang w:val="fr-CH"/>
        </w:rPr>
        <w:t xml:space="preserve">pour le </w:t>
      </w:r>
      <w:r w:rsidR="00BF11BA" w:rsidRPr="00630C61">
        <w:rPr>
          <w:lang w:val="fr-CH"/>
        </w:rPr>
        <w:t>service mobile aéronautique (le long des routes)</w:t>
      </w:r>
      <w:r w:rsidR="00912956" w:rsidRPr="00630C61">
        <w:rPr>
          <w:lang w:val="fr-CH"/>
        </w:rPr>
        <w:t xml:space="preserve"> dans les bandes de fréquences comprises entre 2</w:t>
      </w:r>
      <w:r w:rsidR="00066447" w:rsidRPr="00630C61">
        <w:rPr>
          <w:lang w:val="fr-CH"/>
        </w:rPr>
        <w:t> </w:t>
      </w:r>
      <w:r w:rsidR="00912956" w:rsidRPr="00630C61">
        <w:rPr>
          <w:lang w:val="fr-CH"/>
        </w:rPr>
        <w:t xml:space="preserve">850 </w:t>
      </w:r>
      <w:r w:rsidR="00EF2250" w:rsidRPr="00630C61">
        <w:rPr>
          <w:lang w:val="fr-CH"/>
        </w:rPr>
        <w:t>kHz</w:t>
      </w:r>
      <w:r w:rsidR="00EF2250" w:rsidRPr="00630C61">
        <w:rPr>
          <w:lang w:val="fr-CH"/>
        </w:rPr>
        <w:t xml:space="preserve"> </w:t>
      </w:r>
      <w:r w:rsidR="00912956" w:rsidRPr="00630C61">
        <w:rPr>
          <w:lang w:val="fr-CH"/>
        </w:rPr>
        <w:t>et 22 000 kHz et sans modification de l'article </w:t>
      </w:r>
      <w:r w:rsidR="00912956" w:rsidRPr="00630C61">
        <w:rPr>
          <w:b/>
          <w:bCs/>
          <w:lang w:val="fr-CH"/>
        </w:rPr>
        <w:t>5</w:t>
      </w:r>
      <w:r w:rsidR="00912956" w:rsidRPr="00630C61">
        <w:rPr>
          <w:lang w:val="fr-CH"/>
        </w:rPr>
        <w:t xml:space="preserve"> du Règlement des radiocommunications;</w:t>
      </w:r>
    </w:p>
    <w:p w14:paraId="542BC1DE" w14:textId="4DE6A5A6" w:rsidR="00C17DEE" w:rsidRPr="00630C61" w:rsidRDefault="00C17DEE" w:rsidP="009D3D19">
      <w:pPr>
        <w:rPr>
          <w:rFonts w:eastAsia="Times"/>
          <w:lang w:val="fr-CH"/>
        </w:rPr>
      </w:pPr>
      <w:r w:rsidRPr="00630C61">
        <w:rPr>
          <w:rFonts w:eastAsia="Times"/>
          <w:lang w:val="fr-CH"/>
        </w:rPr>
        <w:t>2</w:t>
      </w:r>
      <w:r w:rsidRPr="00630C61">
        <w:rPr>
          <w:rFonts w:eastAsia="Times"/>
          <w:lang w:val="fr-CH"/>
        </w:rPr>
        <w:tab/>
      </w:r>
      <w:r w:rsidR="00A10F9F" w:rsidRPr="00630C61">
        <w:rPr>
          <w:rFonts w:eastAsia="Times"/>
          <w:lang w:val="fr-CH"/>
        </w:rPr>
        <w:t xml:space="preserve">à </w:t>
      </w:r>
      <w:r w:rsidR="002D1225" w:rsidRPr="00630C61">
        <w:rPr>
          <w:rFonts w:eastAsia="Times"/>
          <w:lang w:val="fr-CH"/>
        </w:rPr>
        <w:t xml:space="preserve">recenser les éventuelles dispositions transitoires à prévoir pour la mise en </w:t>
      </w:r>
      <w:r w:rsidR="00E10F5F" w:rsidRPr="00630C61">
        <w:rPr>
          <w:rFonts w:eastAsia="Times"/>
          <w:lang w:val="fr-CH"/>
        </w:rPr>
        <w:t>œuvre</w:t>
      </w:r>
      <w:r w:rsidR="002D1225" w:rsidRPr="00630C61">
        <w:rPr>
          <w:rFonts w:eastAsia="Times"/>
          <w:lang w:val="fr-CH"/>
        </w:rPr>
        <w:t xml:space="preserve"> de </w:t>
      </w:r>
      <w:r w:rsidR="00E10F5F" w:rsidRPr="00630C61">
        <w:rPr>
          <w:rFonts w:eastAsia="Times"/>
          <w:lang w:val="fr-CH"/>
        </w:rPr>
        <w:t>nouveaux système</w:t>
      </w:r>
      <w:r w:rsidR="0069230E" w:rsidRPr="00630C61">
        <w:rPr>
          <w:rFonts w:eastAsia="Times"/>
          <w:lang w:val="fr-CH"/>
        </w:rPr>
        <w:t>s</w:t>
      </w:r>
      <w:r w:rsidR="00E10F5F" w:rsidRPr="00630C61">
        <w:rPr>
          <w:rFonts w:eastAsia="Times"/>
          <w:lang w:val="fr-CH"/>
        </w:rPr>
        <w:t xml:space="preserve"> </w:t>
      </w:r>
      <w:r w:rsidR="00835775" w:rsidRPr="00630C61">
        <w:rPr>
          <w:rFonts w:eastAsia="Times"/>
          <w:lang w:val="fr-CH"/>
        </w:rPr>
        <w:t xml:space="preserve">aéronautiques large bande </w:t>
      </w:r>
      <w:r w:rsidR="00E10F5F" w:rsidRPr="00630C61">
        <w:rPr>
          <w:rFonts w:eastAsia="Times"/>
          <w:lang w:val="fr-CH"/>
        </w:rPr>
        <w:t xml:space="preserve">en ondes décamétriques </w:t>
      </w:r>
      <w:r w:rsidR="0096473F" w:rsidRPr="00630C61">
        <w:rPr>
          <w:rFonts w:eastAsia="Times"/>
          <w:lang w:val="fr-CH"/>
        </w:rPr>
        <w:t>ainsi que</w:t>
      </w:r>
      <w:r w:rsidR="002D1225" w:rsidRPr="00630C61">
        <w:rPr>
          <w:rFonts w:eastAsia="Times"/>
          <w:lang w:val="fr-CH"/>
        </w:rPr>
        <w:t xml:space="preserve"> </w:t>
      </w:r>
      <w:r w:rsidR="00E10F5F" w:rsidRPr="00630C61">
        <w:rPr>
          <w:rFonts w:eastAsia="Times"/>
          <w:lang w:val="fr-CH"/>
        </w:rPr>
        <w:t>le</w:t>
      </w:r>
      <w:r w:rsidR="002D1225" w:rsidRPr="00630C61">
        <w:rPr>
          <w:rFonts w:eastAsia="Times"/>
          <w:lang w:val="fr-CH"/>
        </w:rPr>
        <w:t>s modifications qu'il pourrait être nécessaire d'apporter en conséquence à l'Appendice</w:t>
      </w:r>
      <w:r w:rsidRPr="00630C61">
        <w:rPr>
          <w:rFonts w:eastAsia="Times"/>
          <w:lang w:val="fr-CH"/>
        </w:rPr>
        <w:t xml:space="preserve"> </w:t>
      </w:r>
      <w:r w:rsidRPr="00630C61">
        <w:rPr>
          <w:rFonts w:eastAsia="Times"/>
          <w:b/>
          <w:bCs/>
          <w:lang w:val="fr-CH"/>
        </w:rPr>
        <w:t>27</w:t>
      </w:r>
      <w:r w:rsidRPr="00630C61">
        <w:rPr>
          <w:rFonts w:eastAsia="Times"/>
          <w:lang w:val="fr-CH"/>
        </w:rPr>
        <w:t>;</w:t>
      </w:r>
    </w:p>
    <w:p w14:paraId="2DB93B30" w14:textId="5F49C582" w:rsidR="00C17DEE" w:rsidRPr="00630C61" w:rsidRDefault="00C17DEE" w:rsidP="009D3D19">
      <w:pPr>
        <w:rPr>
          <w:rFonts w:eastAsia="Times"/>
          <w:lang w:val="fr-CH"/>
        </w:rPr>
      </w:pPr>
      <w:r w:rsidRPr="00630C61">
        <w:rPr>
          <w:rFonts w:eastAsia="Times"/>
          <w:lang w:val="fr-CH"/>
        </w:rPr>
        <w:t>3</w:t>
      </w:r>
      <w:r w:rsidRPr="00630C61">
        <w:rPr>
          <w:rFonts w:eastAsia="Times"/>
          <w:lang w:val="fr-CH"/>
        </w:rPr>
        <w:tab/>
      </w:r>
      <w:r w:rsidR="0069230E" w:rsidRPr="00630C61">
        <w:rPr>
          <w:rFonts w:eastAsia="Times"/>
          <w:lang w:val="fr-CH"/>
        </w:rPr>
        <w:t xml:space="preserve">à formuler des recommandations sur les modalités de mise en œuvre des </w:t>
      </w:r>
      <w:r w:rsidR="008C4221" w:rsidRPr="00630C61">
        <w:rPr>
          <w:rFonts w:eastAsia="Times"/>
          <w:lang w:val="fr-CH"/>
        </w:rPr>
        <w:t xml:space="preserve">nouveaux </w:t>
      </w:r>
      <w:r w:rsidR="0069230E" w:rsidRPr="00630C61">
        <w:rPr>
          <w:rFonts w:eastAsia="Times"/>
          <w:lang w:val="fr-CH"/>
        </w:rPr>
        <w:t>systèmes</w:t>
      </w:r>
      <w:r w:rsidR="00015B7C" w:rsidRPr="00630C61">
        <w:rPr>
          <w:rFonts w:eastAsia="Times"/>
          <w:lang w:val="fr-CH"/>
        </w:rPr>
        <w:t xml:space="preserve"> aéronautiques </w:t>
      </w:r>
      <w:r w:rsidR="0069230E" w:rsidRPr="00630C61">
        <w:rPr>
          <w:rFonts w:eastAsia="Times"/>
          <w:lang w:val="fr-CH"/>
        </w:rPr>
        <w:t xml:space="preserve">large bande en ondes décamétriques, tout en </w:t>
      </w:r>
      <w:r w:rsidR="008A2B84" w:rsidRPr="00630C61">
        <w:rPr>
          <w:rFonts w:eastAsia="Times"/>
          <w:lang w:val="fr-CH"/>
        </w:rPr>
        <w:t>veillant au</w:t>
      </w:r>
      <w:r w:rsidR="0069230E" w:rsidRPr="00630C61">
        <w:rPr>
          <w:rFonts w:eastAsia="Times"/>
          <w:lang w:val="fr-CH"/>
        </w:rPr>
        <w:t xml:space="preserve"> respect des </w:t>
      </w:r>
      <w:r w:rsidR="00CF64C3" w:rsidRPr="00630C61">
        <w:rPr>
          <w:rFonts w:eastAsia="Times"/>
          <w:lang w:val="fr-CH"/>
        </w:rPr>
        <w:t>exigences</w:t>
      </w:r>
      <w:r w:rsidR="0069230E" w:rsidRPr="00630C61">
        <w:rPr>
          <w:rFonts w:eastAsia="Times"/>
          <w:lang w:val="fr-CH"/>
        </w:rPr>
        <w:t xml:space="preserve"> de sécurité</w:t>
      </w:r>
      <w:r w:rsidR="00355D36" w:rsidRPr="00630C61">
        <w:rPr>
          <w:rFonts w:eastAsia="Times"/>
          <w:lang w:val="fr-CH"/>
        </w:rPr>
        <w:t>;</w:t>
      </w:r>
    </w:p>
    <w:p w14:paraId="36207C9A" w14:textId="69A4DCAD" w:rsidR="00C17DEE" w:rsidRPr="00630C61" w:rsidRDefault="00C17DEE" w:rsidP="009D3D19">
      <w:pPr>
        <w:rPr>
          <w:lang w:val="fr-CH"/>
        </w:rPr>
      </w:pPr>
      <w:r w:rsidRPr="00630C61">
        <w:rPr>
          <w:lang w:val="fr-CH"/>
        </w:rPr>
        <w:lastRenderedPageBreak/>
        <w:t>4</w:t>
      </w:r>
      <w:r w:rsidRPr="00630C61">
        <w:rPr>
          <w:lang w:val="fr-CH"/>
        </w:rPr>
        <w:tab/>
      </w:r>
      <w:r w:rsidR="008813D7" w:rsidRPr="00630C61">
        <w:rPr>
          <w:lang w:val="fr-CH"/>
        </w:rPr>
        <w:t xml:space="preserve">à achever </w:t>
      </w:r>
      <w:r w:rsidR="000275AB" w:rsidRPr="00630C61">
        <w:rPr>
          <w:lang w:val="fr-CH"/>
        </w:rPr>
        <w:t>l</w:t>
      </w:r>
      <w:r w:rsidR="008813D7" w:rsidRPr="00630C61">
        <w:rPr>
          <w:lang w:val="fr-CH"/>
        </w:rPr>
        <w:t>es études à temps pour la</w:t>
      </w:r>
      <w:r w:rsidRPr="00630C61">
        <w:rPr>
          <w:lang w:val="fr-CH"/>
        </w:rPr>
        <w:t xml:space="preserve"> </w:t>
      </w:r>
      <w:r w:rsidR="008813D7" w:rsidRPr="00630C61">
        <w:rPr>
          <w:lang w:val="fr-CH"/>
        </w:rPr>
        <w:t>CMR</w:t>
      </w:r>
      <w:r w:rsidRPr="00630C61">
        <w:rPr>
          <w:lang w:val="fr-CH"/>
        </w:rPr>
        <w:t>-23</w:t>
      </w:r>
      <w:r w:rsidR="00355D36" w:rsidRPr="00630C61">
        <w:rPr>
          <w:lang w:val="fr-CH"/>
        </w:rPr>
        <w:t>,</w:t>
      </w:r>
    </w:p>
    <w:p w14:paraId="1758E375" w14:textId="2C2636BC" w:rsidR="00C17DEE" w:rsidRPr="00630C61" w:rsidRDefault="000B0814" w:rsidP="009D3D19">
      <w:pPr>
        <w:pStyle w:val="Call"/>
        <w:rPr>
          <w:lang w:val="fr-CH"/>
        </w:rPr>
      </w:pPr>
      <w:r w:rsidRPr="00630C61">
        <w:rPr>
          <w:rFonts w:eastAsia="Times"/>
          <w:lang w:val="fr-CH"/>
        </w:rPr>
        <w:t>décide en outre d'inviter la CMR-23</w:t>
      </w:r>
      <w:bookmarkStart w:id="6" w:name="_Hlk11749303"/>
    </w:p>
    <w:p w14:paraId="481ACC3B" w14:textId="6C76597E" w:rsidR="00C17DEE" w:rsidRPr="00630C61" w:rsidRDefault="000B0814" w:rsidP="009D3D19">
      <w:pPr>
        <w:rPr>
          <w:lang w:val="fr-CH"/>
        </w:rPr>
      </w:pPr>
      <w:r w:rsidRPr="00630C61">
        <w:rPr>
          <w:lang w:val="fr-CH"/>
        </w:rPr>
        <w:t xml:space="preserve">à envisager d'apporter les modifications nécessaires à l'Appendice </w:t>
      </w:r>
      <w:r w:rsidRPr="00630C61">
        <w:rPr>
          <w:b/>
          <w:bCs/>
          <w:lang w:val="fr-CH"/>
        </w:rPr>
        <w:t>27</w:t>
      </w:r>
      <w:r w:rsidRPr="00630C61">
        <w:rPr>
          <w:lang w:val="fr-CH"/>
        </w:rPr>
        <w:t xml:space="preserve">, compte tenu des études menées au titre du </w:t>
      </w:r>
      <w:r w:rsidRPr="00630C61">
        <w:rPr>
          <w:i/>
          <w:iCs/>
          <w:lang w:val="fr-CH"/>
        </w:rPr>
        <w:t>décide d'inviter l'UIT-R</w:t>
      </w:r>
      <w:r w:rsidRPr="00630C61">
        <w:rPr>
          <w:lang w:val="fr-CH"/>
        </w:rPr>
        <w:t xml:space="preserve"> ci-dessus,</w:t>
      </w:r>
      <w:bookmarkEnd w:id="6"/>
    </w:p>
    <w:p w14:paraId="4719CD46" w14:textId="3BCC9B05" w:rsidR="00C17DEE" w:rsidRPr="00630C61" w:rsidRDefault="00C17DEE" w:rsidP="009D3D19">
      <w:pPr>
        <w:pStyle w:val="Call"/>
        <w:rPr>
          <w:rFonts w:eastAsia="Times"/>
          <w:lang w:val="fr-CH"/>
        </w:rPr>
      </w:pPr>
      <w:r w:rsidRPr="00630C61">
        <w:rPr>
          <w:rFonts w:eastAsia="Times"/>
          <w:lang w:val="fr-CH"/>
        </w:rPr>
        <w:t>invite</w:t>
      </w:r>
    </w:p>
    <w:p w14:paraId="7EB7EB3A" w14:textId="58C1692D" w:rsidR="00C17DEE" w:rsidRPr="00630C61" w:rsidRDefault="000D3D68" w:rsidP="009D3D19">
      <w:pPr>
        <w:rPr>
          <w:szCs w:val="24"/>
          <w:lang w:val="fr-CH"/>
        </w:rPr>
      </w:pPr>
      <w:r w:rsidRPr="00630C61">
        <w:rPr>
          <w:szCs w:val="24"/>
          <w:lang w:val="fr-CH"/>
        </w:rPr>
        <w:t xml:space="preserve">l'Organisation de l'aviation civile internationale à participer activement à ces travaux en communiquant </w:t>
      </w:r>
      <w:r w:rsidR="000275AB" w:rsidRPr="00630C61">
        <w:rPr>
          <w:szCs w:val="24"/>
          <w:lang w:val="fr-CH"/>
        </w:rPr>
        <w:t>l</w:t>
      </w:r>
      <w:r w:rsidRPr="00630C61">
        <w:rPr>
          <w:szCs w:val="24"/>
          <w:lang w:val="fr-CH"/>
        </w:rPr>
        <w:t xml:space="preserve">es </w:t>
      </w:r>
      <w:r w:rsidR="003F40C2" w:rsidRPr="00630C61">
        <w:rPr>
          <w:szCs w:val="24"/>
          <w:lang w:val="fr-CH"/>
        </w:rPr>
        <w:t xml:space="preserve">exigences </w:t>
      </w:r>
      <w:r w:rsidRPr="00630C61">
        <w:rPr>
          <w:szCs w:val="24"/>
          <w:lang w:val="fr-CH"/>
        </w:rPr>
        <w:t xml:space="preserve">et </w:t>
      </w:r>
      <w:r w:rsidR="000275AB" w:rsidRPr="00630C61">
        <w:rPr>
          <w:szCs w:val="24"/>
          <w:lang w:val="fr-CH"/>
        </w:rPr>
        <w:t>l</w:t>
      </w:r>
      <w:r w:rsidRPr="00630C61">
        <w:rPr>
          <w:szCs w:val="24"/>
          <w:lang w:val="fr-CH"/>
        </w:rPr>
        <w:t>es informations à prendre en compte dans les études de l'UIT-R</w:t>
      </w:r>
      <w:r w:rsidR="00C20DA7" w:rsidRPr="00630C61">
        <w:rPr>
          <w:szCs w:val="24"/>
          <w:lang w:val="fr-CH"/>
        </w:rPr>
        <w:t>,</w:t>
      </w:r>
    </w:p>
    <w:p w14:paraId="5D5E2E97" w14:textId="510E99DF" w:rsidR="00332D2B" w:rsidRPr="00630C61" w:rsidRDefault="00B97EF9" w:rsidP="009D3D19">
      <w:pPr>
        <w:pStyle w:val="Call"/>
        <w:rPr>
          <w:rFonts w:eastAsia="Times"/>
          <w:lang w:val="fr-CH"/>
        </w:rPr>
      </w:pPr>
      <w:r w:rsidRPr="00630C61">
        <w:rPr>
          <w:rFonts w:eastAsia="Times"/>
          <w:lang w:val="fr-CH"/>
        </w:rPr>
        <w:t>charge le Secrétaire général</w:t>
      </w:r>
    </w:p>
    <w:p w14:paraId="012E4381" w14:textId="7524005C" w:rsidR="00332D2B" w:rsidRPr="00630C61" w:rsidRDefault="00262643" w:rsidP="009D3D19">
      <w:pPr>
        <w:rPr>
          <w:lang w:val="fr-CH"/>
        </w:rPr>
      </w:pPr>
      <w:r w:rsidRPr="00630C61">
        <w:rPr>
          <w:lang w:val="fr-CH"/>
        </w:rPr>
        <w:t xml:space="preserve">de porter la présente Résolution à l'attention de </w:t>
      </w:r>
      <w:r w:rsidRPr="00630C61">
        <w:rPr>
          <w:szCs w:val="24"/>
          <w:lang w:val="fr-CH"/>
        </w:rPr>
        <w:t>l'Organisation de l'aviation civile internationale.</w:t>
      </w:r>
    </w:p>
    <w:p w14:paraId="6E9266CF" w14:textId="77777777" w:rsidR="00C17DEE" w:rsidRPr="00630C61" w:rsidRDefault="00C17DEE" w:rsidP="009D3D19">
      <w:pPr>
        <w:pStyle w:val="Reasons"/>
        <w:rPr>
          <w:lang w:val="fr-CH"/>
        </w:rPr>
      </w:pPr>
    </w:p>
    <w:p w14:paraId="0FDB2047" w14:textId="51C56E03" w:rsidR="0073785C" w:rsidRPr="00630C61" w:rsidRDefault="00BB4D3E" w:rsidP="009D3D19">
      <w:pPr>
        <w:pStyle w:val="Proposal"/>
        <w:rPr>
          <w:lang w:val="fr-CH"/>
        </w:rPr>
      </w:pPr>
      <w:r w:rsidRPr="00630C61">
        <w:rPr>
          <w:lang w:val="fr-CH"/>
        </w:rPr>
        <w:t>SUP</w:t>
      </w:r>
      <w:r w:rsidRPr="00630C61">
        <w:rPr>
          <w:lang w:val="fr-CH"/>
        </w:rPr>
        <w:tab/>
        <w:t>IAP/11A24A1/3</w:t>
      </w:r>
    </w:p>
    <w:p w14:paraId="647208A6" w14:textId="77777777" w:rsidR="004A4B52" w:rsidRPr="00630C61" w:rsidRDefault="00BB4D3E" w:rsidP="009D3D19">
      <w:pPr>
        <w:pStyle w:val="ResNo"/>
        <w:rPr>
          <w:lang w:val="fr-CH"/>
        </w:rPr>
      </w:pPr>
      <w:r w:rsidRPr="00630C61">
        <w:rPr>
          <w:lang w:val="fr-CH"/>
        </w:rPr>
        <w:t xml:space="preserve">RÉSOLUTION </w:t>
      </w:r>
      <w:r w:rsidRPr="00630C61">
        <w:rPr>
          <w:rStyle w:val="href"/>
          <w:lang w:val="fr-CH"/>
        </w:rPr>
        <w:t xml:space="preserve">810 </w:t>
      </w:r>
      <w:r w:rsidRPr="00630C61">
        <w:rPr>
          <w:lang w:val="fr-CH"/>
        </w:rPr>
        <w:t>(CMR-15)</w:t>
      </w:r>
    </w:p>
    <w:p w14:paraId="1C2899B0" w14:textId="3B3CBFF3" w:rsidR="004A4B52" w:rsidRPr="00630C61" w:rsidRDefault="00BB4D3E" w:rsidP="009D3D19">
      <w:pPr>
        <w:pStyle w:val="Restitle"/>
        <w:rPr>
          <w:lang w:val="fr-CH"/>
        </w:rPr>
      </w:pPr>
      <w:bookmarkStart w:id="7" w:name="_Toc450208829"/>
      <w:r w:rsidRPr="00630C61">
        <w:rPr>
          <w:lang w:val="fr-CH"/>
        </w:rPr>
        <w:t>Ordre du jour préliminaire de la Conférence mondiale</w:t>
      </w:r>
      <w:r w:rsidRPr="00630C61">
        <w:rPr>
          <w:lang w:val="fr-CH"/>
        </w:rPr>
        <w:br/>
        <w:t>des radiocommunications de 2023</w:t>
      </w:r>
      <w:bookmarkEnd w:id="7"/>
    </w:p>
    <w:p w14:paraId="5C9CA6FD" w14:textId="2E7C2D3A" w:rsidR="0073785C" w:rsidRPr="00630C61" w:rsidRDefault="00BB4D3E" w:rsidP="009D3D19">
      <w:pPr>
        <w:pStyle w:val="Reasons"/>
        <w:rPr>
          <w:lang w:val="fr-CH"/>
        </w:rPr>
      </w:pPr>
      <w:r w:rsidRPr="00630C61">
        <w:rPr>
          <w:b/>
          <w:bCs/>
          <w:lang w:val="fr-CH"/>
        </w:rPr>
        <w:t>Motifs:</w:t>
      </w:r>
      <w:r w:rsidR="008B0EB0" w:rsidRPr="00630C61">
        <w:rPr>
          <w:lang w:val="fr-CH"/>
        </w:rPr>
        <w:tab/>
        <w:t>Cette Résolution doit être supprimée étant donné que la CMR-19 élaborera une nouvelle Résolution dans laquelle figurera l'ordre du jour de la CMR-23.</w:t>
      </w:r>
    </w:p>
    <w:p w14:paraId="411AD134" w14:textId="34E4032C" w:rsidR="006100E6" w:rsidRPr="00630C61" w:rsidRDefault="006100E6" w:rsidP="009D3D19">
      <w:pPr>
        <w:rPr>
          <w:lang w:val="fr-CH"/>
        </w:rPr>
      </w:pPr>
      <w:r w:rsidRPr="00630C61">
        <w:rPr>
          <w:lang w:val="fr-CH"/>
        </w:rPr>
        <w:br w:type="page"/>
      </w:r>
    </w:p>
    <w:p w14:paraId="5A5DBF1A" w14:textId="77777777" w:rsidR="00CD7870" w:rsidRPr="00630C61" w:rsidRDefault="00CD7870" w:rsidP="00A15464">
      <w:pPr>
        <w:pStyle w:val="AnnexNo"/>
        <w:spacing w:before="240"/>
        <w:rPr>
          <w:lang w:val="fr-CH"/>
        </w:rPr>
      </w:pPr>
      <w:r w:rsidRPr="00630C61">
        <w:rPr>
          <w:lang w:val="fr-CH"/>
        </w:rPr>
        <w:lastRenderedPageBreak/>
        <w:t>PIÈCE JOINTE</w:t>
      </w:r>
    </w:p>
    <w:p w14:paraId="59793F5B" w14:textId="6C9884E9" w:rsidR="00CD7870" w:rsidRPr="00630C61" w:rsidRDefault="000275AB" w:rsidP="007D0C74">
      <w:pPr>
        <w:pStyle w:val="Annexetitle"/>
        <w:spacing w:before="240" w:after="240"/>
      </w:pPr>
      <w:r w:rsidRPr="00630C61">
        <w:t xml:space="preserve">Proposition de futur point de l'ordre du jour concernant la mise à jour </w:t>
      </w:r>
      <w:r w:rsidR="00453C7B">
        <w:br/>
      </w:r>
      <w:r w:rsidRPr="00630C61">
        <w:t xml:space="preserve">de l'Appendice 27 du Règlement des radiocommunications de l'UIT </w:t>
      </w:r>
      <w:r w:rsidRPr="00630C61">
        <w:br/>
        <w:t>à l'appui des systèmes large bande en ondes décamétriques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D0C74" w:rsidRPr="007D0C74" w14:paraId="55BC1BBC" w14:textId="77777777" w:rsidTr="0037524F">
        <w:tc>
          <w:tcPr>
            <w:tcW w:w="9639" w:type="dxa"/>
            <w:gridSpan w:val="2"/>
          </w:tcPr>
          <w:p w14:paraId="63949244" w14:textId="77777777" w:rsidR="007D0C74" w:rsidRPr="007D0C74" w:rsidRDefault="007D0C74" w:rsidP="0070367E">
            <w:pPr>
              <w:rPr>
                <w:lang w:val="fr-CH"/>
              </w:rPr>
            </w:pPr>
            <w:r w:rsidRPr="007D0C74">
              <w:rPr>
                <w:b/>
                <w:bCs/>
                <w:i/>
                <w:iCs/>
                <w:lang w:val="fr-CH"/>
              </w:rPr>
              <w:t>Objet:</w:t>
            </w:r>
            <w:r w:rsidRPr="007D0C74">
              <w:rPr>
                <w:lang w:val="fr-CH"/>
              </w:rPr>
              <w:t xml:space="preserve"> </w:t>
            </w:r>
          </w:p>
        </w:tc>
      </w:tr>
      <w:tr w:rsidR="007D0C74" w:rsidRPr="007D0C74" w14:paraId="66C80283" w14:textId="77777777" w:rsidTr="0037524F">
        <w:tc>
          <w:tcPr>
            <w:tcW w:w="9639" w:type="dxa"/>
            <w:gridSpan w:val="2"/>
          </w:tcPr>
          <w:p w14:paraId="2C80DDC1" w14:textId="77777777" w:rsidR="007D0C74" w:rsidRPr="007D0C74" w:rsidRDefault="007D0C74" w:rsidP="0070367E">
            <w:pPr>
              <w:rPr>
                <w:lang w:val="fr-CH"/>
              </w:rPr>
            </w:pPr>
            <w:r w:rsidRPr="007D0C74">
              <w:rPr>
                <w:lang w:val="fr-CH"/>
              </w:rPr>
              <w:t>Il est proposé d'inscrire à l'ordre du jour de la CMR-23 un point concernant la mise à jour du Règlement des radiocommunications de l'UIT à l'appui des systèmes large bande en ondes décamétriques.</w:t>
            </w:r>
          </w:p>
        </w:tc>
      </w:tr>
      <w:tr w:rsidR="007D0C74" w:rsidRPr="007D0C74" w14:paraId="2655C49B" w14:textId="77777777" w:rsidTr="0037524F">
        <w:trPr>
          <w:trHeight w:val="1032"/>
        </w:trPr>
        <w:tc>
          <w:tcPr>
            <w:tcW w:w="9639" w:type="dxa"/>
            <w:gridSpan w:val="2"/>
            <w:tcBorders>
              <w:bottom w:val="single" w:sz="12" w:space="0" w:color="auto"/>
            </w:tcBorders>
          </w:tcPr>
          <w:p w14:paraId="1C562B45" w14:textId="77777777" w:rsidR="007D0C74" w:rsidRPr="007D0C74" w:rsidRDefault="007D0C74" w:rsidP="0070367E">
            <w:pPr>
              <w:spacing w:after="120"/>
              <w:rPr>
                <w:lang w:val="fr-CH"/>
              </w:rPr>
            </w:pPr>
            <w:r w:rsidRPr="007D0C74">
              <w:rPr>
                <w:b/>
                <w:bCs/>
                <w:i/>
                <w:iCs/>
                <w:lang w:val="fr-CH"/>
              </w:rPr>
              <w:t>Origine:</w:t>
            </w:r>
            <w:r w:rsidRPr="007D0C74">
              <w:rPr>
                <w:lang w:val="fr-CH"/>
              </w:rPr>
              <w:t xml:space="preserve"> </w:t>
            </w:r>
          </w:p>
          <w:p w14:paraId="22154DC8" w14:textId="30C6C1B5" w:rsidR="007D0C74" w:rsidRPr="007D0C74" w:rsidRDefault="007D0C74" w:rsidP="0070367E">
            <w:pPr>
              <w:spacing w:after="120"/>
              <w:rPr>
                <w:lang w:val="fr-CH"/>
              </w:rPr>
            </w:pPr>
            <w:r w:rsidRPr="007D0C74">
              <w:rPr>
                <w:b/>
                <w:bCs/>
                <w:lang w:val="fr-CH"/>
              </w:rPr>
              <w:t>États Membres de la Commission interaméricaine des télécommunications (CITEL)</w:t>
            </w:r>
          </w:p>
        </w:tc>
      </w:tr>
      <w:tr w:rsidR="007D0C74" w:rsidRPr="007D0C74" w14:paraId="26D22470" w14:textId="77777777" w:rsidTr="0037524F">
        <w:tc>
          <w:tcPr>
            <w:tcW w:w="0" w:type="auto"/>
            <w:gridSpan w:val="2"/>
            <w:tcBorders>
              <w:top w:val="single" w:sz="12" w:space="0" w:color="auto"/>
              <w:bottom w:val="single" w:sz="12" w:space="0" w:color="auto"/>
            </w:tcBorders>
            <w:vAlign w:val="center"/>
          </w:tcPr>
          <w:p w14:paraId="1416C0FD" w14:textId="77777777" w:rsidR="007D0C74" w:rsidRPr="007D0C74" w:rsidRDefault="007D0C74" w:rsidP="007D0C74">
            <w:pPr>
              <w:spacing w:after="120"/>
              <w:rPr>
                <w:rFonts w:eastAsia="Times"/>
                <w:b/>
                <w:bCs/>
                <w:i/>
                <w:lang w:val="fr-CH"/>
              </w:rPr>
            </w:pPr>
            <w:r w:rsidRPr="007D0C74">
              <w:rPr>
                <w:rFonts w:eastAsia="Times"/>
                <w:b/>
                <w:bCs/>
                <w:i/>
                <w:lang w:val="fr-CH"/>
              </w:rPr>
              <w:t>Proposition:</w:t>
            </w:r>
          </w:p>
          <w:p w14:paraId="1B159A6E" w14:textId="47F65ECF" w:rsidR="007D0C74" w:rsidRPr="007D0C74" w:rsidRDefault="007D0C74" w:rsidP="0037524F">
            <w:pPr>
              <w:spacing w:before="0" w:after="120"/>
              <w:rPr>
                <w:rFonts w:eastAsia="Times"/>
                <w:b/>
                <w:bCs/>
                <w:i/>
                <w:lang w:val="fr-CH"/>
              </w:rPr>
            </w:pPr>
            <w:r w:rsidRPr="007D0C74">
              <w:rPr>
                <w:rFonts w:eastAsia="Times"/>
                <w:iCs/>
                <w:lang w:val="fr-CH"/>
              </w:rPr>
              <w:t xml:space="preserve">Examiner et mettre à jour les parties pertinentes de l'Appendice 27 du </w:t>
            </w:r>
            <w:r w:rsidRPr="007D0C74">
              <w:rPr>
                <w:lang w:val="fr-CH"/>
              </w:rPr>
              <w:t>Règlement des radiocommunications</w:t>
            </w:r>
            <w:r w:rsidRPr="007D0C74">
              <w:rPr>
                <w:rFonts w:eastAsia="Times"/>
                <w:iCs/>
                <w:lang w:val="fr-CH"/>
              </w:rPr>
              <w:t xml:space="preserve"> de l'UIT à </w:t>
            </w:r>
            <w:r w:rsidRPr="007D0C74">
              <w:rPr>
                <w:lang w:val="fr-CH"/>
              </w:rPr>
              <w:t>l'appui des systèmes large bande en ondes décamétriques pour l'aviation, tout en veillant à assurer la compatibilité avec les autres utilisations habituelles des ondes décamétriques.</w:t>
            </w:r>
          </w:p>
        </w:tc>
      </w:tr>
      <w:tr w:rsidR="007D0C74" w:rsidRPr="007D0C74" w14:paraId="4C7751E5" w14:textId="77777777" w:rsidTr="0037524F">
        <w:tc>
          <w:tcPr>
            <w:tcW w:w="9639" w:type="dxa"/>
            <w:gridSpan w:val="2"/>
            <w:tcBorders>
              <w:top w:val="single" w:sz="12" w:space="0" w:color="auto"/>
              <w:bottom w:val="single" w:sz="12" w:space="0" w:color="auto"/>
            </w:tcBorders>
          </w:tcPr>
          <w:p w14:paraId="7C80AFC4" w14:textId="77777777" w:rsidR="007D0C74" w:rsidRPr="007D0C74" w:rsidRDefault="007D0C74" w:rsidP="007D0C74">
            <w:pPr>
              <w:pStyle w:val="Headingb"/>
              <w:keepNext w:val="0"/>
              <w:spacing w:before="120"/>
              <w:rPr>
                <w:i/>
                <w:iCs/>
                <w:lang w:val="fr-CH"/>
              </w:rPr>
            </w:pPr>
            <w:r w:rsidRPr="007D0C74">
              <w:rPr>
                <w:i/>
                <w:iCs/>
                <w:lang w:val="fr-CH"/>
              </w:rPr>
              <w:t>Contexte/motif:</w:t>
            </w:r>
          </w:p>
          <w:p w14:paraId="15A3EAE7" w14:textId="6FE3FAA5" w:rsidR="007D0C74" w:rsidRPr="007D0C74" w:rsidRDefault="007D0C74" w:rsidP="0037524F">
            <w:pPr>
              <w:tabs>
                <w:tab w:val="left" w:pos="794"/>
                <w:tab w:val="left" w:pos="1191"/>
                <w:tab w:val="left" w:pos="1588"/>
                <w:tab w:val="left" w:pos="1985"/>
              </w:tabs>
              <w:spacing w:after="120"/>
              <w:rPr>
                <w:i/>
                <w:iCs/>
                <w:lang w:val="fr-CH"/>
              </w:rPr>
            </w:pPr>
            <w:r w:rsidRPr="007D0C74">
              <w:rPr>
                <w:lang w:val="fr-CH"/>
              </w:rPr>
              <w:t>L'utilisation par l'aviation des différentes bandes de fréquences en ondes décamétriques dans la gamme 2 850-22 000 kHz est essentielle pour les communications aéronautiques à longue distance dans les zones isolées ou océaniques. Depuis le dernier examen de fond de l'Appendice 27 du Règlement des radiocommunications de l'UIT, l'utilisation des ondes décamétriques par l'aviation n'a cessé d'évoluer et de croître, en particulier pour les liaisons de données en ondes décamétriques (HFDL) utilisées par un grand nombre d'aéronefs. L'aviation envisage d'autres changements dans cette bande de fréquences grâce à de nouvelles technologies qui permettront d'améliorer considérablement la capacité, la connectivité et la qualité de service pour les communications de données et les communications vocales aéronautiques. Elle prévoit notamment d'accroître la largeur de bande des canaux pour améliorer le débit des données. Une telle évolution dans le cadre des attributions existantes en ondes décamétriques pour l'aviation offrirait à celle-ci des moyens supplémentaires d'améliorer la sécurité, la couverture mondiale et la diversité des liaisons vers les systèmes de communication par satellite fonctionnant dans la bande L. Les systèmes en ondes décamétriques ainsi modernisés fonctionneraient mieux avec les systèmes de communication par satellite; ils offriraient des complémentarités et des synergies et permettraient de mieux maintenir les communications en tout temps. Compte tenu de l'évolution des technologies en ondes décamétriques, l'Appendice 27 du RR doit être examiné pour s'assurer qu'il répond aux besoins aéronautiques actuels et futurs en permettant de regrouper des canaux consécutifs en ondes décamétriques et d'assurer des modulations numériques qui prennent en charge des débits de données plus élevés, tout en garantissant que les brouillages en-dehors des bandes multicanal assignées ne soient pas supérieurs aux brouillages présents dans chaque canal observé isolément.</w:t>
            </w:r>
          </w:p>
        </w:tc>
      </w:tr>
      <w:tr w:rsidR="0037524F" w:rsidRPr="007D0C74" w14:paraId="22DC33C7" w14:textId="77777777" w:rsidTr="0037524F">
        <w:tc>
          <w:tcPr>
            <w:tcW w:w="9639" w:type="dxa"/>
            <w:gridSpan w:val="2"/>
            <w:tcBorders>
              <w:top w:val="single" w:sz="12" w:space="0" w:color="auto"/>
              <w:bottom w:val="single" w:sz="12" w:space="0" w:color="auto"/>
            </w:tcBorders>
          </w:tcPr>
          <w:p w14:paraId="183E6C5F" w14:textId="77777777" w:rsidR="0037524F" w:rsidRPr="007D0C74" w:rsidRDefault="0037524F" w:rsidP="0037524F">
            <w:pPr>
              <w:pStyle w:val="Headingb"/>
              <w:keepNext w:val="0"/>
              <w:spacing w:before="120"/>
              <w:rPr>
                <w:i/>
                <w:iCs/>
                <w:lang w:val="fr-CH"/>
              </w:rPr>
            </w:pPr>
            <w:r w:rsidRPr="007D0C74">
              <w:rPr>
                <w:i/>
                <w:iCs/>
                <w:lang w:val="fr-CH"/>
              </w:rPr>
              <w:t>Services de radiocommunication concernés:</w:t>
            </w:r>
          </w:p>
          <w:p w14:paraId="43F18084" w14:textId="2DD034FB" w:rsidR="0037524F" w:rsidRPr="007D0C74" w:rsidRDefault="0037524F" w:rsidP="0037524F">
            <w:pPr>
              <w:spacing w:after="120"/>
              <w:rPr>
                <w:i/>
                <w:iCs/>
                <w:lang w:val="fr-CH"/>
              </w:rPr>
            </w:pPr>
            <w:r w:rsidRPr="007D0C74">
              <w:rPr>
                <w:lang w:val="fr-CH"/>
              </w:rPr>
              <w:t>Radiocommunication de Terre en ondes décamétriques</w:t>
            </w:r>
          </w:p>
        </w:tc>
      </w:tr>
      <w:tr w:rsidR="007D0C74" w:rsidRPr="007D0C74" w14:paraId="05515ADD" w14:textId="77777777" w:rsidTr="0037524F">
        <w:tc>
          <w:tcPr>
            <w:tcW w:w="0" w:type="auto"/>
            <w:gridSpan w:val="2"/>
            <w:tcBorders>
              <w:top w:val="single" w:sz="12" w:space="0" w:color="auto"/>
              <w:bottom w:val="single" w:sz="12" w:space="0" w:color="auto"/>
            </w:tcBorders>
          </w:tcPr>
          <w:p w14:paraId="1A7FF788" w14:textId="77777777" w:rsidR="0037524F" w:rsidRDefault="007D0C74" w:rsidP="0037524F">
            <w:pPr>
              <w:pStyle w:val="Headingb"/>
              <w:keepNext w:val="0"/>
              <w:spacing w:before="120" w:after="120"/>
              <w:rPr>
                <w:b w:val="0"/>
                <w:bCs/>
                <w:i/>
                <w:iCs/>
                <w:lang w:val="fr-CH"/>
              </w:rPr>
            </w:pPr>
            <w:r w:rsidRPr="0037524F">
              <w:rPr>
                <w:i/>
                <w:iCs/>
                <w:lang w:val="fr-CH"/>
              </w:rPr>
              <w:lastRenderedPageBreak/>
              <w:t>Indication</w:t>
            </w:r>
            <w:r w:rsidRPr="007D0C74">
              <w:rPr>
                <w:bCs/>
                <w:i/>
                <w:iCs/>
                <w:lang w:val="fr-CH"/>
              </w:rPr>
              <w:t xml:space="preserve"> des difficultés éventuelles:</w:t>
            </w:r>
          </w:p>
          <w:p w14:paraId="74BCAD4D" w14:textId="06E857E1" w:rsidR="007D0C74" w:rsidRPr="007D0C74" w:rsidRDefault="007D0C74" w:rsidP="0037524F">
            <w:pPr>
              <w:spacing w:after="120"/>
              <w:rPr>
                <w:lang w:val="fr-CH"/>
              </w:rPr>
            </w:pPr>
            <w:r w:rsidRPr="007D0C74">
              <w:rPr>
                <w:rFonts w:ascii="TimesNewRomanPSMT" w:hAnsi="TimesNewRomanPSMT" w:cs="TimesNewRomanPSMT"/>
                <w:szCs w:val="24"/>
                <w:lang w:val="fr-CH"/>
              </w:rPr>
              <w:t>Aucune difficulté n'est prévue</w:t>
            </w:r>
          </w:p>
        </w:tc>
      </w:tr>
      <w:tr w:rsidR="007D0C74" w:rsidRPr="007D0C74" w14:paraId="27FEBA58" w14:textId="77777777" w:rsidTr="0037524F">
        <w:tc>
          <w:tcPr>
            <w:tcW w:w="9639" w:type="dxa"/>
            <w:gridSpan w:val="2"/>
            <w:tcBorders>
              <w:top w:val="single" w:sz="12" w:space="0" w:color="auto"/>
              <w:bottom w:val="single" w:sz="12" w:space="0" w:color="auto"/>
            </w:tcBorders>
          </w:tcPr>
          <w:p w14:paraId="20E26B03" w14:textId="77777777" w:rsidR="0037524F" w:rsidRDefault="007D0C74" w:rsidP="0037524F">
            <w:pPr>
              <w:pStyle w:val="Headingb"/>
              <w:keepNext w:val="0"/>
              <w:spacing w:before="120" w:after="120"/>
              <w:rPr>
                <w:i/>
                <w:iCs/>
                <w:lang w:val="fr-CH"/>
              </w:rPr>
            </w:pPr>
            <w:r w:rsidRPr="007D0C74">
              <w:rPr>
                <w:i/>
                <w:iCs/>
                <w:lang w:val="fr-CH"/>
              </w:rPr>
              <w:t>Études précédentes ou en cours sur la question:</w:t>
            </w:r>
          </w:p>
          <w:p w14:paraId="1D177561" w14:textId="5D94648D" w:rsidR="007D0C74" w:rsidRPr="007D0C74" w:rsidRDefault="007D0C74" w:rsidP="0037524F">
            <w:pPr>
              <w:pStyle w:val="Headingb"/>
              <w:keepNext w:val="0"/>
              <w:spacing w:before="120" w:after="120"/>
              <w:rPr>
                <w:i/>
                <w:iCs/>
                <w:lang w:val="fr-CH"/>
              </w:rPr>
            </w:pPr>
            <w:r w:rsidRPr="007D0C74">
              <w:rPr>
                <w:b w:val="0"/>
                <w:bCs/>
                <w:lang w:val="fr-CH"/>
              </w:rPr>
              <w:t>Sans objet</w:t>
            </w:r>
          </w:p>
        </w:tc>
      </w:tr>
      <w:tr w:rsidR="007D0C74" w:rsidRPr="007D0C74" w14:paraId="0B0FFF7B" w14:textId="77777777" w:rsidTr="0037524F">
        <w:tc>
          <w:tcPr>
            <w:tcW w:w="9639" w:type="dxa"/>
            <w:gridSpan w:val="2"/>
            <w:tcBorders>
              <w:top w:val="single" w:sz="12" w:space="0" w:color="auto"/>
            </w:tcBorders>
          </w:tcPr>
          <w:p w14:paraId="6AB5C5EB" w14:textId="77777777" w:rsidR="0037524F" w:rsidRDefault="007D0C74" w:rsidP="0037524F">
            <w:pPr>
              <w:pStyle w:val="Headingb"/>
              <w:keepNext w:val="0"/>
              <w:spacing w:before="120" w:after="120"/>
              <w:rPr>
                <w:b w:val="0"/>
                <w:bCs/>
                <w:szCs w:val="24"/>
                <w:lang w:val="fr-CH"/>
              </w:rPr>
            </w:pPr>
            <w:r w:rsidRPr="0037524F">
              <w:rPr>
                <w:i/>
                <w:iCs/>
                <w:lang w:val="fr-CH"/>
              </w:rPr>
              <w:t>Commissions</w:t>
            </w:r>
            <w:r w:rsidRPr="007D0C74">
              <w:rPr>
                <w:bCs/>
                <w:i/>
                <w:iCs/>
                <w:lang w:val="fr-CH"/>
              </w:rPr>
              <w:t xml:space="preserve"> d'études de l'UIT-R concernées</w:t>
            </w:r>
            <w:r w:rsidRPr="007D0C74">
              <w:rPr>
                <w:bCs/>
                <w:i/>
                <w:iCs/>
                <w:color w:val="000000"/>
                <w:lang w:val="fr-CH"/>
              </w:rPr>
              <w:t>:</w:t>
            </w:r>
            <w:r w:rsidRPr="0037524F">
              <w:rPr>
                <w:b w:val="0"/>
                <w:bCs/>
                <w:szCs w:val="24"/>
                <w:lang w:val="fr-CH"/>
              </w:rPr>
              <w:t xml:space="preserve"> </w:t>
            </w:r>
          </w:p>
          <w:p w14:paraId="723F8CF8" w14:textId="4ACE62EC" w:rsidR="007D0C74" w:rsidRPr="007D0C74" w:rsidRDefault="007D0C74" w:rsidP="0037524F">
            <w:pPr>
              <w:pStyle w:val="Headingb"/>
              <w:keepNext w:val="0"/>
              <w:spacing w:before="120" w:after="120"/>
              <w:rPr>
                <w:lang w:val="fr-CH"/>
              </w:rPr>
            </w:pPr>
            <w:r w:rsidRPr="0037524F">
              <w:rPr>
                <w:b w:val="0"/>
                <w:bCs/>
                <w:lang w:val="fr-CH"/>
              </w:rPr>
              <w:t>CE 5</w:t>
            </w:r>
          </w:p>
        </w:tc>
      </w:tr>
      <w:tr w:rsidR="007D0C74" w:rsidRPr="007D0C74" w14:paraId="55BBF67F" w14:textId="77777777" w:rsidTr="0037524F">
        <w:tc>
          <w:tcPr>
            <w:tcW w:w="9639" w:type="dxa"/>
            <w:gridSpan w:val="2"/>
          </w:tcPr>
          <w:p w14:paraId="3CD5AC0A" w14:textId="77777777" w:rsidR="0037524F" w:rsidRDefault="007D0C74" w:rsidP="0037524F">
            <w:pPr>
              <w:pStyle w:val="Headingb"/>
              <w:keepNext w:val="0"/>
              <w:spacing w:before="120" w:after="120"/>
              <w:rPr>
                <w:bCs/>
                <w:i/>
                <w:iCs/>
                <w:lang w:val="fr-CH"/>
              </w:rPr>
            </w:pPr>
            <w:r w:rsidRPr="007D0C74">
              <w:rPr>
                <w:bCs/>
                <w:i/>
                <w:iCs/>
                <w:lang w:val="fr-CH"/>
              </w:rPr>
              <w:t>Répercussions au niveau des ressources de l'UIT, y compris incidences financières</w:t>
            </w:r>
            <w:r w:rsidRPr="007D0C74">
              <w:rPr>
                <w:bCs/>
                <w:i/>
                <w:iCs/>
                <w:lang w:val="fr-CH"/>
              </w:rPr>
              <w:br/>
              <w:t>(voir le numéro 126 de la Convention):</w:t>
            </w:r>
          </w:p>
          <w:p w14:paraId="7FC8CF0C" w14:textId="1697138C" w:rsidR="007D0C74" w:rsidRPr="007D0C74" w:rsidRDefault="007D0C74" w:rsidP="0037524F">
            <w:pPr>
              <w:pStyle w:val="Headingb"/>
              <w:keepNext w:val="0"/>
              <w:spacing w:before="120" w:after="120"/>
              <w:rPr>
                <w:b w:val="0"/>
                <w:i/>
                <w:lang w:val="fr-CH"/>
              </w:rPr>
            </w:pPr>
            <w:r w:rsidRPr="0037524F">
              <w:rPr>
                <w:b w:val="0"/>
                <w:bCs/>
                <w:lang w:val="fr-CH"/>
              </w:rPr>
              <w:t>Minimes</w:t>
            </w:r>
          </w:p>
        </w:tc>
      </w:tr>
      <w:tr w:rsidR="0037524F" w:rsidRPr="007D0C74" w14:paraId="4F4B37E8" w14:textId="77777777" w:rsidTr="0037524F">
        <w:trPr>
          <w:trHeight w:val="792"/>
        </w:trPr>
        <w:tc>
          <w:tcPr>
            <w:tcW w:w="4819" w:type="dxa"/>
            <w:tcBorders>
              <w:bottom w:val="single" w:sz="12" w:space="0" w:color="auto"/>
            </w:tcBorders>
          </w:tcPr>
          <w:p w14:paraId="14E641BF" w14:textId="77777777" w:rsidR="0037524F" w:rsidRDefault="0037524F" w:rsidP="0037524F">
            <w:pPr>
              <w:pStyle w:val="Headingb"/>
              <w:keepNext w:val="0"/>
              <w:spacing w:before="120" w:after="120"/>
              <w:rPr>
                <w:bCs/>
                <w:i/>
                <w:iCs/>
                <w:lang w:val="fr-CH"/>
              </w:rPr>
            </w:pPr>
            <w:r w:rsidRPr="0037524F">
              <w:rPr>
                <w:i/>
                <w:iCs/>
                <w:lang w:val="fr-CH"/>
              </w:rPr>
              <w:t>Proposition</w:t>
            </w:r>
            <w:r w:rsidRPr="007D0C74">
              <w:rPr>
                <w:bCs/>
                <w:i/>
                <w:iCs/>
                <w:lang w:val="fr-CH"/>
              </w:rPr>
              <w:t xml:space="preserve"> régionale commune:</w:t>
            </w:r>
          </w:p>
          <w:p w14:paraId="778BF164" w14:textId="40E7096B" w:rsidR="0037524F" w:rsidRPr="0037524F" w:rsidRDefault="0037524F" w:rsidP="0037524F">
            <w:pPr>
              <w:pStyle w:val="Headingb"/>
              <w:keepNext w:val="0"/>
              <w:spacing w:before="120" w:after="120"/>
              <w:rPr>
                <w:b w:val="0"/>
                <w:bCs/>
                <w:iCs/>
                <w:lang w:val="fr-CH"/>
              </w:rPr>
            </w:pPr>
            <w:r w:rsidRPr="0037524F">
              <w:rPr>
                <w:b w:val="0"/>
                <w:bCs/>
                <w:lang w:val="fr-CH"/>
              </w:rPr>
              <w:t>Oui/Non</w:t>
            </w:r>
          </w:p>
        </w:tc>
        <w:tc>
          <w:tcPr>
            <w:tcW w:w="4820" w:type="dxa"/>
            <w:tcBorders>
              <w:bottom w:val="single" w:sz="12" w:space="0" w:color="auto"/>
            </w:tcBorders>
          </w:tcPr>
          <w:p w14:paraId="512C166E" w14:textId="77777777" w:rsidR="0037524F" w:rsidRDefault="0037524F" w:rsidP="0037524F">
            <w:pPr>
              <w:tabs>
                <w:tab w:val="left" w:pos="1560"/>
              </w:tabs>
              <w:spacing w:after="120"/>
              <w:rPr>
                <w:b/>
                <w:bCs/>
                <w:i/>
                <w:iCs/>
                <w:lang w:val="fr-CH"/>
              </w:rPr>
            </w:pPr>
            <w:r w:rsidRPr="007D0C74">
              <w:rPr>
                <w:b/>
                <w:bCs/>
                <w:i/>
                <w:iCs/>
                <w:lang w:val="fr-CH"/>
              </w:rPr>
              <w:t>Proposition soumise par plusieurs pays:</w:t>
            </w:r>
          </w:p>
          <w:p w14:paraId="247FB514" w14:textId="7CE3FB49" w:rsidR="0037524F" w:rsidRDefault="0037524F" w:rsidP="0037524F">
            <w:pPr>
              <w:tabs>
                <w:tab w:val="left" w:pos="1560"/>
              </w:tabs>
              <w:spacing w:after="120"/>
              <w:rPr>
                <w:lang w:val="fr-CH"/>
              </w:rPr>
            </w:pPr>
            <w:r w:rsidRPr="007D0C74">
              <w:rPr>
                <w:lang w:val="fr-CH"/>
              </w:rPr>
              <w:t>Oui/Non</w:t>
            </w:r>
          </w:p>
          <w:p w14:paraId="26EC38C9" w14:textId="52527889" w:rsidR="0037524F" w:rsidRPr="0037524F" w:rsidRDefault="0037524F" w:rsidP="0037524F">
            <w:pPr>
              <w:tabs>
                <w:tab w:val="left" w:pos="1560"/>
              </w:tabs>
              <w:spacing w:after="120"/>
              <w:rPr>
                <w:b/>
                <w:bCs/>
                <w:i/>
                <w:iCs/>
                <w:lang w:val="fr-CH"/>
              </w:rPr>
            </w:pPr>
            <w:r w:rsidRPr="0037524F">
              <w:rPr>
                <w:b/>
                <w:bCs/>
                <w:i/>
                <w:iCs/>
                <w:lang w:val="fr-CH"/>
              </w:rPr>
              <w:t>Nombre de pays:</w:t>
            </w:r>
          </w:p>
        </w:tc>
      </w:tr>
      <w:tr w:rsidR="007D0C74" w:rsidRPr="00630C61" w14:paraId="34A1B06F" w14:textId="77777777" w:rsidTr="0037524F">
        <w:tc>
          <w:tcPr>
            <w:tcW w:w="9639" w:type="dxa"/>
            <w:gridSpan w:val="2"/>
            <w:tcBorders>
              <w:top w:val="single" w:sz="12" w:space="0" w:color="auto"/>
            </w:tcBorders>
          </w:tcPr>
          <w:p w14:paraId="07D0BD64" w14:textId="77777777" w:rsidR="007D0C74" w:rsidRDefault="007D0C74" w:rsidP="0037524F">
            <w:pPr>
              <w:pStyle w:val="Headingb"/>
              <w:spacing w:before="120" w:after="120"/>
              <w:rPr>
                <w:i/>
                <w:iCs/>
                <w:lang w:val="fr-CH"/>
              </w:rPr>
            </w:pPr>
            <w:r w:rsidRPr="007D0C74">
              <w:rPr>
                <w:i/>
                <w:iCs/>
                <w:lang w:val="fr-CH"/>
              </w:rPr>
              <w:t>Observations</w:t>
            </w:r>
          </w:p>
          <w:p w14:paraId="64E15C60" w14:textId="6857B53C" w:rsidR="0037524F" w:rsidRPr="0037524F" w:rsidRDefault="0037524F" w:rsidP="0037524F">
            <w:pPr>
              <w:spacing w:after="120"/>
              <w:rPr>
                <w:lang w:val="fr-CH"/>
              </w:rPr>
            </w:pPr>
          </w:p>
        </w:tc>
      </w:tr>
    </w:tbl>
    <w:p w14:paraId="7169ED6D" w14:textId="0A830AE2" w:rsidR="0045264B" w:rsidRPr="00630C61" w:rsidRDefault="005B6FE5" w:rsidP="009D3D19">
      <w:pPr>
        <w:jc w:val="center"/>
        <w:rPr>
          <w:lang w:val="fr-CH"/>
        </w:rPr>
      </w:pPr>
      <w:bookmarkStart w:id="8" w:name="_GoBack"/>
      <w:bookmarkEnd w:id="8"/>
      <w:r w:rsidRPr="00630C61">
        <w:rPr>
          <w:lang w:val="fr-CH"/>
        </w:rPr>
        <w:t>______________</w:t>
      </w:r>
    </w:p>
    <w:sectPr w:rsidR="0045264B" w:rsidRPr="00630C61">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2DBC" w14:textId="77777777" w:rsidR="00A37587" w:rsidRDefault="00A37587">
      <w:r>
        <w:separator/>
      </w:r>
    </w:p>
  </w:endnote>
  <w:endnote w:type="continuationSeparator" w:id="0">
    <w:p w14:paraId="1022DE2F" w14:textId="77777777" w:rsidR="00A37587" w:rsidRDefault="00A3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6F22" w14:textId="5CDC7839" w:rsidR="00936D25" w:rsidRDefault="00936D25">
    <w:pPr>
      <w:rPr>
        <w:lang w:val="en-US"/>
      </w:rPr>
    </w:pPr>
    <w:r>
      <w:fldChar w:fldCharType="begin"/>
    </w:r>
    <w:r>
      <w:rPr>
        <w:lang w:val="en-US"/>
      </w:rPr>
      <w:instrText xml:space="preserve"> FILENAME \p  \* MERGEFORMAT </w:instrText>
    </w:r>
    <w:r>
      <w:fldChar w:fldCharType="separate"/>
    </w:r>
    <w:r w:rsidR="00685D73">
      <w:rPr>
        <w:noProof/>
        <w:lang w:val="en-US"/>
      </w:rPr>
      <w:t>P:\FRA\ITU-R\CONF-R\CMR19\000\011ADD24ADD01F.docx</w:t>
    </w:r>
    <w:r>
      <w:fldChar w:fldCharType="end"/>
    </w:r>
    <w:r>
      <w:rPr>
        <w:lang w:val="en-US"/>
      </w:rPr>
      <w:tab/>
    </w:r>
    <w:r>
      <w:fldChar w:fldCharType="begin"/>
    </w:r>
    <w:r>
      <w:instrText xml:space="preserve"> SAVEDATE \@ DD.MM.YY </w:instrText>
    </w:r>
    <w:r>
      <w:fldChar w:fldCharType="separate"/>
    </w:r>
    <w:r w:rsidR="007D0C74">
      <w:rPr>
        <w:noProof/>
      </w:rPr>
      <w:t>01.10.19</w:t>
    </w:r>
    <w:r>
      <w:fldChar w:fldCharType="end"/>
    </w:r>
    <w:r>
      <w:rPr>
        <w:lang w:val="en-US"/>
      </w:rPr>
      <w:tab/>
    </w:r>
    <w:r>
      <w:fldChar w:fldCharType="begin"/>
    </w:r>
    <w:r>
      <w:instrText xml:space="preserve"> PRINTDATE \@ DD.MM.YY </w:instrText>
    </w:r>
    <w:r>
      <w:fldChar w:fldCharType="separate"/>
    </w:r>
    <w:r w:rsidR="00685D73">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EED6" w14:textId="382AC41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85D73">
      <w:rPr>
        <w:lang w:val="en-US"/>
      </w:rPr>
      <w:t>P:\FRA\ITU-R\CONF-R\CMR19\000\011ADD24ADD01F.docx</w:t>
    </w:r>
    <w:r>
      <w:fldChar w:fldCharType="end"/>
    </w:r>
    <w:r w:rsidR="005B6FE5" w:rsidRPr="000B2DBC">
      <w:rPr>
        <w:lang w:val="en-GB"/>
      </w:rPr>
      <w:t xml:space="preserve"> (460757)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0FCE" w14:textId="46BD4B3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85D73">
      <w:rPr>
        <w:lang w:val="en-US"/>
      </w:rPr>
      <w:t>P:\FRA\ITU-R\CONF-R\CMR19\000\011ADD24ADD01F.docx</w:t>
    </w:r>
    <w:r>
      <w:fldChar w:fldCharType="end"/>
    </w:r>
    <w:r w:rsidR="005B6FE5" w:rsidRPr="000B2DBC">
      <w:rPr>
        <w:lang w:val="en-GB"/>
      </w:rPr>
      <w:t xml:space="preserve"> (460757)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4697E" w14:textId="77777777" w:rsidR="00A37587" w:rsidRDefault="00A37587">
      <w:r>
        <w:rPr>
          <w:b/>
        </w:rPr>
        <w:t>_______________</w:t>
      </w:r>
    </w:p>
  </w:footnote>
  <w:footnote w:type="continuationSeparator" w:id="0">
    <w:p w14:paraId="43B928DC" w14:textId="77777777" w:rsidR="00A37587" w:rsidRDefault="00A37587">
      <w:r>
        <w:continuationSeparator/>
      </w:r>
    </w:p>
  </w:footnote>
  <w:footnote w:id="1">
    <w:p w14:paraId="254B3CC3" w14:textId="6CEB1716" w:rsidR="00712936" w:rsidRPr="00712936" w:rsidRDefault="00712936" w:rsidP="00712936">
      <w:pPr>
        <w:pStyle w:val="FootnoteText"/>
      </w:pPr>
      <w:r w:rsidRPr="00712936">
        <w:rPr>
          <w:rStyle w:val="FootnoteReference"/>
        </w:rPr>
        <w:footnoteRef/>
      </w:r>
      <w:r w:rsidR="009D3D19">
        <w:tab/>
      </w:r>
      <w:r w:rsidRPr="00712936">
        <w:t>Manuel sur la qualité de communication requise, Doc 9869 AN/462 de l'O</w:t>
      </w:r>
      <w:r w:rsidR="00C8634C">
        <w:t>ACI</w:t>
      </w:r>
      <w:r w:rsidRPr="00712936">
        <w:t>, 2006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F8E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4309DE4" w14:textId="77777777" w:rsidR="004F1F8E" w:rsidRDefault="004F1F8E" w:rsidP="00FD7AA3">
    <w:pPr>
      <w:pStyle w:val="Header"/>
    </w:pPr>
    <w:r>
      <w:t>CMR1</w:t>
    </w:r>
    <w:r w:rsidR="00FD7AA3">
      <w:t>9</w:t>
    </w:r>
    <w:r>
      <w:t>/</w:t>
    </w:r>
    <w:r w:rsidR="006A4B45">
      <w:t>11(Add.24)(Add.1)-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A66"/>
    <w:rsid w:val="00007EC7"/>
    <w:rsid w:val="00010B43"/>
    <w:rsid w:val="00012B6A"/>
    <w:rsid w:val="00015B7C"/>
    <w:rsid w:val="00016648"/>
    <w:rsid w:val="000178A0"/>
    <w:rsid w:val="00026D03"/>
    <w:rsid w:val="000275AB"/>
    <w:rsid w:val="0003522F"/>
    <w:rsid w:val="00054095"/>
    <w:rsid w:val="000560C4"/>
    <w:rsid w:val="00063A1F"/>
    <w:rsid w:val="00064964"/>
    <w:rsid w:val="00066447"/>
    <w:rsid w:val="0007124C"/>
    <w:rsid w:val="00080E2C"/>
    <w:rsid w:val="00081366"/>
    <w:rsid w:val="000846D2"/>
    <w:rsid w:val="000863B3"/>
    <w:rsid w:val="000A4755"/>
    <w:rsid w:val="000A55AE"/>
    <w:rsid w:val="000B0814"/>
    <w:rsid w:val="000B2DBC"/>
    <w:rsid w:val="000B2E0C"/>
    <w:rsid w:val="000B3D0C"/>
    <w:rsid w:val="000D3D68"/>
    <w:rsid w:val="000D574E"/>
    <w:rsid w:val="000E60F0"/>
    <w:rsid w:val="000F370B"/>
    <w:rsid w:val="000F53C7"/>
    <w:rsid w:val="000F7717"/>
    <w:rsid w:val="001167B9"/>
    <w:rsid w:val="001176B1"/>
    <w:rsid w:val="001267A0"/>
    <w:rsid w:val="00130D1A"/>
    <w:rsid w:val="001356DC"/>
    <w:rsid w:val="0015203F"/>
    <w:rsid w:val="00155DA9"/>
    <w:rsid w:val="00156024"/>
    <w:rsid w:val="00157CEF"/>
    <w:rsid w:val="00160C64"/>
    <w:rsid w:val="00163D72"/>
    <w:rsid w:val="001709A0"/>
    <w:rsid w:val="00181512"/>
    <w:rsid w:val="0018169B"/>
    <w:rsid w:val="001825DB"/>
    <w:rsid w:val="0019352B"/>
    <w:rsid w:val="001941BB"/>
    <w:rsid w:val="001960D0"/>
    <w:rsid w:val="001A11F6"/>
    <w:rsid w:val="001A54FF"/>
    <w:rsid w:val="001C47BF"/>
    <w:rsid w:val="001E0005"/>
    <w:rsid w:val="001F17E8"/>
    <w:rsid w:val="001F66CC"/>
    <w:rsid w:val="002030B5"/>
    <w:rsid w:val="00204306"/>
    <w:rsid w:val="00220DD8"/>
    <w:rsid w:val="0022594D"/>
    <w:rsid w:val="00232FD2"/>
    <w:rsid w:val="0024003B"/>
    <w:rsid w:val="002407BD"/>
    <w:rsid w:val="002509C6"/>
    <w:rsid w:val="002563FE"/>
    <w:rsid w:val="00262643"/>
    <w:rsid w:val="0026554E"/>
    <w:rsid w:val="00266717"/>
    <w:rsid w:val="002832CF"/>
    <w:rsid w:val="002868A7"/>
    <w:rsid w:val="002A3FC3"/>
    <w:rsid w:val="002A4622"/>
    <w:rsid w:val="002A6F8F"/>
    <w:rsid w:val="002B17E5"/>
    <w:rsid w:val="002C0EBF"/>
    <w:rsid w:val="002C28A4"/>
    <w:rsid w:val="002D1225"/>
    <w:rsid w:val="002D26C5"/>
    <w:rsid w:val="002D7E0A"/>
    <w:rsid w:val="002F6ACD"/>
    <w:rsid w:val="00306132"/>
    <w:rsid w:val="00315AFE"/>
    <w:rsid w:val="003279BF"/>
    <w:rsid w:val="00332D2B"/>
    <w:rsid w:val="00350B4C"/>
    <w:rsid w:val="00351DF4"/>
    <w:rsid w:val="003538DA"/>
    <w:rsid w:val="00355D36"/>
    <w:rsid w:val="003606A6"/>
    <w:rsid w:val="0036650C"/>
    <w:rsid w:val="00371A19"/>
    <w:rsid w:val="0037524F"/>
    <w:rsid w:val="0037643E"/>
    <w:rsid w:val="00392581"/>
    <w:rsid w:val="00393ACD"/>
    <w:rsid w:val="003A44ED"/>
    <w:rsid w:val="003A583E"/>
    <w:rsid w:val="003B3757"/>
    <w:rsid w:val="003C612F"/>
    <w:rsid w:val="003C7980"/>
    <w:rsid w:val="003E068B"/>
    <w:rsid w:val="003E112B"/>
    <w:rsid w:val="003E1D1C"/>
    <w:rsid w:val="003E6F09"/>
    <w:rsid w:val="003E718B"/>
    <w:rsid w:val="003E7B05"/>
    <w:rsid w:val="003F2DF0"/>
    <w:rsid w:val="003F3719"/>
    <w:rsid w:val="003F40C2"/>
    <w:rsid w:val="003F6B8C"/>
    <w:rsid w:val="003F6F2D"/>
    <w:rsid w:val="004043A9"/>
    <w:rsid w:val="00410B4A"/>
    <w:rsid w:val="00415D2A"/>
    <w:rsid w:val="00416FC6"/>
    <w:rsid w:val="00423B69"/>
    <w:rsid w:val="0042511F"/>
    <w:rsid w:val="00427CF2"/>
    <w:rsid w:val="004310B3"/>
    <w:rsid w:val="00447055"/>
    <w:rsid w:val="004471E6"/>
    <w:rsid w:val="0045111C"/>
    <w:rsid w:val="00451D2F"/>
    <w:rsid w:val="00451DC9"/>
    <w:rsid w:val="0045264B"/>
    <w:rsid w:val="00453C7B"/>
    <w:rsid w:val="004546B4"/>
    <w:rsid w:val="00466211"/>
    <w:rsid w:val="004736C7"/>
    <w:rsid w:val="004810F3"/>
    <w:rsid w:val="00483196"/>
    <w:rsid w:val="004834A9"/>
    <w:rsid w:val="00483D61"/>
    <w:rsid w:val="00486D3A"/>
    <w:rsid w:val="004901D4"/>
    <w:rsid w:val="004A4313"/>
    <w:rsid w:val="004D01FC"/>
    <w:rsid w:val="004D5DAF"/>
    <w:rsid w:val="004E28C3"/>
    <w:rsid w:val="004F1F8E"/>
    <w:rsid w:val="004F670A"/>
    <w:rsid w:val="00511986"/>
    <w:rsid w:val="00512A32"/>
    <w:rsid w:val="005343DA"/>
    <w:rsid w:val="00551CA2"/>
    <w:rsid w:val="00556F96"/>
    <w:rsid w:val="00560874"/>
    <w:rsid w:val="00561405"/>
    <w:rsid w:val="00586CF2"/>
    <w:rsid w:val="00596E94"/>
    <w:rsid w:val="005A7C75"/>
    <w:rsid w:val="005B2AC9"/>
    <w:rsid w:val="005B30F3"/>
    <w:rsid w:val="005B6DF0"/>
    <w:rsid w:val="005B6FE5"/>
    <w:rsid w:val="005C1D22"/>
    <w:rsid w:val="005C3768"/>
    <w:rsid w:val="005C6C3F"/>
    <w:rsid w:val="005C6E3A"/>
    <w:rsid w:val="005D53E5"/>
    <w:rsid w:val="006100E6"/>
    <w:rsid w:val="00612C40"/>
    <w:rsid w:val="00613635"/>
    <w:rsid w:val="0062093D"/>
    <w:rsid w:val="006249E3"/>
    <w:rsid w:val="006271E1"/>
    <w:rsid w:val="00630C61"/>
    <w:rsid w:val="00637ECF"/>
    <w:rsid w:val="00647B59"/>
    <w:rsid w:val="00652F6D"/>
    <w:rsid w:val="0066032D"/>
    <w:rsid w:val="00684CC5"/>
    <w:rsid w:val="00685D73"/>
    <w:rsid w:val="00690C7B"/>
    <w:rsid w:val="0069230E"/>
    <w:rsid w:val="00693C97"/>
    <w:rsid w:val="00695BC4"/>
    <w:rsid w:val="006A048D"/>
    <w:rsid w:val="006A275E"/>
    <w:rsid w:val="006A4B45"/>
    <w:rsid w:val="006C0603"/>
    <w:rsid w:val="006C09B2"/>
    <w:rsid w:val="006C4865"/>
    <w:rsid w:val="006D1D69"/>
    <w:rsid w:val="006D4724"/>
    <w:rsid w:val="006D6335"/>
    <w:rsid w:val="006E1EA0"/>
    <w:rsid w:val="006F5FA2"/>
    <w:rsid w:val="0070076C"/>
    <w:rsid w:val="00701BAE"/>
    <w:rsid w:val="00712936"/>
    <w:rsid w:val="00716E16"/>
    <w:rsid w:val="00717195"/>
    <w:rsid w:val="00721F04"/>
    <w:rsid w:val="00730E95"/>
    <w:rsid w:val="00733142"/>
    <w:rsid w:val="0073785C"/>
    <w:rsid w:val="007426B9"/>
    <w:rsid w:val="00751764"/>
    <w:rsid w:val="00764342"/>
    <w:rsid w:val="007675DE"/>
    <w:rsid w:val="00774362"/>
    <w:rsid w:val="00775152"/>
    <w:rsid w:val="00776C1A"/>
    <w:rsid w:val="00786598"/>
    <w:rsid w:val="00790C74"/>
    <w:rsid w:val="00792032"/>
    <w:rsid w:val="007A04E8"/>
    <w:rsid w:val="007A3F62"/>
    <w:rsid w:val="007B2C34"/>
    <w:rsid w:val="007B302A"/>
    <w:rsid w:val="007B3945"/>
    <w:rsid w:val="007C49A3"/>
    <w:rsid w:val="007D06D5"/>
    <w:rsid w:val="007D0C74"/>
    <w:rsid w:val="007D0FA0"/>
    <w:rsid w:val="007D3D2E"/>
    <w:rsid w:val="007F7F68"/>
    <w:rsid w:val="0081428F"/>
    <w:rsid w:val="00814B9A"/>
    <w:rsid w:val="00830086"/>
    <w:rsid w:val="00835775"/>
    <w:rsid w:val="00837399"/>
    <w:rsid w:val="00842ACD"/>
    <w:rsid w:val="00845C2C"/>
    <w:rsid w:val="00851625"/>
    <w:rsid w:val="00863C0A"/>
    <w:rsid w:val="008813D7"/>
    <w:rsid w:val="00897304"/>
    <w:rsid w:val="008A2B84"/>
    <w:rsid w:val="008A3120"/>
    <w:rsid w:val="008A4B97"/>
    <w:rsid w:val="008A59AE"/>
    <w:rsid w:val="008B0EB0"/>
    <w:rsid w:val="008B776E"/>
    <w:rsid w:val="008C3CFD"/>
    <w:rsid w:val="008C4221"/>
    <w:rsid w:val="008C5B8E"/>
    <w:rsid w:val="008C5DD5"/>
    <w:rsid w:val="008D2F24"/>
    <w:rsid w:val="008D3EBB"/>
    <w:rsid w:val="008D41BE"/>
    <w:rsid w:val="008D58D3"/>
    <w:rsid w:val="008E38B1"/>
    <w:rsid w:val="008E3BC9"/>
    <w:rsid w:val="008F2A43"/>
    <w:rsid w:val="008F4D9D"/>
    <w:rsid w:val="0090517F"/>
    <w:rsid w:val="009052C1"/>
    <w:rsid w:val="00910A04"/>
    <w:rsid w:val="00910A37"/>
    <w:rsid w:val="009111CB"/>
    <w:rsid w:val="00912956"/>
    <w:rsid w:val="00915E94"/>
    <w:rsid w:val="009167ED"/>
    <w:rsid w:val="009226DA"/>
    <w:rsid w:val="00923064"/>
    <w:rsid w:val="00924D55"/>
    <w:rsid w:val="00930FFD"/>
    <w:rsid w:val="009322C6"/>
    <w:rsid w:val="00936D25"/>
    <w:rsid w:val="00941529"/>
    <w:rsid w:val="00941EA5"/>
    <w:rsid w:val="00964700"/>
    <w:rsid w:val="0096473F"/>
    <w:rsid w:val="009648C2"/>
    <w:rsid w:val="00966C16"/>
    <w:rsid w:val="0097123F"/>
    <w:rsid w:val="0098732F"/>
    <w:rsid w:val="00996BC0"/>
    <w:rsid w:val="009A045F"/>
    <w:rsid w:val="009A494F"/>
    <w:rsid w:val="009A6410"/>
    <w:rsid w:val="009A6A2B"/>
    <w:rsid w:val="009B36E3"/>
    <w:rsid w:val="009C3E9B"/>
    <w:rsid w:val="009C7E7C"/>
    <w:rsid w:val="009D3D19"/>
    <w:rsid w:val="009D4C0D"/>
    <w:rsid w:val="00A00473"/>
    <w:rsid w:val="00A03C9B"/>
    <w:rsid w:val="00A10F9F"/>
    <w:rsid w:val="00A12341"/>
    <w:rsid w:val="00A1323B"/>
    <w:rsid w:val="00A15464"/>
    <w:rsid w:val="00A353CF"/>
    <w:rsid w:val="00A37105"/>
    <w:rsid w:val="00A37587"/>
    <w:rsid w:val="00A50416"/>
    <w:rsid w:val="00A606C3"/>
    <w:rsid w:val="00A753FC"/>
    <w:rsid w:val="00A81715"/>
    <w:rsid w:val="00A83062"/>
    <w:rsid w:val="00A83B09"/>
    <w:rsid w:val="00A84541"/>
    <w:rsid w:val="00A92126"/>
    <w:rsid w:val="00AD5232"/>
    <w:rsid w:val="00AE36A0"/>
    <w:rsid w:val="00AF504A"/>
    <w:rsid w:val="00B000CA"/>
    <w:rsid w:val="00B00294"/>
    <w:rsid w:val="00B02E11"/>
    <w:rsid w:val="00B06C0B"/>
    <w:rsid w:val="00B11A42"/>
    <w:rsid w:val="00B12483"/>
    <w:rsid w:val="00B1288B"/>
    <w:rsid w:val="00B152F9"/>
    <w:rsid w:val="00B205D1"/>
    <w:rsid w:val="00B32B49"/>
    <w:rsid w:val="00B3749C"/>
    <w:rsid w:val="00B4738A"/>
    <w:rsid w:val="00B57DE2"/>
    <w:rsid w:val="00B64FD0"/>
    <w:rsid w:val="00B91120"/>
    <w:rsid w:val="00B91D04"/>
    <w:rsid w:val="00B9736F"/>
    <w:rsid w:val="00B97EF9"/>
    <w:rsid w:val="00BA50FF"/>
    <w:rsid w:val="00BA5BD0"/>
    <w:rsid w:val="00BB1D82"/>
    <w:rsid w:val="00BB4D3E"/>
    <w:rsid w:val="00BC2793"/>
    <w:rsid w:val="00BC4E60"/>
    <w:rsid w:val="00BC7225"/>
    <w:rsid w:val="00BD51C5"/>
    <w:rsid w:val="00BF11BA"/>
    <w:rsid w:val="00BF26E7"/>
    <w:rsid w:val="00BF7C73"/>
    <w:rsid w:val="00C17DEE"/>
    <w:rsid w:val="00C20DA7"/>
    <w:rsid w:val="00C307A3"/>
    <w:rsid w:val="00C41C34"/>
    <w:rsid w:val="00C53FCA"/>
    <w:rsid w:val="00C642C5"/>
    <w:rsid w:val="00C65583"/>
    <w:rsid w:val="00C76BAF"/>
    <w:rsid w:val="00C814B9"/>
    <w:rsid w:val="00C8470B"/>
    <w:rsid w:val="00C8634C"/>
    <w:rsid w:val="00C9252F"/>
    <w:rsid w:val="00CB7E85"/>
    <w:rsid w:val="00CC6A67"/>
    <w:rsid w:val="00CD1073"/>
    <w:rsid w:val="00CD516F"/>
    <w:rsid w:val="00CD7870"/>
    <w:rsid w:val="00CE1CF4"/>
    <w:rsid w:val="00CF64C3"/>
    <w:rsid w:val="00CF7E26"/>
    <w:rsid w:val="00D119A7"/>
    <w:rsid w:val="00D21A6A"/>
    <w:rsid w:val="00D25FBA"/>
    <w:rsid w:val="00D26396"/>
    <w:rsid w:val="00D32B28"/>
    <w:rsid w:val="00D3745A"/>
    <w:rsid w:val="00D42954"/>
    <w:rsid w:val="00D436B4"/>
    <w:rsid w:val="00D5318E"/>
    <w:rsid w:val="00D628B2"/>
    <w:rsid w:val="00D66EAC"/>
    <w:rsid w:val="00D72383"/>
    <w:rsid w:val="00D730DF"/>
    <w:rsid w:val="00D73C09"/>
    <w:rsid w:val="00D7406F"/>
    <w:rsid w:val="00D75DCC"/>
    <w:rsid w:val="00D772F0"/>
    <w:rsid w:val="00D77BDC"/>
    <w:rsid w:val="00DA4AF6"/>
    <w:rsid w:val="00DB2D4E"/>
    <w:rsid w:val="00DB5720"/>
    <w:rsid w:val="00DB7584"/>
    <w:rsid w:val="00DC1D5D"/>
    <w:rsid w:val="00DC402B"/>
    <w:rsid w:val="00DC677C"/>
    <w:rsid w:val="00DC733C"/>
    <w:rsid w:val="00DD3F4F"/>
    <w:rsid w:val="00DE0932"/>
    <w:rsid w:val="00DE4143"/>
    <w:rsid w:val="00DE4943"/>
    <w:rsid w:val="00DF63C5"/>
    <w:rsid w:val="00E03A27"/>
    <w:rsid w:val="00E049F1"/>
    <w:rsid w:val="00E10579"/>
    <w:rsid w:val="00E10F5F"/>
    <w:rsid w:val="00E15474"/>
    <w:rsid w:val="00E37A25"/>
    <w:rsid w:val="00E44480"/>
    <w:rsid w:val="00E4592C"/>
    <w:rsid w:val="00E537FF"/>
    <w:rsid w:val="00E6539B"/>
    <w:rsid w:val="00E70A31"/>
    <w:rsid w:val="00E723A7"/>
    <w:rsid w:val="00E737DC"/>
    <w:rsid w:val="00E75C1E"/>
    <w:rsid w:val="00E94F07"/>
    <w:rsid w:val="00E96639"/>
    <w:rsid w:val="00E97668"/>
    <w:rsid w:val="00EA3F38"/>
    <w:rsid w:val="00EA5806"/>
    <w:rsid w:val="00EA5AB6"/>
    <w:rsid w:val="00EB1FC8"/>
    <w:rsid w:val="00EB67D3"/>
    <w:rsid w:val="00EC07CE"/>
    <w:rsid w:val="00EC39FD"/>
    <w:rsid w:val="00EC3C57"/>
    <w:rsid w:val="00EC585E"/>
    <w:rsid w:val="00EC6761"/>
    <w:rsid w:val="00EC7615"/>
    <w:rsid w:val="00ED16AA"/>
    <w:rsid w:val="00ED6B8D"/>
    <w:rsid w:val="00EE3244"/>
    <w:rsid w:val="00EE3D7B"/>
    <w:rsid w:val="00EF2250"/>
    <w:rsid w:val="00EF662E"/>
    <w:rsid w:val="00F10064"/>
    <w:rsid w:val="00F11BC6"/>
    <w:rsid w:val="00F148F1"/>
    <w:rsid w:val="00F167FD"/>
    <w:rsid w:val="00F17652"/>
    <w:rsid w:val="00F239D7"/>
    <w:rsid w:val="00F27568"/>
    <w:rsid w:val="00F33350"/>
    <w:rsid w:val="00F338D0"/>
    <w:rsid w:val="00F4223B"/>
    <w:rsid w:val="00F475CB"/>
    <w:rsid w:val="00F55FB2"/>
    <w:rsid w:val="00F711A7"/>
    <w:rsid w:val="00F82B05"/>
    <w:rsid w:val="00F84E41"/>
    <w:rsid w:val="00F868A0"/>
    <w:rsid w:val="00F96B2E"/>
    <w:rsid w:val="00FA3BBF"/>
    <w:rsid w:val="00FA6300"/>
    <w:rsid w:val="00FB6B0C"/>
    <w:rsid w:val="00FC0119"/>
    <w:rsid w:val="00FC41F8"/>
    <w:rsid w:val="00FD0D50"/>
    <w:rsid w:val="00FD1690"/>
    <w:rsid w:val="00FD69FD"/>
    <w:rsid w:val="00FD777F"/>
    <w:rsid w:val="00FD7AA3"/>
    <w:rsid w:val="00FF1C40"/>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35C48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BC2793"/>
    <w:rPr>
      <w:rFonts w:ascii="Times New Roman" w:hAnsi="Times New Roman"/>
      <w:sz w:val="24"/>
      <w:lang w:val="fr-FR" w:eastAsia="en-US"/>
    </w:rPr>
  </w:style>
  <w:style w:type="paragraph" w:customStyle="1" w:styleId="dpstylecall">
    <w:name w:val="dpstylecall"/>
    <w:basedOn w:val="Normal"/>
    <w:rsid w:val="000178A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NormalWeb">
    <w:name w:val="Normal (Web)"/>
    <w:basedOn w:val="Normal"/>
    <w:uiPriority w:val="99"/>
    <w:semiHidden/>
    <w:unhideWhenUsed/>
    <w:rsid w:val="000178A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Normalaftertitle0">
    <w:name w:val="Normal_after title"/>
    <w:basedOn w:val="Reasons"/>
    <w:rsid w:val="00B91120"/>
    <w:pPr>
      <w:spacing w:line="480" w:lineRule="auto"/>
    </w:pPr>
    <w:rPr>
      <w:rFonts w:hAnsi="Times New Roman Bold"/>
      <w:b/>
      <w:sz w:val="28"/>
      <w:lang w:val="en-US"/>
    </w:rPr>
  </w:style>
  <w:style w:type="character" w:customStyle="1" w:styleId="AnnexNoCar">
    <w:name w:val="Annex_No Car"/>
    <w:basedOn w:val="DefaultParagraphFont"/>
    <w:link w:val="AnnexNo"/>
    <w:rsid w:val="00CD7870"/>
    <w:rPr>
      <w:rFonts w:ascii="Times New Roman" w:hAnsi="Times New Roman"/>
      <w:caps/>
      <w:sz w:val="28"/>
      <w:lang w:val="fr-FR" w:eastAsia="en-US"/>
    </w:rPr>
  </w:style>
  <w:style w:type="paragraph" w:customStyle="1" w:styleId="Annexetitle">
    <w:name w:val="Annexe_title"/>
    <w:basedOn w:val="Normal"/>
    <w:rsid w:val="00EC6761"/>
    <w:pPr>
      <w:spacing w:before="360"/>
      <w:jc w:val="center"/>
    </w:pPr>
    <w:rPr>
      <w:rFonts w:ascii="Times New Roman Bold" w:hAnsi="Times New Roman Bold"/>
      <w:b/>
      <w:sz w:val="2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41385">
      <w:bodyDiv w:val="1"/>
      <w:marLeft w:val="60"/>
      <w:marRight w:val="60"/>
      <w:marTop w:val="60"/>
      <w:marBottom w:val="60"/>
      <w:divBdr>
        <w:top w:val="none" w:sz="0" w:space="0" w:color="auto"/>
        <w:left w:val="none" w:sz="0" w:space="0" w:color="auto"/>
        <w:bottom w:val="none" w:sz="0" w:space="0" w:color="auto"/>
        <w:right w:val="none" w:sz="0" w:space="0" w:color="auto"/>
      </w:divBdr>
      <w:divsChild>
        <w:div w:id="569653222">
          <w:marLeft w:val="0"/>
          <w:marRight w:val="0"/>
          <w:marTop w:val="0"/>
          <w:marBottom w:val="0"/>
          <w:divBdr>
            <w:top w:val="none" w:sz="0" w:space="0" w:color="auto"/>
            <w:left w:val="none" w:sz="0" w:space="0" w:color="auto"/>
            <w:bottom w:val="none" w:sz="0" w:space="0" w:color="auto"/>
            <w:right w:val="none" w:sz="0" w:space="0" w:color="auto"/>
          </w:divBdr>
        </w:div>
      </w:divsChild>
    </w:div>
    <w:div w:id="431704205">
      <w:bodyDiv w:val="1"/>
      <w:marLeft w:val="60"/>
      <w:marRight w:val="60"/>
      <w:marTop w:val="60"/>
      <w:marBottom w:val="60"/>
      <w:divBdr>
        <w:top w:val="none" w:sz="0" w:space="0" w:color="auto"/>
        <w:left w:val="none" w:sz="0" w:space="0" w:color="auto"/>
        <w:bottom w:val="none" w:sz="0" w:space="0" w:color="auto"/>
        <w:right w:val="none" w:sz="0" w:space="0" w:color="auto"/>
      </w:divBdr>
      <w:divsChild>
        <w:div w:id="1801607412">
          <w:marLeft w:val="0"/>
          <w:marRight w:val="0"/>
          <w:marTop w:val="0"/>
          <w:marBottom w:val="0"/>
          <w:divBdr>
            <w:top w:val="none" w:sz="0" w:space="0" w:color="auto"/>
            <w:left w:val="none" w:sz="0" w:space="0" w:color="auto"/>
            <w:bottom w:val="none" w:sz="0" w:space="0" w:color="auto"/>
            <w:right w:val="none" w:sz="0" w:space="0" w:color="auto"/>
          </w:divBdr>
        </w:div>
      </w:divsChild>
    </w:div>
    <w:div w:id="511576688">
      <w:bodyDiv w:val="1"/>
      <w:marLeft w:val="60"/>
      <w:marRight w:val="60"/>
      <w:marTop w:val="60"/>
      <w:marBottom w:val="60"/>
      <w:divBdr>
        <w:top w:val="none" w:sz="0" w:space="0" w:color="auto"/>
        <w:left w:val="none" w:sz="0" w:space="0" w:color="auto"/>
        <w:bottom w:val="none" w:sz="0" w:space="0" w:color="auto"/>
        <w:right w:val="none" w:sz="0" w:space="0" w:color="auto"/>
      </w:divBdr>
      <w:divsChild>
        <w:div w:id="462239548">
          <w:marLeft w:val="0"/>
          <w:marRight w:val="0"/>
          <w:marTop w:val="0"/>
          <w:marBottom w:val="0"/>
          <w:divBdr>
            <w:top w:val="none" w:sz="0" w:space="0" w:color="auto"/>
            <w:left w:val="none" w:sz="0" w:space="0" w:color="auto"/>
            <w:bottom w:val="none" w:sz="0" w:space="0" w:color="auto"/>
            <w:right w:val="none" w:sz="0" w:space="0" w:color="auto"/>
          </w:divBdr>
        </w:div>
      </w:divsChild>
    </w:div>
    <w:div w:id="779448180">
      <w:bodyDiv w:val="1"/>
      <w:marLeft w:val="60"/>
      <w:marRight w:val="60"/>
      <w:marTop w:val="60"/>
      <w:marBottom w:val="60"/>
      <w:divBdr>
        <w:top w:val="none" w:sz="0" w:space="0" w:color="auto"/>
        <w:left w:val="none" w:sz="0" w:space="0" w:color="auto"/>
        <w:bottom w:val="none" w:sz="0" w:space="0" w:color="auto"/>
        <w:right w:val="none" w:sz="0" w:space="0" w:color="auto"/>
      </w:divBdr>
      <w:divsChild>
        <w:div w:id="1751804349">
          <w:marLeft w:val="0"/>
          <w:marRight w:val="0"/>
          <w:marTop w:val="0"/>
          <w:marBottom w:val="0"/>
          <w:divBdr>
            <w:top w:val="none" w:sz="0" w:space="0" w:color="auto"/>
            <w:left w:val="none" w:sz="0" w:space="0" w:color="auto"/>
            <w:bottom w:val="none" w:sz="0" w:space="0" w:color="auto"/>
            <w:right w:val="none" w:sz="0" w:space="0" w:color="auto"/>
          </w:divBdr>
        </w:div>
      </w:divsChild>
    </w:div>
    <w:div w:id="1171291839">
      <w:bodyDiv w:val="1"/>
      <w:marLeft w:val="60"/>
      <w:marRight w:val="60"/>
      <w:marTop w:val="60"/>
      <w:marBottom w:val="60"/>
      <w:divBdr>
        <w:top w:val="none" w:sz="0" w:space="0" w:color="auto"/>
        <w:left w:val="none" w:sz="0" w:space="0" w:color="auto"/>
        <w:bottom w:val="none" w:sz="0" w:space="0" w:color="auto"/>
        <w:right w:val="none" w:sz="0" w:space="0" w:color="auto"/>
      </w:divBdr>
      <w:divsChild>
        <w:div w:id="337077090">
          <w:marLeft w:val="0"/>
          <w:marRight w:val="0"/>
          <w:marTop w:val="0"/>
          <w:marBottom w:val="0"/>
          <w:divBdr>
            <w:top w:val="none" w:sz="0" w:space="0" w:color="auto"/>
            <w:left w:val="none" w:sz="0" w:space="0" w:color="auto"/>
            <w:bottom w:val="none" w:sz="0" w:space="0" w:color="auto"/>
            <w:right w:val="none" w:sz="0" w:space="0" w:color="auto"/>
          </w:divBdr>
        </w:div>
      </w:divsChild>
    </w:div>
    <w:div w:id="1241528305">
      <w:bodyDiv w:val="1"/>
      <w:marLeft w:val="60"/>
      <w:marRight w:val="60"/>
      <w:marTop w:val="60"/>
      <w:marBottom w:val="60"/>
      <w:divBdr>
        <w:top w:val="none" w:sz="0" w:space="0" w:color="auto"/>
        <w:left w:val="none" w:sz="0" w:space="0" w:color="auto"/>
        <w:bottom w:val="none" w:sz="0" w:space="0" w:color="auto"/>
        <w:right w:val="none" w:sz="0" w:space="0" w:color="auto"/>
      </w:divBdr>
      <w:divsChild>
        <w:div w:id="809437947">
          <w:marLeft w:val="0"/>
          <w:marRight w:val="0"/>
          <w:marTop w:val="0"/>
          <w:marBottom w:val="0"/>
          <w:divBdr>
            <w:top w:val="none" w:sz="0" w:space="0" w:color="auto"/>
            <w:left w:val="none" w:sz="0" w:space="0" w:color="auto"/>
            <w:bottom w:val="none" w:sz="0" w:space="0" w:color="auto"/>
            <w:right w:val="none" w:sz="0" w:space="0" w:color="auto"/>
          </w:divBdr>
        </w:div>
      </w:divsChild>
    </w:div>
    <w:div w:id="1490094667">
      <w:bodyDiv w:val="1"/>
      <w:marLeft w:val="60"/>
      <w:marRight w:val="60"/>
      <w:marTop w:val="60"/>
      <w:marBottom w:val="60"/>
      <w:divBdr>
        <w:top w:val="none" w:sz="0" w:space="0" w:color="auto"/>
        <w:left w:val="none" w:sz="0" w:space="0" w:color="auto"/>
        <w:bottom w:val="none" w:sz="0" w:space="0" w:color="auto"/>
        <w:right w:val="none" w:sz="0" w:space="0" w:color="auto"/>
      </w:divBdr>
      <w:divsChild>
        <w:div w:id="1179395200">
          <w:marLeft w:val="0"/>
          <w:marRight w:val="0"/>
          <w:marTop w:val="0"/>
          <w:marBottom w:val="0"/>
          <w:divBdr>
            <w:top w:val="none" w:sz="0" w:space="0" w:color="auto"/>
            <w:left w:val="none" w:sz="0" w:space="0" w:color="auto"/>
            <w:bottom w:val="none" w:sz="0" w:space="0" w:color="auto"/>
            <w:right w:val="none" w:sz="0" w:space="0" w:color="auto"/>
          </w:divBdr>
        </w:div>
      </w:divsChild>
    </w:div>
    <w:div w:id="2111852768">
      <w:bodyDiv w:val="1"/>
      <w:marLeft w:val="60"/>
      <w:marRight w:val="60"/>
      <w:marTop w:val="60"/>
      <w:marBottom w:val="60"/>
      <w:divBdr>
        <w:top w:val="none" w:sz="0" w:space="0" w:color="auto"/>
        <w:left w:val="none" w:sz="0" w:space="0" w:color="auto"/>
        <w:bottom w:val="none" w:sz="0" w:space="0" w:color="auto"/>
        <w:right w:val="none" w:sz="0" w:space="0" w:color="auto"/>
      </w:divBdr>
      <w:divsChild>
        <w:div w:id="1656369919">
          <w:marLeft w:val="0"/>
          <w:marRight w:val="0"/>
          <w:marTop w:val="0"/>
          <w:marBottom w:val="0"/>
          <w:divBdr>
            <w:top w:val="none" w:sz="0" w:space="0" w:color="auto"/>
            <w:left w:val="none" w:sz="0" w:space="0" w:color="auto"/>
            <w:bottom w:val="none" w:sz="0" w:space="0" w:color="auto"/>
            <w:right w:val="none" w:sz="0" w:space="0" w:color="auto"/>
          </w:divBdr>
        </w:div>
      </w:divsChild>
    </w:div>
    <w:div w:id="2127432263">
      <w:bodyDiv w:val="1"/>
      <w:marLeft w:val="60"/>
      <w:marRight w:val="60"/>
      <w:marTop w:val="60"/>
      <w:marBottom w:val="60"/>
      <w:divBdr>
        <w:top w:val="none" w:sz="0" w:space="0" w:color="auto"/>
        <w:left w:val="none" w:sz="0" w:space="0" w:color="auto"/>
        <w:bottom w:val="none" w:sz="0" w:space="0" w:color="auto"/>
        <w:right w:val="none" w:sz="0" w:space="0" w:color="auto"/>
      </w:divBdr>
      <w:divsChild>
        <w:div w:id="95787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R16-WRC19-C-0011!A24-A1!MSW-F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0354C-7458-4E95-8462-E6E753B83924}">
  <ds:schemaRefs>
    <ds:schemaRef ds:uri="http://schemas.microsoft.com/sharepoint/v3/contenttype/forms"/>
  </ds:schemaRefs>
</ds:datastoreItem>
</file>

<file path=customXml/itemProps2.xml><?xml version="1.0" encoding="utf-8"?>
<ds:datastoreItem xmlns:ds="http://schemas.openxmlformats.org/officeDocument/2006/customXml" ds:itemID="{4BC03FA8-2561-46BD-B540-D5E121E20996}">
  <ds:schemaRefs>
    <ds:schemaRef ds:uri="http://www.w3.org/XML/1998/namespace"/>
    <ds:schemaRef ds:uri="32a1a8c5-2265-4ebc-b7a0-2071e2c5c9bb"/>
    <ds:schemaRef ds:uri="http://schemas.microsoft.com/office/2006/documentManagement/types"/>
    <ds:schemaRef ds:uri="http://purl.org/dc/dcmitype/"/>
    <ds:schemaRef ds:uri="http://purl.org/dc/terms/"/>
    <ds:schemaRef ds:uri="996b2e75-67fd-4955-a3b0-5ab9934cb50b"/>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675E5EBA-86EB-45B2-8DFD-0A405AF32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45D678-05E0-4438-8229-8954F375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8</Pages>
  <Words>2596</Words>
  <Characters>15539</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R16-WRC19-C-0011!A24-A1!MSW-F</vt:lpstr>
      <vt:lpstr>R16-WRC19-C-0011!A24-A1!MSW-F</vt:lpstr>
    </vt:vector>
  </TitlesOfParts>
  <Manager>Secrétariat général - Pool</Manager>
  <Company>Union internationale des télécommunications (UIT)</Company>
  <LinksUpToDate>false</LinksUpToDate>
  <CharactersWithSpaces>18099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R16-WRC19-C-0011!A24-A1!MSW-F</dc:title>
  <dc:subject>Conférence mondiale des radiocommunications - 2019</dc:subject>
  <dc:creator>Documents Proposals Manager (DPM)</dc:creator>
  <cp:keywords>DPM_v2019.9.18.2_prod</cp:keywords>
  <dc:description/>
  <cp:lastModifiedBy>Campana, Lina</cp:lastModifiedBy>
  <cp:revision>18</cp:revision>
  <cp:lastPrinted>2019-09-30T14:12:00Z</cp:lastPrinted>
  <dcterms:created xsi:type="dcterms:W3CDTF">2019-09-30T12:18:00Z</dcterms:created>
  <dcterms:modified xsi:type="dcterms:W3CDTF">2019-10-01T08:07:00Z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