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38B78743" w14:textId="77777777" w:rsidTr="0050008E">
        <w:trPr>
          <w:cantSplit/>
        </w:trPr>
        <w:tc>
          <w:tcPr>
            <w:tcW w:w="6911" w:type="dxa"/>
          </w:tcPr>
          <w:p w14:paraId="5F54377D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CE1AD06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B5D5E21" wp14:editId="77F0F85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EC7E0A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3CCE52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67F5AB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B78252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01DC54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6E59C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41C9764" w14:textId="77777777" w:rsidTr="0090121B">
        <w:trPr>
          <w:cantSplit/>
        </w:trPr>
        <w:tc>
          <w:tcPr>
            <w:tcW w:w="6911" w:type="dxa"/>
          </w:tcPr>
          <w:p w14:paraId="7B352F0A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14:paraId="425A7A8F" w14:textId="77777777" w:rsidR="0090121B" w:rsidRPr="00493655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493655">
              <w:rPr>
                <w:rFonts w:ascii="Verdana" w:hAnsi="Verdana"/>
                <w:b/>
                <w:sz w:val="20"/>
                <w:lang w:val="es-ES"/>
              </w:rPr>
              <w:t>Addéndum 4 al</w:t>
            </w:r>
            <w:r w:rsidRPr="00493655">
              <w:rPr>
                <w:rFonts w:ascii="Verdana" w:hAnsi="Verdana"/>
                <w:b/>
                <w:sz w:val="20"/>
                <w:lang w:val="es-ES"/>
              </w:rPr>
              <w:br/>
              <w:t>Documento 11(Add.21)</w:t>
            </w:r>
            <w:r w:rsidR="0090121B" w:rsidRPr="00493655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493655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32D60622" w14:textId="77777777" w:rsidTr="0090121B">
        <w:trPr>
          <w:cantSplit/>
        </w:trPr>
        <w:tc>
          <w:tcPr>
            <w:tcW w:w="6911" w:type="dxa"/>
          </w:tcPr>
          <w:p w14:paraId="77E8B031" w14:textId="77777777" w:rsidR="000A5B9A" w:rsidRPr="0049365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14:paraId="34BC31FA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13 de septiembre de 2019</w:t>
            </w:r>
          </w:p>
        </w:tc>
      </w:tr>
      <w:tr w:rsidR="000A5B9A" w:rsidRPr="0002785D" w14:paraId="6E38783B" w14:textId="77777777" w:rsidTr="0090121B">
        <w:trPr>
          <w:cantSplit/>
        </w:trPr>
        <w:tc>
          <w:tcPr>
            <w:tcW w:w="6911" w:type="dxa"/>
          </w:tcPr>
          <w:p w14:paraId="57B616AC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F90B9E5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  <w:r w:rsidR="00493655">
              <w:rPr>
                <w:rFonts w:ascii="Verdana" w:hAnsi="Verdana"/>
                <w:b/>
                <w:sz w:val="20"/>
                <w:lang w:val="en-US"/>
              </w:rPr>
              <w:t>/español</w:t>
            </w:r>
          </w:p>
        </w:tc>
      </w:tr>
      <w:tr w:rsidR="000A5B9A" w:rsidRPr="0002785D" w14:paraId="6FD335A7" w14:textId="77777777" w:rsidTr="006744FC">
        <w:trPr>
          <w:cantSplit/>
        </w:trPr>
        <w:tc>
          <w:tcPr>
            <w:tcW w:w="10031" w:type="dxa"/>
            <w:gridSpan w:val="2"/>
          </w:tcPr>
          <w:p w14:paraId="07695AF6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61CCB3DC" w14:textId="77777777" w:rsidTr="0050008E">
        <w:trPr>
          <w:cantSplit/>
        </w:trPr>
        <w:tc>
          <w:tcPr>
            <w:tcW w:w="10031" w:type="dxa"/>
            <w:gridSpan w:val="2"/>
          </w:tcPr>
          <w:p w14:paraId="14BE40E8" w14:textId="77777777" w:rsidR="000A5B9A" w:rsidRPr="00493655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493655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121AD9" w14:paraId="40AB8BE1" w14:textId="77777777" w:rsidTr="0050008E">
        <w:trPr>
          <w:cantSplit/>
        </w:trPr>
        <w:tc>
          <w:tcPr>
            <w:tcW w:w="10031" w:type="dxa"/>
            <w:gridSpan w:val="2"/>
          </w:tcPr>
          <w:p w14:paraId="051CE5E1" w14:textId="77777777" w:rsidR="000A5B9A" w:rsidRPr="00121AD9" w:rsidRDefault="00121AD9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A760A4">
              <w:rPr>
                <w:lang w:val="es-ES"/>
              </w:rPr>
              <w:t>Propuestas para los trabajos de la Conferencia</w:t>
            </w:r>
          </w:p>
        </w:tc>
      </w:tr>
      <w:tr w:rsidR="000A5B9A" w:rsidRPr="00121AD9" w14:paraId="06F9A2E6" w14:textId="77777777" w:rsidTr="0050008E">
        <w:trPr>
          <w:cantSplit/>
        </w:trPr>
        <w:tc>
          <w:tcPr>
            <w:tcW w:w="10031" w:type="dxa"/>
            <w:gridSpan w:val="2"/>
          </w:tcPr>
          <w:p w14:paraId="102217D9" w14:textId="77777777" w:rsidR="000A5B9A" w:rsidRPr="00121AD9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1DB19229" w14:textId="77777777" w:rsidTr="0050008E">
        <w:trPr>
          <w:cantSplit/>
        </w:trPr>
        <w:tc>
          <w:tcPr>
            <w:tcW w:w="10031" w:type="dxa"/>
            <w:gridSpan w:val="2"/>
          </w:tcPr>
          <w:p w14:paraId="31EAF479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9.1(9.1.4) del orden del día</w:t>
            </w:r>
          </w:p>
        </w:tc>
      </w:tr>
    </w:tbl>
    <w:bookmarkEnd w:id="5"/>
    <w:p w14:paraId="4040FE52" w14:textId="77777777" w:rsidR="001C0E40" w:rsidRPr="00E9771B" w:rsidRDefault="000A6689" w:rsidP="003A37B0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14:paraId="186957F3" w14:textId="77777777" w:rsidR="001C0E40" w:rsidRPr="00E9771B" w:rsidRDefault="000A6689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14:paraId="1C5FB5AF" w14:textId="77777777" w:rsidR="001C0E40" w:rsidRPr="00E9771B" w:rsidRDefault="000A6689" w:rsidP="003A37B0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4</w:t>
      </w:r>
      <w:r w:rsidRPr="00E73B8E">
        <w:rPr>
          <w:lang w:eastAsia="zh-CN"/>
        </w:rPr>
        <w:t>)</w:t>
      </w:r>
      <w:r w:rsidRPr="00294A8A">
        <w:tab/>
      </w:r>
      <w:hyperlink w:anchor="RES_763" w:history="1">
        <w:r w:rsidRPr="00D778DD">
          <w:t xml:space="preserve">Resolución </w:t>
        </w:r>
        <w:r w:rsidRPr="00D778DD">
          <w:rPr>
            <w:b/>
            <w:bCs/>
          </w:rPr>
          <w:t>763 (CMR-15)</w:t>
        </w:r>
      </w:hyperlink>
      <w:r w:rsidRPr="0058417F">
        <w:t xml:space="preserve"> </w:t>
      </w:r>
      <w:r>
        <w:t xml:space="preserve">– </w:t>
      </w:r>
      <w:r w:rsidRPr="0076485C">
        <w:t>Estaciones a bordo de vehículos suborbitales</w:t>
      </w:r>
    </w:p>
    <w:p w14:paraId="1EC9BB17" w14:textId="77777777" w:rsidR="00493655" w:rsidRPr="007A7615" w:rsidRDefault="00493655" w:rsidP="00BA1303">
      <w:pPr>
        <w:pStyle w:val="Headingb"/>
        <w:rPr>
          <w:lang w:val="es-419"/>
        </w:rPr>
      </w:pPr>
      <w:r w:rsidRPr="007A7615">
        <w:rPr>
          <w:lang w:val="es-419"/>
        </w:rPr>
        <w:t>I</w:t>
      </w:r>
      <w:r w:rsidR="00BA1303">
        <w:rPr>
          <w:lang w:val="es-419"/>
        </w:rPr>
        <w:t>ntroducción</w:t>
      </w:r>
    </w:p>
    <w:p w14:paraId="3C1B23E4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Actualmente existen vehículos que realizan vuelos suborbitales, es decir, que pueden alcanzar altitudes de más de 100 km, sin alcanzar la órbita o el espacio lejano, y posteriormente regresar a la tierra. A estos vehículos se les denomina vehículos suborbitales o aviones espaciales.</w:t>
      </w:r>
    </w:p>
    <w:p w14:paraId="783CC70E" w14:textId="77777777" w:rsidR="00493655" w:rsidRPr="00BA1303" w:rsidRDefault="00493655" w:rsidP="00493655">
      <w:pPr>
        <w:rPr>
          <w:lang w:val="es-419"/>
        </w:rPr>
      </w:pPr>
      <w:r w:rsidRPr="007A7615">
        <w:rPr>
          <w:lang w:val="es-419"/>
        </w:rPr>
        <w:t>En este sentido, con el objeto de garantizar un desarrollo y transición hacia el uso operacional de dichos vehículos, es necesario abordar todas las cuestiones reglamentarias en el Reglamento de Radiocomunicaciones (RR) y establecer si los servicios de telecomunicaciones empleados por vehículos suborbitales se pueden considerar como parte de los servicios de radiocomunicaciones existentes, o si es necesario que en una futura Conferencia Mundial de Radiocomunicaciones (CMR) se definan nuevos servicios de radiocomunicaciones e inclusive poder atribuir bandas de frecuencias a dichos servicios para dar cabida a las operaciones de estos vehículos.</w:t>
      </w:r>
    </w:p>
    <w:p w14:paraId="4EAD4D23" w14:textId="77777777" w:rsidR="00493655" w:rsidRPr="007A7615" w:rsidRDefault="00493655" w:rsidP="00BA1303">
      <w:pPr>
        <w:pStyle w:val="Headingb"/>
        <w:rPr>
          <w:lang w:val="es-419"/>
        </w:rPr>
      </w:pPr>
      <w:r w:rsidRPr="007A7615">
        <w:rPr>
          <w:lang w:val="es-419"/>
        </w:rPr>
        <w:t>A</w:t>
      </w:r>
      <w:r w:rsidR="00BA1303">
        <w:rPr>
          <w:lang w:val="es-419"/>
        </w:rPr>
        <w:t>ntecedentes</w:t>
      </w:r>
    </w:p>
    <w:p w14:paraId="697504AA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 xml:space="preserve">Los avances en la tecnología de propulsión y la potencia de cohetes han facilitado el diseño de vehículos que pueden alcanzar altitudes de más de 100 km y regresar posteriormente a la tierra sin alcanzar la órbita o el espacio lejano, lo que se conoce </w:t>
      </w:r>
      <w:r w:rsidR="003757BD">
        <w:rPr>
          <w:lang w:val="es-419"/>
        </w:rPr>
        <w:t xml:space="preserve">también como vuelo suborbital. </w:t>
      </w:r>
      <w:r w:rsidRPr="007A7615">
        <w:rPr>
          <w:lang w:val="es-419"/>
        </w:rPr>
        <w:t>Un vehículo suborbital puede ser usado para fines tales como vuelos espaciales comerciales, investigación científica, rutas punto a punto, transporte de carga o la observación de la Tierra.</w:t>
      </w:r>
    </w:p>
    <w:p w14:paraId="4940DC80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Los vuelos espaciales comerciales se han convertido en una realidad y existen varias empresas que prometen la oportunidad de p</w:t>
      </w:r>
      <w:r w:rsidR="003757BD">
        <w:rPr>
          <w:lang w:val="es-419"/>
        </w:rPr>
        <w:t>articipar en un vuelo espacial.</w:t>
      </w:r>
      <w:r w:rsidRPr="007A7615">
        <w:rPr>
          <w:lang w:val="es-419"/>
        </w:rPr>
        <w:t xml:space="preserve"> En la Conferencia Mundial de Radiocomunicaciones de 2015 (CMR-15), se aprobó la Resolución </w:t>
      </w:r>
      <w:r w:rsidRPr="0076485C">
        <w:rPr>
          <w:b/>
          <w:lang w:val="es-419"/>
        </w:rPr>
        <w:t>763 (CMR 15)</w:t>
      </w:r>
      <w:r w:rsidRPr="0076485C">
        <w:rPr>
          <w:lang w:val="es-419"/>
        </w:rPr>
        <w:t>,</w:t>
      </w:r>
      <w:r w:rsidRPr="007A7615">
        <w:rPr>
          <w:lang w:val="es-419"/>
        </w:rPr>
        <w:t xml:space="preserve"> la cual trata de </w:t>
      </w:r>
      <w:r w:rsidRPr="007A7615">
        <w:rPr>
          <w:lang w:val="es-419"/>
        </w:rPr>
        <w:lastRenderedPageBreak/>
        <w:t>las estaciones a bordo de vehículos suborbitales</w:t>
      </w:r>
      <w:r w:rsidRPr="007A7615">
        <w:rPr>
          <w:vertAlign w:val="superscript"/>
          <w:lang w:val="es-419"/>
        </w:rPr>
        <w:footnoteReference w:id="1"/>
      </w:r>
      <w:r w:rsidRPr="007A7615">
        <w:rPr>
          <w:lang w:val="es-419"/>
        </w:rPr>
        <w:t>. Se resolvió realizar estudios durante el ciclo de estudio de la CMR-19:</w:t>
      </w:r>
    </w:p>
    <w:p w14:paraId="5858062C" w14:textId="77777777" w:rsidR="00493655" w:rsidRPr="007A7615" w:rsidRDefault="00CA37C3" w:rsidP="00CA37C3">
      <w:pPr>
        <w:pStyle w:val="enumlev1"/>
        <w:rPr>
          <w:lang w:val="es-419"/>
        </w:rPr>
      </w:pPr>
      <w:r w:rsidRPr="00CA37C3">
        <w:rPr>
          <w:lang w:val="es-419"/>
        </w:rPr>
        <w:t>–</w:t>
      </w:r>
      <w:r>
        <w:rPr>
          <w:lang w:val="es-419"/>
        </w:rPr>
        <w:tab/>
      </w:r>
      <w:r w:rsidR="00493655" w:rsidRPr="007A7615">
        <w:rPr>
          <w:lang w:val="es-419"/>
        </w:rPr>
        <w:t>identificar las medidas técnicas y operativas requeridas, en relación con las estaciones de vehículos suborbitales a bordo, que podrían ayudar a prevenir las interferencias perjudiciales entre los servicios de radiocomunicaciones.</w:t>
      </w:r>
    </w:p>
    <w:p w14:paraId="43F1A07F" w14:textId="77777777" w:rsidR="00CA37C3" w:rsidRPr="007A7615" w:rsidRDefault="00CA37C3" w:rsidP="00CA37C3">
      <w:pPr>
        <w:pStyle w:val="enumlev1"/>
        <w:rPr>
          <w:lang w:val="es-419"/>
        </w:rPr>
      </w:pPr>
      <w:r w:rsidRPr="00CA37C3">
        <w:rPr>
          <w:lang w:val="es-419"/>
        </w:rPr>
        <w:t>–</w:t>
      </w:r>
      <w:r>
        <w:rPr>
          <w:lang w:val="es-419"/>
        </w:rPr>
        <w:tab/>
      </w:r>
      <w:r w:rsidR="00493655" w:rsidRPr="007A7615">
        <w:rPr>
          <w:lang w:val="es-419"/>
        </w:rPr>
        <w:t>determinar los requisitos de espectro y, en función del resultado de dichos estudios, considerar un posible tema futuro para la CMR-23.</w:t>
      </w:r>
    </w:p>
    <w:p w14:paraId="27A71229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 xml:space="preserve">Se observa además que, en el año 2015, el UIT-R formuló la Cuestión UIT-R No. </w:t>
      </w:r>
      <w:hyperlink r:id="rId13" w:history="1">
        <w:r w:rsidRPr="00401A19">
          <w:rPr>
            <w:rStyle w:val="Hyperlink"/>
            <w:lang w:val="es-ES"/>
          </w:rPr>
          <w:t>259/5</w:t>
        </w:r>
      </w:hyperlink>
      <w:r w:rsidRPr="007A7615">
        <w:rPr>
          <w:lang w:val="es-419"/>
        </w:rPr>
        <w:t xml:space="preserve">, </w:t>
      </w:r>
      <w:r w:rsidR="00CA37C3">
        <w:rPr>
          <w:lang w:val="es-419"/>
        </w:rPr>
        <w:t>«</w:t>
      </w:r>
      <w:r w:rsidRPr="007A7615">
        <w:rPr>
          <w:lang w:val="es-419"/>
        </w:rPr>
        <w:t xml:space="preserve">Aspectos operativos y de reglamentación </w:t>
      </w:r>
      <w:r>
        <w:rPr>
          <w:lang w:val="es-419"/>
        </w:rPr>
        <w:t>de las radiocomunicaciones</w:t>
      </w:r>
      <w:r w:rsidRPr="007A7615">
        <w:rPr>
          <w:lang w:val="es-419"/>
        </w:rPr>
        <w:t xml:space="preserve"> para aviones que </w:t>
      </w:r>
      <w:r>
        <w:rPr>
          <w:lang w:val="es-419"/>
        </w:rPr>
        <w:t xml:space="preserve">vuelan </w:t>
      </w:r>
      <w:r w:rsidRPr="007A7615">
        <w:rPr>
          <w:lang w:val="es-419"/>
        </w:rPr>
        <w:t xml:space="preserve">en </w:t>
      </w:r>
      <w:r>
        <w:rPr>
          <w:lang w:val="es-419"/>
        </w:rPr>
        <w:t xml:space="preserve">la capa </w:t>
      </w:r>
      <w:r w:rsidRPr="007A7615">
        <w:rPr>
          <w:lang w:val="es-419"/>
        </w:rPr>
        <w:t>superior de la atmósfera</w:t>
      </w:r>
      <w:r w:rsidR="00CA37C3">
        <w:rPr>
          <w:lang w:val="es-419"/>
        </w:rPr>
        <w:t>»</w:t>
      </w:r>
      <w:r w:rsidRPr="007A7615">
        <w:rPr>
          <w:lang w:val="es-419"/>
        </w:rPr>
        <w:t xml:space="preserve">, y que los estudios en el marco de dicha Cuestión se relacionan con la Resolución </w:t>
      </w:r>
      <w:r w:rsidRPr="007A7615">
        <w:rPr>
          <w:b/>
          <w:lang w:val="es-419"/>
        </w:rPr>
        <w:t>763 (CMR-15)</w:t>
      </w:r>
      <w:r w:rsidRPr="007A7615">
        <w:rPr>
          <w:lang w:val="es-419"/>
        </w:rPr>
        <w:t xml:space="preserve">. En particular, el </w:t>
      </w:r>
      <w:r w:rsidRPr="007A7615">
        <w:rPr>
          <w:i/>
          <w:lang w:val="es-419"/>
        </w:rPr>
        <w:t>decide</w:t>
      </w:r>
      <w:r w:rsidRPr="007A7615">
        <w:rPr>
          <w:lang w:val="es-419"/>
        </w:rPr>
        <w:t xml:space="preserve"> 3 de esa Cuestión se pregunta: </w:t>
      </w:r>
      <w:r w:rsidR="00CA37C3">
        <w:rPr>
          <w:lang w:val="es-419"/>
        </w:rPr>
        <w:t>«</w:t>
      </w:r>
      <w:r w:rsidRPr="007A7615">
        <w:rPr>
          <w:lang w:val="es-419"/>
        </w:rPr>
        <w:t>qué enlaces radioeléctricas se necesitarán para respaldar las operaciones de los aviones espaciales y bajo qué definición de servicio de radiocomunicación caerán?</w:t>
      </w:r>
      <w:r w:rsidR="00CA37C3">
        <w:rPr>
          <w:lang w:val="es-419"/>
        </w:rPr>
        <w:t>»</w:t>
      </w:r>
    </w:p>
    <w:p w14:paraId="4F70898F" w14:textId="3AB79290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Los vehículos suborbitales, incluidos los aviones espaciales, se han desarrollado para ir más allá de la mayor parte de la atmósfera de la Tierra durante breves per</w:t>
      </w:r>
      <w:r w:rsidR="00CB7494">
        <w:rPr>
          <w:lang w:val="es-419"/>
        </w:rPr>
        <w:t>i</w:t>
      </w:r>
      <w:r w:rsidRPr="007A7615">
        <w:rPr>
          <w:lang w:val="es-419"/>
        </w:rPr>
        <w:t>odos. Sin embargo, también deben compartir el espacio aéreo con las aeronaves convencionales durante ciertas fases de vuelo. Estos vehículos pueden alcanzar el espacio y realizar una misión, como desplegar un vehículo espacial, realizar investigaciones científicas o permitir que los turistas participen en vuelos espaciales, y luego regresar a la superficie de la Tierra.</w:t>
      </w:r>
    </w:p>
    <w:p w14:paraId="2B5A048C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Las comunicaciones con esos vehículos suborbitales consisten actualmente en telemetría, telemando y control (TT&amp;C), que a veces operan bajo el Servicio de Operaciones Espaciales (SOS), para posibilitar el control del vehículo y las comunicaciones relacionadas con la misión. Actualmente no hay radiocomunicaciones entre las funciones de gestión del tráfico aéreo (ATM) o control del tráfico aéreo (ATC) y los vehículos suborbitales.</w:t>
      </w:r>
    </w:p>
    <w:p w14:paraId="376D4148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Sin embargo, los vehículos suborbitales deben integrarse de manera segura en el mismo espacio aéreo que las aeronaves convencionales durante su transición hacia y desde el espacio. A fin de abordar este asunto, actualmente la mayoría de los proveedores de servicios de navegación aérea garantizan una integración segura mediante la total segregación entre los vehículos suborbitales y otras aeronaves durante las operaciones de lanzamiento y recuperación; el despejo del espacio aéreo de las aeronaves no participantes en tres dimensiones espaciales y en el tiempo para precautelar el nivel de seguridad requerido. Las dimensiones del espacio aéreo despejado dependen de la capacidad de datos en materia de TT&amp;C de la instalación de lanzamiento existente.</w:t>
      </w:r>
    </w:p>
    <w:p w14:paraId="756E3980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El enfoque actual de la segregación del espacio aéreo se produce a expensas de las posibilidades de lanzamiento espacial y recuperación, la eficiencia del tráfico aéreo, así como los requisitos adicionales en materia de combustible y tiempo para que las aeronaves eviten las áreas peligrosas. Este método de separar las operaciones de lanzamiento espacial y recuperación del tráfico aéreo no será sostenible con el aumento de la demanda de acceso al espacio por parte de vehículos suborbitales adicionales que operen dentro y fuera de los rangos tradicionales.</w:t>
      </w:r>
    </w:p>
    <w:p w14:paraId="20A0D53E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 xml:space="preserve">Como lo exige la Resolución </w:t>
      </w:r>
      <w:r w:rsidRPr="007A7615">
        <w:rPr>
          <w:b/>
          <w:lang w:val="es-419"/>
        </w:rPr>
        <w:t>763 (CMR-15)</w:t>
      </w:r>
      <w:r w:rsidRPr="007A7615">
        <w:rPr>
          <w:lang w:val="es-419"/>
        </w:rPr>
        <w:t xml:space="preserve">, el UIT-R ha elaborado un documento de trabajo para un anteproyecto de nuevo informe del UIT-R </w:t>
      </w:r>
      <w:proofErr w:type="gramStart"/>
      <w:r w:rsidRPr="007A7615">
        <w:rPr>
          <w:lang w:val="es-419"/>
        </w:rPr>
        <w:t>M.[</w:t>
      </w:r>
      <w:proofErr w:type="gramEnd"/>
      <w:r w:rsidRPr="007A7615">
        <w:rPr>
          <w:lang w:val="es-419"/>
        </w:rPr>
        <w:t xml:space="preserve">VEHÍCULOS SUBORBITALES], titulado </w:t>
      </w:r>
      <w:r w:rsidR="00CA37C3">
        <w:rPr>
          <w:lang w:val="es-419"/>
        </w:rPr>
        <w:t>«</w:t>
      </w:r>
      <w:r w:rsidRPr="007A7615">
        <w:rPr>
          <w:lang w:val="es-419"/>
        </w:rPr>
        <w:t>Radiocomunicaciones para vehículos suborbitales.</w:t>
      </w:r>
      <w:r w:rsidR="00CA37C3">
        <w:rPr>
          <w:lang w:val="es-419"/>
        </w:rPr>
        <w:t>»</w:t>
      </w:r>
      <w:r w:rsidRPr="007A7615">
        <w:rPr>
          <w:lang w:val="es-419"/>
        </w:rPr>
        <w:t xml:space="preserve"> El trabajo, basado en información de la Organización de Aviación Civil Internacional (OACI) y de las Administraciones, ha identificado enfoques futuros proyectados para la integración del espacio aéreo, con los cuales se evitaría o </w:t>
      </w:r>
      <w:r w:rsidRPr="007A7615">
        <w:rPr>
          <w:lang w:val="es-419"/>
        </w:rPr>
        <w:lastRenderedPageBreak/>
        <w:t>reduciría la segregación del espacio aéreo al permitir que las estaciones de radio a bordo de vehículos suborbitales utilicen las frecuencias asignadas a las radiocomunicaciones terrestres para los servicios de comunicaciones de voz/datos de ATM/ATC, la vigilancia y la navegación. Dichos enfoques, de ser estandarizados por la OACI, garantizarían la interoperabilidad de los vehículos suborbitales con la ATM/ATC y la aviónica aeronáutica, al tiempo que mantendrían la seguridad de vuelo del vehículo suborbitario y de otras aeronaves que ocupan el espacio aéreo por el cual atraviesa el vehículo suborbitario. Con esto se posibilitaría a la ATC recuperar la eficiencia perdida del tráfico aéreo, se mejoraría la prevención de colisiones en el aire y se reduciría la demanda de combustible y las emisiones. En el estudio se sugiere que es técnicamente factible que los vehículos suborbitales operen según las atribuciones existentes al servicio de radiocomunicaciones terrenales y espaciales, si lo permite el Reglamento de Radiocomunicaciones, para las aplicaciones identificadas en el informe en materia de ATM/ATC. La utilización de las asignaciones existentes posibilitaría la armonización e interoperabilidad internacionales con los sistemas y aplicaciones relacionados con la seguridad de la aviación, según lo estandarizado por la OACI, como la ATM/ATC y la aviónica de aeronaves.</w:t>
      </w:r>
    </w:p>
    <w:p w14:paraId="55217B2C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Se han preguntado si las disposiciones del Reglamento de Radiocomunicaciones (RR) del UIT-R en materia de servicios terrenas y espaciales son adecuadas para respaldar este tipo de enfoque para la integración de los vehículos suborbitales en la ATM, y si se requiere establecer disposiciones de espectro adicionales.</w:t>
      </w:r>
    </w:p>
    <w:p w14:paraId="007F240D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El Grupo de Trabajo 5B del UIT-R ha elaborado un proyecto de nuevo informe que contiene varios estudios relacionados con los análisis del presupuesto de enlace, el cambio Doppler durante diversas fases del vuelo y la posibilidad de utilizar de los sistemas aeronáuticos existentes para los vehículos suborbitales. Sin embargo, se requiere de mayores estudios:</w:t>
      </w:r>
    </w:p>
    <w:p w14:paraId="2896AAC4" w14:textId="5E3ADAB5" w:rsidR="00493655" w:rsidRPr="007A7615" w:rsidRDefault="000A30F0" w:rsidP="000A30F0">
      <w:pPr>
        <w:pStyle w:val="enumlev1"/>
        <w:rPr>
          <w:lang w:val="es-419"/>
        </w:rPr>
      </w:pPr>
      <w:r w:rsidRPr="000A30F0">
        <w:rPr>
          <w:lang w:val="es-419"/>
        </w:rPr>
        <w:t>–</w:t>
      </w:r>
      <w:r>
        <w:rPr>
          <w:lang w:val="es-419"/>
        </w:rPr>
        <w:tab/>
      </w:r>
      <w:r w:rsidR="00493655" w:rsidRPr="007A7615">
        <w:rPr>
          <w:lang w:val="es-419"/>
        </w:rPr>
        <w:t>para evaluar cómo podrían utilizarse para los vehículos suborbitales las aplicaciones operadas comúnmente en los servicios terrenales, en particular los móviles aeronáuticos o los espaciales;</w:t>
      </w:r>
    </w:p>
    <w:p w14:paraId="3721E2D8" w14:textId="69E136E5" w:rsidR="00493655" w:rsidRPr="007A7615" w:rsidRDefault="000A30F0" w:rsidP="000A30F0">
      <w:pPr>
        <w:pStyle w:val="enumlev1"/>
        <w:rPr>
          <w:lang w:val="es-419"/>
        </w:rPr>
      </w:pPr>
      <w:r w:rsidRPr="000A30F0">
        <w:rPr>
          <w:lang w:val="es-419"/>
        </w:rPr>
        <w:t>–</w:t>
      </w:r>
      <w:r>
        <w:rPr>
          <w:lang w:val="es-419"/>
        </w:rPr>
        <w:tab/>
      </w:r>
      <w:r w:rsidR="00493655" w:rsidRPr="007A7615">
        <w:rPr>
          <w:lang w:val="es-419"/>
        </w:rPr>
        <w:t>para evaluar la posibilidad de interferencia entre servicios en el caso de un vehículo suborbitario operado con estaciones terrestres y espaciales;</w:t>
      </w:r>
    </w:p>
    <w:p w14:paraId="2A083BF1" w14:textId="0003E62F" w:rsidR="00493655" w:rsidRPr="007A7615" w:rsidRDefault="000A30F0" w:rsidP="000A30F0">
      <w:pPr>
        <w:pStyle w:val="enumlev1"/>
        <w:rPr>
          <w:lang w:val="es-419"/>
        </w:rPr>
      </w:pPr>
      <w:r w:rsidRPr="000A30F0">
        <w:rPr>
          <w:lang w:val="es-419"/>
        </w:rPr>
        <w:t>–</w:t>
      </w:r>
      <w:r>
        <w:rPr>
          <w:lang w:val="es-419"/>
        </w:rPr>
        <w:tab/>
      </w:r>
      <w:r w:rsidR="00493655" w:rsidRPr="007A7615">
        <w:rPr>
          <w:lang w:val="es-419"/>
        </w:rPr>
        <w:t>para considerar bajo qué servicios de radiocomunicación operan los vehículos suborbitales.</w:t>
      </w:r>
    </w:p>
    <w:p w14:paraId="18F06904" w14:textId="77777777" w:rsidR="00493655" w:rsidRPr="007A7615" w:rsidRDefault="00493655" w:rsidP="00493655">
      <w:pPr>
        <w:rPr>
          <w:lang w:val="es-419"/>
        </w:rPr>
      </w:pPr>
      <w:r w:rsidRPr="007A7615">
        <w:rPr>
          <w:lang w:val="es-419"/>
        </w:rPr>
        <w:t>En la RPC 19-2, se finalizó la redacción de la cuestión 9.1.4 del punto 9 del orden del día, cuya única conclusión fue que posiblemente sea necesario abordar otros problemas operativos, técnicos y regulatorios, lo que requiere estudios continuos.</w:t>
      </w:r>
    </w:p>
    <w:p w14:paraId="59F97779" w14:textId="77777777" w:rsidR="00493655" w:rsidRPr="007A7615" w:rsidRDefault="00493655" w:rsidP="00164EEE">
      <w:pPr>
        <w:pStyle w:val="Headingb"/>
        <w:rPr>
          <w:lang w:val="es-419"/>
        </w:rPr>
      </w:pPr>
      <w:r w:rsidRPr="007A7615">
        <w:rPr>
          <w:lang w:val="es-419"/>
        </w:rPr>
        <w:t>C</w:t>
      </w:r>
      <w:r w:rsidR="00164EEE">
        <w:rPr>
          <w:lang w:val="es-419"/>
        </w:rPr>
        <w:t>onclusiones</w:t>
      </w:r>
    </w:p>
    <w:p w14:paraId="52693F90" w14:textId="77777777" w:rsidR="00363A65" w:rsidRPr="00493655" w:rsidRDefault="00493655" w:rsidP="002C1A52">
      <w:pPr>
        <w:rPr>
          <w:lang w:val="es-419"/>
        </w:rPr>
      </w:pPr>
      <w:r w:rsidRPr="007A7615">
        <w:rPr>
          <w:lang w:val="es-419"/>
        </w:rPr>
        <w:t>En varios estudios se ha demostrado la necesidad mayor consideración de la definición de un vehículo suborbitario en el Reglamento de Radiocomunicaciones y bajo qué servicio(s) de radiocomunicaciones debería operar. Además, en varios estudios se indica que, a determinadas alturas, puede resultar necesario tomar medidas técnicas y operativas adicionales a fin de garantizar la seguridad de vuelo en la operación de vehículos y aeronaves suborbitales, lo cual corresponde a la OACI. Por ejemplo, para las aplicaciones de ATM se requieren equipos de radio interoperables con los sistemas estandarizados de la OACI, en todas las fases del vuelo, a fin de prevenir las colisiones con aeronaves convencionales. Por lo tanto, serán necesarios estudios técnicos y disposiciones reglamentarias adicionales para mejorar la integración de los vehículos suborbitales en los sistemas ATM.</w:t>
      </w:r>
    </w:p>
    <w:p w14:paraId="2AB852A7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C479440" w14:textId="77777777" w:rsidR="00932A77" w:rsidRDefault="000A6689">
      <w:pPr>
        <w:pStyle w:val="Proposal"/>
      </w:pPr>
      <w:r>
        <w:lastRenderedPageBreak/>
        <w:t>SUP</w:t>
      </w:r>
      <w:r>
        <w:tab/>
        <w:t>IAP/11A21A4/1</w:t>
      </w:r>
    </w:p>
    <w:p w14:paraId="610F554E" w14:textId="77777777" w:rsidR="007B7DBC" w:rsidRPr="0066363B" w:rsidRDefault="000A6689" w:rsidP="002948FA">
      <w:pPr>
        <w:pStyle w:val="ResNo"/>
      </w:pPr>
      <w:r w:rsidRPr="002948FA">
        <w:t>RESOLUCIÓN</w:t>
      </w:r>
      <w:r w:rsidRPr="0066363B">
        <w:t xml:space="preserve"> </w:t>
      </w:r>
      <w:r w:rsidRPr="0066363B">
        <w:rPr>
          <w:rStyle w:val="href"/>
        </w:rPr>
        <w:t>763</w:t>
      </w:r>
      <w:r w:rsidRPr="0066363B">
        <w:t xml:space="preserve"> (CMR</w:t>
      </w:r>
      <w:r w:rsidRPr="0066363B">
        <w:noBreakHyphen/>
        <w:t>15)</w:t>
      </w:r>
    </w:p>
    <w:p w14:paraId="24488D7E" w14:textId="77777777" w:rsidR="007B7DBC" w:rsidRPr="0066363B" w:rsidRDefault="000A6689" w:rsidP="007B7DBC">
      <w:pPr>
        <w:pStyle w:val="Restitle"/>
      </w:pPr>
      <w:r w:rsidRPr="0066363B">
        <w:t>Estaciones a bordo de vehículos suborbitales</w:t>
      </w:r>
    </w:p>
    <w:p w14:paraId="4734143C" w14:textId="78131D76" w:rsidR="00F11B62" w:rsidRDefault="00493655" w:rsidP="00411C49">
      <w:pPr>
        <w:pStyle w:val="Reasons"/>
        <w:rPr>
          <w:lang w:val="es-419"/>
        </w:rPr>
      </w:pPr>
      <w:r>
        <w:rPr>
          <w:b/>
        </w:rPr>
        <w:t>Motivos:</w:t>
      </w:r>
      <w:r>
        <w:tab/>
      </w:r>
      <w:r w:rsidRPr="007A7615">
        <w:rPr>
          <w:lang w:val="es-419"/>
        </w:rPr>
        <w:t>S</w:t>
      </w:r>
      <w:bookmarkStart w:id="6" w:name="_GoBack"/>
      <w:bookmarkEnd w:id="6"/>
      <w:r w:rsidRPr="007A7615">
        <w:rPr>
          <w:lang w:val="es-419"/>
        </w:rPr>
        <w:t>e han concluido los estudios realizados en los grupos de estudio del UIT-R sobre esta cuestión, por lo que la Resolución 763 ya no es necesaria.</w:t>
      </w:r>
    </w:p>
    <w:p w14:paraId="105E1EF9" w14:textId="77777777" w:rsidR="00F11B62" w:rsidRDefault="00F11B62" w:rsidP="00F11B62"/>
    <w:p w14:paraId="33F92527" w14:textId="77777777" w:rsidR="00F11B62" w:rsidRDefault="00F11B62">
      <w:pPr>
        <w:jc w:val="center"/>
      </w:pPr>
      <w:r>
        <w:t>______________</w:t>
      </w:r>
    </w:p>
    <w:p w14:paraId="0E68F3CB" w14:textId="77777777" w:rsidR="00932A77" w:rsidRDefault="00932A77" w:rsidP="00F11B62"/>
    <w:sectPr w:rsidR="00932A7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8BD6" w14:textId="77777777" w:rsidR="00FD03C4" w:rsidRDefault="00FD03C4">
      <w:r>
        <w:separator/>
      </w:r>
    </w:p>
  </w:endnote>
  <w:endnote w:type="continuationSeparator" w:id="0">
    <w:p w14:paraId="34251EE5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BF0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F2564" w14:textId="41150BD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30F0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94E7" w14:textId="77777777" w:rsidR="0077084A" w:rsidRDefault="002948FA" w:rsidP="002948FA">
    <w:pPr>
      <w:pStyle w:val="Footer"/>
      <w:rPr>
        <w:lang w:val="en-US"/>
      </w:rPr>
    </w:pPr>
    <w:r>
      <w:fldChar w:fldCharType="begin"/>
    </w:r>
    <w:r w:rsidRPr="002948FA">
      <w:rPr>
        <w:lang w:val="en-US"/>
      </w:rPr>
      <w:instrText xml:space="preserve"> FILENAME \p  \* MERGEFORMAT </w:instrText>
    </w:r>
    <w:r>
      <w:fldChar w:fldCharType="separate"/>
    </w:r>
    <w:r w:rsidRPr="002948FA">
      <w:rPr>
        <w:lang w:val="en-US"/>
      </w:rPr>
      <w:t>P:\ESP\ITU-R\CONF-R\CMR19\000\011ADD21ADD04S.docx</w:t>
    </w:r>
    <w:r>
      <w:fldChar w:fldCharType="end"/>
    </w:r>
    <w:r>
      <w:rPr>
        <w:lang w:val="en-US"/>
      </w:rPr>
      <w:t xml:space="preserve"> (460831)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28CE" w14:textId="77777777" w:rsidR="0077084A" w:rsidRDefault="002948FA" w:rsidP="002948FA">
    <w:pPr>
      <w:pStyle w:val="Footer"/>
      <w:rPr>
        <w:lang w:val="en-US"/>
      </w:rPr>
    </w:pPr>
    <w:r>
      <w:fldChar w:fldCharType="begin"/>
    </w:r>
    <w:r w:rsidRPr="002948FA">
      <w:rPr>
        <w:lang w:val="en-US"/>
      </w:rPr>
      <w:instrText xml:space="preserve"> FILENAME \p  \* MERGEFORMAT </w:instrText>
    </w:r>
    <w:r>
      <w:fldChar w:fldCharType="separate"/>
    </w:r>
    <w:r w:rsidRPr="002948FA">
      <w:rPr>
        <w:lang w:val="en-US"/>
      </w:rPr>
      <w:t>P:\ESP\ITU-R\CONF-R\CMR19\000\011ADD21ADD04S.docx</w:t>
    </w:r>
    <w:r>
      <w:fldChar w:fldCharType="end"/>
    </w:r>
    <w:r w:rsidRPr="002948FA">
      <w:rPr>
        <w:lang w:val="en-US"/>
      </w:rPr>
      <w:t xml:space="preserve"> </w:t>
    </w:r>
    <w:r>
      <w:rPr>
        <w:lang w:val="en-US"/>
      </w:rPr>
      <w:t>(460831)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3895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280A8A1C" w14:textId="77777777" w:rsidR="00FD03C4" w:rsidRDefault="00FD03C4">
      <w:r>
        <w:continuationSeparator/>
      </w:r>
    </w:p>
  </w:footnote>
  <w:footnote w:id="1">
    <w:p w14:paraId="11F86751" w14:textId="77777777" w:rsidR="00493655" w:rsidRPr="007C3E8F" w:rsidRDefault="00493655" w:rsidP="00E8240D">
      <w:pPr>
        <w:pStyle w:val="FootnoteText"/>
        <w:rPr>
          <w:color w:val="222222"/>
          <w:shd w:val="clear" w:color="auto" w:fill="FFFFFF"/>
          <w:lang w:val="es-MX"/>
        </w:rPr>
      </w:pPr>
      <w:r w:rsidRPr="00242ACD">
        <w:rPr>
          <w:rStyle w:val="FootnoteReference"/>
          <w:sz w:val="20"/>
        </w:rPr>
        <w:footnoteRef/>
      </w:r>
      <w:r w:rsidRPr="00242ACD">
        <w:rPr>
          <w:lang w:val="es-MX"/>
        </w:rPr>
        <w:t xml:space="preserve"> </w:t>
      </w:r>
      <w:r w:rsidRPr="00242ACD">
        <w:rPr>
          <w:lang w:val="es-MX"/>
        </w:rPr>
        <w:tab/>
      </w:r>
      <w:r w:rsidRPr="00242ACD">
        <w:t>Vehículo suborbital: un vehículo destinado a un vuelo suborbital, del cual todas o algunas de sus etapas o componentes pueden ser reutilizables o fungibles.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422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8EE22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</w:t>
    </w:r>
    <w:proofErr w:type="gramStart"/>
    <w:r w:rsidR="00702F3D">
      <w:t>21)(</w:t>
    </w:r>
    <w:proofErr w:type="gramEnd"/>
    <w:r w:rsidR="00702F3D">
      <w:t>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0102F5F"/>
    <w:multiLevelType w:val="hybridMultilevel"/>
    <w:tmpl w:val="9A8EBD0C"/>
    <w:lvl w:ilvl="0" w:tplc="FE025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5180"/>
    <w:multiLevelType w:val="hybridMultilevel"/>
    <w:tmpl w:val="7F58E1DA"/>
    <w:lvl w:ilvl="0" w:tplc="5CD0EE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30F0"/>
    <w:rsid w:val="000A5B9A"/>
    <w:rsid w:val="000A6689"/>
    <w:rsid w:val="000B5B9D"/>
    <w:rsid w:val="000E5BF9"/>
    <w:rsid w:val="000F0E6D"/>
    <w:rsid w:val="00121170"/>
    <w:rsid w:val="00121AD9"/>
    <w:rsid w:val="00123CC5"/>
    <w:rsid w:val="0015142D"/>
    <w:rsid w:val="001616DC"/>
    <w:rsid w:val="00163962"/>
    <w:rsid w:val="00164EEE"/>
    <w:rsid w:val="00191A97"/>
    <w:rsid w:val="0019729C"/>
    <w:rsid w:val="001A083F"/>
    <w:rsid w:val="001C41FA"/>
    <w:rsid w:val="001E05B5"/>
    <w:rsid w:val="001E2B52"/>
    <w:rsid w:val="001E3F27"/>
    <w:rsid w:val="001E7D42"/>
    <w:rsid w:val="00236D2A"/>
    <w:rsid w:val="0024569E"/>
    <w:rsid w:val="00255F12"/>
    <w:rsid w:val="00262C09"/>
    <w:rsid w:val="002948FA"/>
    <w:rsid w:val="002A2F56"/>
    <w:rsid w:val="002A791F"/>
    <w:rsid w:val="002C1A52"/>
    <w:rsid w:val="002C1B26"/>
    <w:rsid w:val="002C5D6C"/>
    <w:rsid w:val="002E701F"/>
    <w:rsid w:val="003248A9"/>
    <w:rsid w:val="00324FFA"/>
    <w:rsid w:val="0032680B"/>
    <w:rsid w:val="00334179"/>
    <w:rsid w:val="003376B4"/>
    <w:rsid w:val="003530B5"/>
    <w:rsid w:val="00363A65"/>
    <w:rsid w:val="003757BD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93655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485C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32A77"/>
    <w:rsid w:val="0094091F"/>
    <w:rsid w:val="00962171"/>
    <w:rsid w:val="00973754"/>
    <w:rsid w:val="009C0BED"/>
    <w:rsid w:val="009C58F6"/>
    <w:rsid w:val="009E11EC"/>
    <w:rsid w:val="00A021CC"/>
    <w:rsid w:val="00A118DB"/>
    <w:rsid w:val="00A4450C"/>
    <w:rsid w:val="00AA5E6C"/>
    <w:rsid w:val="00AE5677"/>
    <w:rsid w:val="00AE658F"/>
    <w:rsid w:val="00AF2F78"/>
    <w:rsid w:val="00AF45BD"/>
    <w:rsid w:val="00B239FA"/>
    <w:rsid w:val="00B47331"/>
    <w:rsid w:val="00B52D55"/>
    <w:rsid w:val="00B55866"/>
    <w:rsid w:val="00B8288C"/>
    <w:rsid w:val="00B86034"/>
    <w:rsid w:val="00BA1303"/>
    <w:rsid w:val="00BE2E80"/>
    <w:rsid w:val="00BE5EDD"/>
    <w:rsid w:val="00BE6A1F"/>
    <w:rsid w:val="00C126C4"/>
    <w:rsid w:val="00C44E9E"/>
    <w:rsid w:val="00C63EB5"/>
    <w:rsid w:val="00C87DA7"/>
    <w:rsid w:val="00CA37C3"/>
    <w:rsid w:val="00CB7494"/>
    <w:rsid w:val="00CB7633"/>
    <w:rsid w:val="00CC01E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8240D"/>
    <w:rsid w:val="00EA77F0"/>
    <w:rsid w:val="00F11B62"/>
    <w:rsid w:val="00F32316"/>
    <w:rsid w:val="00F60339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78414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NormalWeb">
    <w:name w:val="Normal (Web)"/>
    <w:basedOn w:val="Normal"/>
    <w:semiHidden/>
    <w:unhideWhenUsed/>
    <w:rsid w:val="00493655"/>
    <w:rPr>
      <w:szCs w:val="24"/>
    </w:rPr>
  </w:style>
  <w:style w:type="character" w:styleId="Hyperlink">
    <w:name w:val="Hyperlink"/>
    <w:basedOn w:val="DefaultParagraphFont"/>
    <w:unhideWhenUsed/>
    <w:rsid w:val="0049365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B749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pub/R-QUE-SG05.25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5E5B-02BA-47F9-BA24-846796372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E31A1-675F-46B9-8090-81A41B955F77}">
  <ds:schemaRefs>
    <ds:schemaRef ds:uri="http://www.w3.org/XML/1998/namespace"/>
    <ds:schemaRef ds:uri="http://schemas.microsoft.com/office/2006/metadata/properties"/>
    <ds:schemaRef ds:uri="32a1a8c5-2265-4ebc-b7a0-2071e2c5c9b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D7706-2B6A-44C6-A771-E091A9B786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396BC6-D643-4A1B-ADF5-FAC25A5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1483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R16-WRC19-C-0011!A21-A4!MSW-S</vt:lpstr>
    </vt:vector>
  </TitlesOfParts>
  <Manager>Secretaría General - Pool</Manager>
  <Company>Unión Internacional de Telecomunicaciones (UIT)</Company>
  <LinksUpToDate>false</LinksUpToDate>
  <CharactersWithSpaces>10136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22</cp:revision>
  <cp:lastPrinted>2003-02-19T20:20:00Z</cp:lastPrinted>
  <dcterms:created xsi:type="dcterms:W3CDTF">2019-09-26T13:22:00Z</dcterms:created>
  <dcterms:modified xsi:type="dcterms:W3CDTF">2019-10-02T09:28:00Z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