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A3470C" w14:paraId="7FB51387" w14:textId="77777777" w:rsidTr="006A3F25">
        <w:trPr>
          <w:cantSplit/>
        </w:trPr>
        <w:tc>
          <w:tcPr>
            <w:tcW w:w="6804" w:type="dxa"/>
          </w:tcPr>
          <w:p w14:paraId="26358329" w14:textId="77777777" w:rsidR="00BB1D82" w:rsidRPr="00A3470C" w:rsidRDefault="00851625" w:rsidP="00F10064">
            <w:pPr>
              <w:spacing w:before="400" w:after="48" w:line="240" w:lineRule="atLeast"/>
              <w:rPr>
                <w:rFonts w:ascii="Verdana" w:hAnsi="Verdana"/>
                <w:b/>
                <w:bCs/>
                <w:sz w:val="20"/>
                <w:lang w:val="fr-CH"/>
              </w:rPr>
            </w:pPr>
            <w:r w:rsidRPr="00A3470C">
              <w:rPr>
                <w:rFonts w:ascii="Verdana" w:hAnsi="Verdana"/>
                <w:b/>
                <w:bCs/>
                <w:sz w:val="20"/>
                <w:lang w:val="fr-CH"/>
              </w:rPr>
              <w:t>Conférence mondiale des radiocommunications (CMR-1</w:t>
            </w:r>
            <w:r w:rsidR="00FD7AA3" w:rsidRPr="00A3470C">
              <w:rPr>
                <w:rFonts w:ascii="Verdana" w:hAnsi="Verdana"/>
                <w:b/>
                <w:bCs/>
                <w:sz w:val="20"/>
                <w:lang w:val="fr-CH"/>
              </w:rPr>
              <w:t>9</w:t>
            </w:r>
            <w:r w:rsidRPr="00A3470C">
              <w:rPr>
                <w:rFonts w:ascii="Verdana" w:hAnsi="Verdana"/>
                <w:b/>
                <w:bCs/>
                <w:sz w:val="20"/>
                <w:lang w:val="fr-CH"/>
              </w:rPr>
              <w:t>)</w:t>
            </w:r>
            <w:r w:rsidRPr="00A3470C">
              <w:rPr>
                <w:rFonts w:ascii="Verdana" w:hAnsi="Verdana"/>
                <w:b/>
                <w:bCs/>
                <w:sz w:val="20"/>
                <w:lang w:val="fr-CH"/>
              </w:rPr>
              <w:br/>
            </w:r>
            <w:r w:rsidR="00063A1F" w:rsidRPr="00A3470C">
              <w:rPr>
                <w:rFonts w:ascii="Verdana" w:hAnsi="Verdana"/>
                <w:b/>
                <w:bCs/>
                <w:sz w:val="18"/>
                <w:szCs w:val="18"/>
                <w:lang w:val="fr-CH"/>
              </w:rPr>
              <w:t xml:space="preserve">Charm el-Cheikh, </w:t>
            </w:r>
            <w:r w:rsidR="00081366" w:rsidRPr="00A3470C">
              <w:rPr>
                <w:rFonts w:ascii="Verdana" w:hAnsi="Verdana"/>
                <w:b/>
                <w:bCs/>
                <w:sz w:val="18"/>
                <w:szCs w:val="18"/>
                <w:lang w:val="fr-CH"/>
              </w:rPr>
              <w:t>É</w:t>
            </w:r>
            <w:r w:rsidR="00063A1F" w:rsidRPr="00A3470C">
              <w:rPr>
                <w:rFonts w:ascii="Verdana" w:hAnsi="Verdana"/>
                <w:b/>
                <w:bCs/>
                <w:sz w:val="18"/>
                <w:szCs w:val="18"/>
                <w:lang w:val="fr-CH"/>
              </w:rPr>
              <w:t>gypte</w:t>
            </w:r>
            <w:r w:rsidRPr="00A3470C">
              <w:rPr>
                <w:rFonts w:ascii="Verdana" w:hAnsi="Verdana"/>
                <w:b/>
                <w:bCs/>
                <w:sz w:val="18"/>
                <w:szCs w:val="18"/>
                <w:lang w:val="fr-CH"/>
              </w:rPr>
              <w:t>,</w:t>
            </w:r>
            <w:r w:rsidR="00E537FF" w:rsidRPr="00A3470C">
              <w:rPr>
                <w:rFonts w:ascii="Verdana" w:hAnsi="Verdana"/>
                <w:b/>
                <w:bCs/>
                <w:sz w:val="18"/>
                <w:szCs w:val="18"/>
                <w:lang w:val="fr-CH"/>
              </w:rPr>
              <w:t xml:space="preserve"> </w:t>
            </w:r>
            <w:r w:rsidRPr="00A3470C">
              <w:rPr>
                <w:rFonts w:ascii="Verdana" w:hAnsi="Verdana"/>
                <w:b/>
                <w:bCs/>
                <w:sz w:val="18"/>
                <w:szCs w:val="18"/>
                <w:lang w:val="fr-CH"/>
              </w:rPr>
              <w:t>2</w:t>
            </w:r>
            <w:r w:rsidR="00FD7AA3" w:rsidRPr="00A3470C">
              <w:rPr>
                <w:rFonts w:ascii="Verdana" w:hAnsi="Verdana"/>
                <w:b/>
                <w:bCs/>
                <w:sz w:val="18"/>
                <w:szCs w:val="18"/>
                <w:lang w:val="fr-CH"/>
              </w:rPr>
              <w:t xml:space="preserve">8 octobre </w:t>
            </w:r>
            <w:r w:rsidR="00F10064" w:rsidRPr="00A3470C">
              <w:rPr>
                <w:rFonts w:ascii="Verdana" w:hAnsi="Verdana"/>
                <w:b/>
                <w:bCs/>
                <w:sz w:val="18"/>
                <w:szCs w:val="18"/>
                <w:lang w:val="fr-CH"/>
              </w:rPr>
              <w:t>–</w:t>
            </w:r>
            <w:r w:rsidR="00FD7AA3" w:rsidRPr="00A3470C">
              <w:rPr>
                <w:rFonts w:ascii="Verdana" w:hAnsi="Verdana"/>
                <w:b/>
                <w:bCs/>
                <w:sz w:val="18"/>
                <w:szCs w:val="18"/>
                <w:lang w:val="fr-CH"/>
              </w:rPr>
              <w:t xml:space="preserve"> </w:t>
            </w:r>
            <w:r w:rsidRPr="00A3470C">
              <w:rPr>
                <w:rFonts w:ascii="Verdana" w:hAnsi="Verdana"/>
                <w:b/>
                <w:bCs/>
                <w:sz w:val="18"/>
                <w:szCs w:val="18"/>
                <w:lang w:val="fr-CH"/>
              </w:rPr>
              <w:t>2</w:t>
            </w:r>
            <w:r w:rsidR="00FD7AA3" w:rsidRPr="00A3470C">
              <w:rPr>
                <w:rFonts w:ascii="Verdana" w:hAnsi="Verdana"/>
                <w:b/>
                <w:bCs/>
                <w:sz w:val="18"/>
                <w:szCs w:val="18"/>
                <w:lang w:val="fr-CH"/>
              </w:rPr>
              <w:t>2</w:t>
            </w:r>
            <w:r w:rsidRPr="00A3470C">
              <w:rPr>
                <w:rFonts w:ascii="Verdana" w:hAnsi="Verdana"/>
                <w:b/>
                <w:bCs/>
                <w:sz w:val="18"/>
                <w:szCs w:val="18"/>
                <w:lang w:val="fr-CH"/>
              </w:rPr>
              <w:t xml:space="preserve"> novembre 201</w:t>
            </w:r>
            <w:r w:rsidR="00FD7AA3" w:rsidRPr="00A3470C">
              <w:rPr>
                <w:rFonts w:ascii="Verdana" w:hAnsi="Verdana"/>
                <w:b/>
                <w:bCs/>
                <w:sz w:val="18"/>
                <w:szCs w:val="18"/>
                <w:lang w:val="fr-CH"/>
              </w:rPr>
              <w:t>9</w:t>
            </w:r>
          </w:p>
        </w:tc>
        <w:tc>
          <w:tcPr>
            <w:tcW w:w="3227" w:type="dxa"/>
          </w:tcPr>
          <w:p w14:paraId="6DF589D1" w14:textId="77777777" w:rsidR="00BB1D82" w:rsidRPr="00A3470C" w:rsidRDefault="000A55AE" w:rsidP="002C28A4">
            <w:pPr>
              <w:spacing w:before="0" w:line="240" w:lineRule="atLeast"/>
              <w:jc w:val="right"/>
              <w:rPr>
                <w:lang w:val="fr-CH"/>
              </w:rPr>
            </w:pPr>
            <w:r w:rsidRPr="00A3470C">
              <w:rPr>
                <w:rFonts w:ascii="Verdana" w:hAnsi="Verdana"/>
                <w:b/>
                <w:bCs/>
                <w:noProof/>
                <w:lang w:val="fr-CH" w:eastAsia="zh-CN"/>
              </w:rPr>
              <w:drawing>
                <wp:inline distT="0" distB="0" distL="0" distR="0" wp14:anchorId="61D87532" wp14:editId="4814FBC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3470C" w14:paraId="3AF5B746" w14:textId="77777777" w:rsidTr="006A3F25">
        <w:trPr>
          <w:cantSplit/>
        </w:trPr>
        <w:tc>
          <w:tcPr>
            <w:tcW w:w="6804" w:type="dxa"/>
            <w:tcBorders>
              <w:bottom w:val="single" w:sz="12" w:space="0" w:color="auto"/>
            </w:tcBorders>
          </w:tcPr>
          <w:p w14:paraId="60BB24F1" w14:textId="77777777" w:rsidR="00BB1D82" w:rsidRPr="00A3470C" w:rsidRDefault="00BB1D82" w:rsidP="00BB1D82">
            <w:pPr>
              <w:spacing w:before="0" w:after="48" w:line="240" w:lineRule="atLeast"/>
              <w:rPr>
                <w:b/>
                <w:smallCaps/>
                <w:szCs w:val="24"/>
                <w:lang w:val="fr-CH"/>
              </w:rPr>
            </w:pPr>
          </w:p>
        </w:tc>
        <w:tc>
          <w:tcPr>
            <w:tcW w:w="3227" w:type="dxa"/>
            <w:tcBorders>
              <w:bottom w:val="single" w:sz="12" w:space="0" w:color="auto"/>
            </w:tcBorders>
          </w:tcPr>
          <w:p w14:paraId="068517FB" w14:textId="77777777" w:rsidR="00BB1D82" w:rsidRPr="00A3470C" w:rsidRDefault="00BB1D82" w:rsidP="00BB1D82">
            <w:pPr>
              <w:spacing w:before="0" w:line="240" w:lineRule="atLeast"/>
              <w:rPr>
                <w:rFonts w:ascii="Verdana" w:hAnsi="Verdana"/>
                <w:szCs w:val="24"/>
                <w:lang w:val="fr-CH"/>
              </w:rPr>
            </w:pPr>
          </w:p>
        </w:tc>
      </w:tr>
      <w:tr w:rsidR="00BB1D82" w:rsidRPr="00A3470C" w14:paraId="52952D54" w14:textId="77777777" w:rsidTr="006A3F25">
        <w:trPr>
          <w:cantSplit/>
        </w:trPr>
        <w:tc>
          <w:tcPr>
            <w:tcW w:w="6804" w:type="dxa"/>
            <w:tcBorders>
              <w:top w:val="single" w:sz="12" w:space="0" w:color="auto"/>
            </w:tcBorders>
          </w:tcPr>
          <w:p w14:paraId="7F84D004" w14:textId="77777777" w:rsidR="00BB1D82" w:rsidRPr="00A3470C" w:rsidRDefault="00BB1D82" w:rsidP="00BB1D82">
            <w:pPr>
              <w:spacing w:before="0" w:after="48" w:line="240" w:lineRule="atLeast"/>
              <w:rPr>
                <w:rFonts w:ascii="Verdana" w:hAnsi="Verdana"/>
                <w:b/>
                <w:smallCaps/>
                <w:sz w:val="20"/>
                <w:lang w:val="fr-CH"/>
              </w:rPr>
            </w:pPr>
          </w:p>
        </w:tc>
        <w:tc>
          <w:tcPr>
            <w:tcW w:w="3227" w:type="dxa"/>
            <w:tcBorders>
              <w:top w:val="single" w:sz="12" w:space="0" w:color="auto"/>
            </w:tcBorders>
          </w:tcPr>
          <w:p w14:paraId="252D369F" w14:textId="77777777" w:rsidR="00BB1D82" w:rsidRPr="00A3470C" w:rsidRDefault="00BB1D82" w:rsidP="00BB1D82">
            <w:pPr>
              <w:spacing w:before="0" w:line="240" w:lineRule="atLeast"/>
              <w:rPr>
                <w:rFonts w:ascii="Verdana" w:hAnsi="Verdana"/>
                <w:sz w:val="20"/>
                <w:lang w:val="fr-CH"/>
              </w:rPr>
            </w:pPr>
          </w:p>
        </w:tc>
      </w:tr>
      <w:tr w:rsidR="00BB1D82" w:rsidRPr="00A3470C" w14:paraId="69A773B0" w14:textId="77777777" w:rsidTr="006A3F25">
        <w:trPr>
          <w:cantSplit/>
        </w:trPr>
        <w:tc>
          <w:tcPr>
            <w:tcW w:w="6804" w:type="dxa"/>
          </w:tcPr>
          <w:p w14:paraId="3FF8D8DD" w14:textId="77777777" w:rsidR="00BB1D82" w:rsidRPr="00A3470C" w:rsidRDefault="006D4724" w:rsidP="00BA5BD0">
            <w:pPr>
              <w:spacing w:before="0"/>
              <w:rPr>
                <w:rFonts w:ascii="Verdana" w:hAnsi="Verdana"/>
                <w:b/>
                <w:sz w:val="20"/>
                <w:lang w:val="fr-CH"/>
              </w:rPr>
            </w:pPr>
            <w:r w:rsidRPr="00A3470C">
              <w:rPr>
                <w:rFonts w:ascii="Verdana" w:hAnsi="Verdana"/>
                <w:b/>
                <w:sz w:val="20"/>
                <w:lang w:val="fr-CH"/>
              </w:rPr>
              <w:t>SÉANCE PLÉNIÈRE</w:t>
            </w:r>
          </w:p>
        </w:tc>
        <w:tc>
          <w:tcPr>
            <w:tcW w:w="3227" w:type="dxa"/>
          </w:tcPr>
          <w:p w14:paraId="48A47EF6" w14:textId="32D5C7E8" w:rsidR="00BB1D82" w:rsidRPr="00A3470C" w:rsidRDefault="00D469C9" w:rsidP="00BA5BD0">
            <w:pPr>
              <w:spacing w:before="0"/>
              <w:rPr>
                <w:rFonts w:ascii="Verdana" w:hAnsi="Verdana"/>
                <w:sz w:val="20"/>
                <w:lang w:val="fr-CH"/>
              </w:rPr>
            </w:pPr>
            <w:r w:rsidRPr="00A3470C">
              <w:rPr>
                <w:rFonts w:ascii="Verdana" w:hAnsi="Verdana"/>
                <w:b/>
                <w:sz w:val="20"/>
                <w:lang w:val="fr-CH"/>
              </w:rPr>
              <w:t>Addendum 3 d</w:t>
            </w:r>
            <w:r w:rsidR="006D4724" w:rsidRPr="00A3470C">
              <w:rPr>
                <w:rFonts w:ascii="Verdana" w:hAnsi="Verdana"/>
                <w:b/>
                <w:sz w:val="20"/>
                <w:lang w:val="fr-CH"/>
              </w:rPr>
              <w:t>u</w:t>
            </w:r>
            <w:r w:rsidR="006D4724" w:rsidRPr="00A3470C">
              <w:rPr>
                <w:rFonts w:ascii="Verdana" w:hAnsi="Verdana"/>
                <w:b/>
                <w:sz w:val="20"/>
                <w:lang w:val="fr-CH"/>
              </w:rPr>
              <w:br/>
              <w:t>Document 11(Add.21)</w:t>
            </w:r>
            <w:r w:rsidR="00BB1D82" w:rsidRPr="00A3470C">
              <w:rPr>
                <w:rFonts w:ascii="Verdana" w:hAnsi="Verdana"/>
                <w:b/>
                <w:sz w:val="20"/>
                <w:lang w:val="fr-CH"/>
              </w:rPr>
              <w:t>-</w:t>
            </w:r>
            <w:r w:rsidR="006D4724" w:rsidRPr="00A3470C">
              <w:rPr>
                <w:rFonts w:ascii="Verdana" w:hAnsi="Verdana"/>
                <w:b/>
                <w:sz w:val="20"/>
                <w:lang w:val="fr-CH"/>
              </w:rPr>
              <w:t>F</w:t>
            </w:r>
          </w:p>
        </w:tc>
      </w:tr>
      <w:tr w:rsidR="00690C7B" w:rsidRPr="00A3470C" w14:paraId="4C174BE2" w14:textId="77777777" w:rsidTr="006A3F25">
        <w:trPr>
          <w:cantSplit/>
        </w:trPr>
        <w:tc>
          <w:tcPr>
            <w:tcW w:w="6804" w:type="dxa"/>
          </w:tcPr>
          <w:p w14:paraId="580E1C59" w14:textId="77777777" w:rsidR="00690C7B" w:rsidRPr="00A3470C" w:rsidRDefault="00690C7B" w:rsidP="00BA5BD0">
            <w:pPr>
              <w:spacing w:before="0"/>
              <w:rPr>
                <w:rFonts w:ascii="Verdana" w:hAnsi="Verdana"/>
                <w:b/>
                <w:sz w:val="20"/>
                <w:lang w:val="fr-CH"/>
              </w:rPr>
            </w:pPr>
          </w:p>
        </w:tc>
        <w:tc>
          <w:tcPr>
            <w:tcW w:w="3227" w:type="dxa"/>
          </w:tcPr>
          <w:p w14:paraId="30627460" w14:textId="77777777" w:rsidR="00690C7B" w:rsidRPr="00A3470C" w:rsidRDefault="00690C7B" w:rsidP="00BA5BD0">
            <w:pPr>
              <w:spacing w:before="0"/>
              <w:rPr>
                <w:rFonts w:ascii="Verdana" w:hAnsi="Verdana"/>
                <w:b/>
                <w:sz w:val="20"/>
                <w:lang w:val="fr-CH"/>
              </w:rPr>
            </w:pPr>
            <w:r w:rsidRPr="00A3470C">
              <w:rPr>
                <w:rFonts w:ascii="Verdana" w:hAnsi="Verdana"/>
                <w:b/>
                <w:sz w:val="20"/>
                <w:lang w:val="fr-CH"/>
              </w:rPr>
              <w:t>17 septembre 2019</w:t>
            </w:r>
          </w:p>
        </w:tc>
      </w:tr>
      <w:tr w:rsidR="00690C7B" w:rsidRPr="00A3470C" w14:paraId="4C26FECE" w14:textId="77777777" w:rsidTr="006A3F25">
        <w:trPr>
          <w:cantSplit/>
        </w:trPr>
        <w:tc>
          <w:tcPr>
            <w:tcW w:w="6804" w:type="dxa"/>
          </w:tcPr>
          <w:p w14:paraId="34C7021B" w14:textId="77777777" w:rsidR="00690C7B" w:rsidRPr="00A3470C" w:rsidRDefault="00690C7B" w:rsidP="00BA5BD0">
            <w:pPr>
              <w:spacing w:before="0" w:after="48"/>
              <w:rPr>
                <w:rFonts w:ascii="Verdana" w:hAnsi="Verdana"/>
                <w:b/>
                <w:smallCaps/>
                <w:sz w:val="20"/>
                <w:lang w:val="fr-CH"/>
              </w:rPr>
            </w:pPr>
          </w:p>
        </w:tc>
        <w:tc>
          <w:tcPr>
            <w:tcW w:w="3227" w:type="dxa"/>
          </w:tcPr>
          <w:p w14:paraId="51A899F4" w14:textId="63C5C96D" w:rsidR="00690C7B" w:rsidRPr="00A3470C" w:rsidRDefault="002C1727" w:rsidP="00BA5BD0">
            <w:pPr>
              <w:spacing w:before="0"/>
              <w:rPr>
                <w:rFonts w:ascii="Verdana" w:hAnsi="Verdana"/>
                <w:b/>
                <w:sz w:val="20"/>
                <w:lang w:val="fr-CH"/>
              </w:rPr>
            </w:pPr>
            <w:r w:rsidRPr="00A3470C">
              <w:rPr>
                <w:rFonts w:ascii="Verdana" w:hAnsi="Verdana"/>
                <w:b/>
                <w:sz w:val="20"/>
                <w:lang w:val="fr-CH"/>
              </w:rPr>
              <w:t xml:space="preserve">Original: </w:t>
            </w:r>
            <w:r w:rsidR="00EE53CB" w:rsidRPr="00A3470C">
              <w:rPr>
                <w:rFonts w:ascii="Verdana" w:hAnsi="Verdana"/>
                <w:b/>
                <w:sz w:val="20"/>
                <w:lang w:val="fr-CH"/>
              </w:rPr>
              <w:t>anglais/espagnol</w:t>
            </w:r>
          </w:p>
        </w:tc>
      </w:tr>
      <w:tr w:rsidR="00690C7B" w:rsidRPr="00A3470C" w14:paraId="0E5C3A6F" w14:textId="77777777" w:rsidTr="00C11970">
        <w:trPr>
          <w:cantSplit/>
        </w:trPr>
        <w:tc>
          <w:tcPr>
            <w:tcW w:w="10031" w:type="dxa"/>
            <w:gridSpan w:val="2"/>
          </w:tcPr>
          <w:p w14:paraId="0F0A0486" w14:textId="77777777" w:rsidR="00690C7B" w:rsidRPr="00A3470C" w:rsidRDefault="00690C7B" w:rsidP="00BA5BD0">
            <w:pPr>
              <w:spacing w:before="0"/>
              <w:rPr>
                <w:rFonts w:ascii="Verdana" w:hAnsi="Verdana"/>
                <w:b/>
                <w:sz w:val="20"/>
                <w:lang w:val="fr-CH"/>
              </w:rPr>
            </w:pPr>
          </w:p>
        </w:tc>
      </w:tr>
      <w:tr w:rsidR="00690C7B" w:rsidRPr="00A3470C" w14:paraId="762DCCCB" w14:textId="77777777" w:rsidTr="0050008E">
        <w:trPr>
          <w:cantSplit/>
        </w:trPr>
        <w:tc>
          <w:tcPr>
            <w:tcW w:w="10031" w:type="dxa"/>
            <w:gridSpan w:val="2"/>
          </w:tcPr>
          <w:p w14:paraId="033A7F2E" w14:textId="77777777" w:rsidR="00690C7B" w:rsidRPr="00A3470C" w:rsidRDefault="00690C7B" w:rsidP="00690C7B">
            <w:pPr>
              <w:pStyle w:val="Source"/>
              <w:rPr>
                <w:lang w:val="fr-CH"/>
              </w:rPr>
            </w:pPr>
            <w:bookmarkStart w:id="0" w:name="dsource" w:colFirst="0" w:colLast="0"/>
            <w:r w:rsidRPr="00A3470C">
              <w:rPr>
                <w:lang w:val="fr-CH"/>
              </w:rPr>
              <w:t>États Membres de la Commission interaméricaine des télécommunications (CITEL)</w:t>
            </w:r>
          </w:p>
        </w:tc>
      </w:tr>
      <w:tr w:rsidR="00690C7B" w:rsidRPr="00A3470C" w14:paraId="366240DF" w14:textId="77777777" w:rsidTr="0050008E">
        <w:trPr>
          <w:cantSplit/>
        </w:trPr>
        <w:tc>
          <w:tcPr>
            <w:tcW w:w="10031" w:type="dxa"/>
            <w:gridSpan w:val="2"/>
          </w:tcPr>
          <w:p w14:paraId="561673B8" w14:textId="6F4FB56F" w:rsidR="00690C7B" w:rsidRPr="00A3470C" w:rsidRDefault="00E30D77" w:rsidP="00690C7B">
            <w:pPr>
              <w:pStyle w:val="Title1"/>
              <w:rPr>
                <w:lang w:val="fr-CH"/>
              </w:rPr>
            </w:pPr>
            <w:bookmarkStart w:id="1" w:name="dtitle1" w:colFirst="0" w:colLast="0"/>
            <w:bookmarkEnd w:id="0"/>
            <w:r w:rsidRPr="00A3470C">
              <w:rPr>
                <w:lang w:val="fr-CH"/>
              </w:rPr>
              <w:t>PROPOSITIONS POUR LES TRAVAUX DE LA CONFÉRENCE</w:t>
            </w:r>
          </w:p>
        </w:tc>
      </w:tr>
      <w:tr w:rsidR="00690C7B" w:rsidRPr="00A3470C" w14:paraId="54112108" w14:textId="77777777" w:rsidTr="0050008E">
        <w:trPr>
          <w:cantSplit/>
        </w:trPr>
        <w:tc>
          <w:tcPr>
            <w:tcW w:w="10031" w:type="dxa"/>
            <w:gridSpan w:val="2"/>
          </w:tcPr>
          <w:p w14:paraId="725F7B7B" w14:textId="77777777" w:rsidR="00690C7B" w:rsidRPr="00A3470C" w:rsidRDefault="00690C7B" w:rsidP="00690C7B">
            <w:pPr>
              <w:pStyle w:val="Title2"/>
              <w:rPr>
                <w:lang w:val="fr-CH"/>
              </w:rPr>
            </w:pPr>
            <w:bookmarkStart w:id="2" w:name="dtitle2" w:colFirst="0" w:colLast="0"/>
            <w:bookmarkEnd w:id="1"/>
          </w:p>
        </w:tc>
      </w:tr>
      <w:tr w:rsidR="00690C7B" w:rsidRPr="00A3470C" w14:paraId="4D42DA62" w14:textId="77777777" w:rsidTr="0050008E">
        <w:trPr>
          <w:cantSplit/>
        </w:trPr>
        <w:tc>
          <w:tcPr>
            <w:tcW w:w="10031" w:type="dxa"/>
            <w:gridSpan w:val="2"/>
          </w:tcPr>
          <w:p w14:paraId="302D19C8" w14:textId="77777777" w:rsidR="00690C7B" w:rsidRPr="00A3470C" w:rsidRDefault="00690C7B" w:rsidP="00690C7B">
            <w:pPr>
              <w:pStyle w:val="Agendaitem"/>
            </w:pPr>
            <w:bookmarkStart w:id="3" w:name="dtitle3" w:colFirst="0" w:colLast="0"/>
            <w:bookmarkEnd w:id="2"/>
            <w:r w:rsidRPr="00A3470C">
              <w:t>Point 9.1(9.1.3) de l'ordre du jour</w:t>
            </w:r>
          </w:p>
        </w:tc>
      </w:tr>
    </w:tbl>
    <w:bookmarkEnd w:id="3"/>
    <w:p w14:paraId="18C0BB71" w14:textId="77777777" w:rsidR="001C0E40" w:rsidRPr="00A3470C" w:rsidRDefault="00F912B4" w:rsidP="008158A1">
      <w:pPr>
        <w:rPr>
          <w:lang w:val="fr-CH"/>
        </w:rPr>
      </w:pPr>
      <w:r w:rsidRPr="00A3470C">
        <w:rPr>
          <w:lang w:val="fr-CH"/>
        </w:rPr>
        <w:t>9</w:t>
      </w:r>
      <w:r w:rsidRPr="00A3470C">
        <w:rPr>
          <w:lang w:val="fr-CH"/>
        </w:rPr>
        <w:tab/>
        <w:t>examiner et approuver le rapport du Directeur du Bureau des radiocommunications, conformément à l'article 7 de la Convention:</w:t>
      </w:r>
    </w:p>
    <w:p w14:paraId="34E3AFB9" w14:textId="77777777" w:rsidR="001C0E40" w:rsidRPr="00A3470C" w:rsidRDefault="00F912B4" w:rsidP="008158A1">
      <w:pPr>
        <w:rPr>
          <w:lang w:val="fr-CH"/>
        </w:rPr>
      </w:pPr>
      <w:r w:rsidRPr="00A3470C">
        <w:rPr>
          <w:lang w:val="fr-CH"/>
        </w:rPr>
        <w:t>9.1</w:t>
      </w:r>
      <w:r w:rsidRPr="00A3470C">
        <w:rPr>
          <w:lang w:val="fr-CH"/>
        </w:rPr>
        <w:tab/>
        <w:t>sur les activités du Secteur des radiocommunications depuis la CMR</w:t>
      </w:r>
      <w:r w:rsidRPr="00A3470C">
        <w:rPr>
          <w:lang w:val="fr-CH"/>
        </w:rPr>
        <w:noBreakHyphen/>
        <w:t>15;</w:t>
      </w:r>
    </w:p>
    <w:p w14:paraId="1DD92599" w14:textId="0616477A" w:rsidR="001C0E40" w:rsidRPr="00A3470C" w:rsidRDefault="00F912B4" w:rsidP="009E6210">
      <w:pPr>
        <w:rPr>
          <w:lang w:val="fr-CH"/>
        </w:rPr>
      </w:pPr>
      <w:r w:rsidRPr="00A3470C">
        <w:rPr>
          <w:rFonts w:cstheme="majorBidi"/>
          <w:color w:val="000000"/>
          <w:szCs w:val="24"/>
          <w:lang w:val="fr-CH" w:eastAsia="zh-CN"/>
        </w:rPr>
        <w:t>9.1 (</w:t>
      </w:r>
      <w:r w:rsidRPr="00A3470C">
        <w:rPr>
          <w:lang w:val="fr-CH" w:eastAsia="zh-CN"/>
        </w:rPr>
        <w:t>9.1.3)</w:t>
      </w:r>
      <w:r w:rsidRPr="00A3470C">
        <w:rPr>
          <w:lang w:val="fr-CH"/>
        </w:rPr>
        <w:tab/>
      </w:r>
      <w:hyperlink w:anchor="RES_157" w:history="1">
        <w:r w:rsidRPr="00A3470C">
          <w:rPr>
            <w:lang w:val="fr-CH"/>
          </w:rPr>
          <w:t>Résolution </w:t>
        </w:r>
        <w:r w:rsidRPr="00A3470C">
          <w:rPr>
            <w:b/>
            <w:bCs/>
            <w:lang w:val="fr-CH"/>
          </w:rPr>
          <w:t>157 (CMR</w:t>
        </w:r>
        <w:r w:rsidRPr="00A3470C">
          <w:rPr>
            <w:b/>
            <w:bCs/>
            <w:lang w:val="fr-CH"/>
          </w:rPr>
          <w:noBreakHyphen/>
          <w:t>15)</w:t>
        </w:r>
      </w:hyperlink>
      <w:r w:rsidRPr="00A3470C">
        <w:rPr>
          <w:lang w:val="fr-CH"/>
        </w:rPr>
        <w:t xml:space="preserve"> – Étude des questions techniques et opérationnelles et des dispositions réglementaires relatives aux nouveaux systèmes à satellites non géostationnaires dans les bandes de fréquences </w:t>
      </w:r>
      <w:r w:rsidRPr="00A3470C">
        <w:rPr>
          <w:szCs w:val="28"/>
          <w:lang w:val="fr-CH"/>
        </w:rPr>
        <w:t>3 700-4 200 MHz, 4 500-4 800 MHz, et 5 925-6 425 MHz et 6 725</w:t>
      </w:r>
      <w:r w:rsidR="00344466" w:rsidRPr="00A3470C">
        <w:rPr>
          <w:szCs w:val="28"/>
          <w:lang w:val="fr-CH"/>
        </w:rPr>
        <w:noBreakHyphen/>
      </w:r>
      <w:r w:rsidRPr="00A3470C">
        <w:rPr>
          <w:szCs w:val="28"/>
          <w:lang w:val="fr-CH"/>
        </w:rPr>
        <w:t xml:space="preserve">7 025 MHz </w:t>
      </w:r>
      <w:r w:rsidRPr="00A3470C">
        <w:rPr>
          <w:lang w:val="fr-CH"/>
        </w:rPr>
        <w:t>attribuées au</w:t>
      </w:r>
      <w:r w:rsidRPr="00A3470C">
        <w:rPr>
          <w:szCs w:val="28"/>
          <w:lang w:val="fr-CH"/>
        </w:rPr>
        <w:t xml:space="preserve"> service</w:t>
      </w:r>
      <w:r w:rsidRPr="00A3470C">
        <w:rPr>
          <w:lang w:val="fr-CH"/>
        </w:rPr>
        <w:t xml:space="preserve"> fixe par satellite</w:t>
      </w:r>
      <w:r w:rsidR="00911DCB" w:rsidRPr="00A3470C">
        <w:rPr>
          <w:lang w:val="fr-CH"/>
        </w:rPr>
        <w:t>.</w:t>
      </w:r>
    </w:p>
    <w:p w14:paraId="2E842CCF" w14:textId="50A4169C" w:rsidR="003A583E" w:rsidRPr="00A3470C" w:rsidRDefault="00D469C9" w:rsidP="0078262B">
      <w:pPr>
        <w:pStyle w:val="Headingb"/>
        <w:rPr>
          <w:lang w:val="fr-CH"/>
        </w:rPr>
      </w:pPr>
      <w:r w:rsidRPr="00A3470C">
        <w:rPr>
          <w:lang w:val="fr-CH"/>
        </w:rPr>
        <w:t>Généralités</w:t>
      </w:r>
    </w:p>
    <w:p w14:paraId="5E8E0AF7" w14:textId="3FFF1D90" w:rsidR="00E30D77" w:rsidRPr="00A3470C" w:rsidRDefault="00D469C9" w:rsidP="0078262B">
      <w:pPr>
        <w:rPr>
          <w:lang w:val="fr-CH"/>
        </w:rPr>
      </w:pPr>
      <w:r w:rsidRPr="00A3470C">
        <w:rPr>
          <w:lang w:val="fr-CH"/>
        </w:rPr>
        <w:t>Dans</w:t>
      </w:r>
      <w:r w:rsidR="00E30D77" w:rsidRPr="00A3470C">
        <w:rPr>
          <w:lang w:val="fr-CH"/>
        </w:rPr>
        <w:t xml:space="preserve"> le rapport du Directeur du Bureau des radiocommunications à la </w:t>
      </w:r>
      <w:r w:rsidRPr="00A3470C">
        <w:rPr>
          <w:lang w:val="fr-CH"/>
        </w:rPr>
        <w:t>CMR-15</w:t>
      </w:r>
      <w:r w:rsidR="00E30D77" w:rsidRPr="00A3470C">
        <w:rPr>
          <w:lang w:val="fr-CH"/>
        </w:rPr>
        <w:t xml:space="preserve">, il </w:t>
      </w:r>
      <w:r w:rsidRPr="00A3470C">
        <w:rPr>
          <w:lang w:val="fr-CH"/>
        </w:rPr>
        <w:t>était</w:t>
      </w:r>
      <w:r w:rsidR="00E30D77" w:rsidRPr="00A3470C">
        <w:rPr>
          <w:lang w:val="fr-CH"/>
        </w:rPr>
        <w:t xml:space="preserve"> reconnu qu'il faudra</w:t>
      </w:r>
      <w:r w:rsidRPr="00A3470C">
        <w:rPr>
          <w:lang w:val="fr-CH"/>
        </w:rPr>
        <w:t>it</w:t>
      </w:r>
      <w:r w:rsidR="00E30D77" w:rsidRPr="00A3470C">
        <w:rPr>
          <w:lang w:val="fr-CH"/>
        </w:rPr>
        <w:t xml:space="preserve"> peut-être «revoir ou confirmer» les hypothèses qui ont conduit </w:t>
      </w:r>
      <w:r w:rsidR="00876CDA" w:rsidRPr="00A3470C">
        <w:rPr>
          <w:lang w:val="fr-CH"/>
        </w:rPr>
        <w:t>à la définition des</w:t>
      </w:r>
      <w:r w:rsidR="00E30D77" w:rsidRPr="00A3470C">
        <w:rPr>
          <w:lang w:val="fr-CH"/>
        </w:rPr>
        <w:t xml:space="preserve"> limites de puissance </w:t>
      </w:r>
      <w:r w:rsidR="00876CDA" w:rsidRPr="00A3470C">
        <w:rPr>
          <w:lang w:val="fr-CH"/>
        </w:rPr>
        <w:t>indiquées dans l</w:t>
      </w:r>
      <w:r w:rsidR="00E30D77" w:rsidRPr="00A3470C">
        <w:rPr>
          <w:lang w:val="fr-CH"/>
        </w:rPr>
        <w:t xml:space="preserve">es Articles </w:t>
      </w:r>
      <w:r w:rsidR="00E30D77" w:rsidRPr="00A3470C">
        <w:rPr>
          <w:b/>
          <w:bCs/>
          <w:lang w:val="fr-CH"/>
        </w:rPr>
        <w:t>21</w:t>
      </w:r>
      <w:r w:rsidR="00E30D77" w:rsidRPr="00A3470C">
        <w:rPr>
          <w:lang w:val="fr-CH"/>
        </w:rPr>
        <w:t xml:space="preserve"> et </w:t>
      </w:r>
      <w:r w:rsidR="00E30D77" w:rsidRPr="00A3470C">
        <w:rPr>
          <w:b/>
          <w:bCs/>
          <w:lang w:val="fr-CH"/>
        </w:rPr>
        <w:t>22</w:t>
      </w:r>
      <w:r w:rsidRPr="00A3470C">
        <w:rPr>
          <w:lang w:val="fr-CH"/>
        </w:rPr>
        <w:t xml:space="preserve"> du RR</w:t>
      </w:r>
      <w:r w:rsidR="00E30D77" w:rsidRPr="00A3470C">
        <w:rPr>
          <w:lang w:val="fr-CH"/>
        </w:rPr>
        <w:t xml:space="preserve">, compte tenu des caractéristiques des systèmes </w:t>
      </w:r>
      <w:r w:rsidRPr="00A3470C">
        <w:rPr>
          <w:lang w:val="fr-CH"/>
        </w:rPr>
        <w:t xml:space="preserve">non OSG </w:t>
      </w:r>
      <w:r w:rsidR="00E30D77" w:rsidRPr="00A3470C">
        <w:rPr>
          <w:lang w:val="fr-CH"/>
        </w:rPr>
        <w:t xml:space="preserve">soumis dernièrement </w:t>
      </w:r>
      <w:r w:rsidRPr="00A3470C">
        <w:rPr>
          <w:lang w:val="fr-CH"/>
        </w:rPr>
        <w:t xml:space="preserve">à l'UIT-R. De plus, </w:t>
      </w:r>
      <w:r w:rsidR="00876CDA" w:rsidRPr="00A3470C">
        <w:rPr>
          <w:lang w:val="fr-CH"/>
        </w:rPr>
        <w:t>eu égard à</w:t>
      </w:r>
      <w:r w:rsidRPr="00A3470C">
        <w:rPr>
          <w:lang w:val="fr-CH"/>
        </w:rPr>
        <w:t xml:space="preserve"> l'intérêt croissant que suscite le déploiement </w:t>
      </w:r>
      <w:r w:rsidR="00E30D77" w:rsidRPr="00A3470C">
        <w:rPr>
          <w:lang w:val="fr-CH"/>
        </w:rPr>
        <w:t xml:space="preserve">des systèmes </w:t>
      </w:r>
      <w:r w:rsidR="0031748A" w:rsidRPr="00A3470C">
        <w:rPr>
          <w:lang w:val="fr-CH"/>
        </w:rPr>
        <w:t xml:space="preserve">non OSG </w:t>
      </w:r>
      <w:r w:rsidR="00E30D77" w:rsidRPr="00A3470C">
        <w:rPr>
          <w:lang w:val="fr-CH"/>
        </w:rPr>
        <w:t xml:space="preserve">du SFS, </w:t>
      </w:r>
      <w:r w:rsidR="005A559A" w:rsidRPr="00A3470C">
        <w:rPr>
          <w:lang w:val="fr-CH"/>
        </w:rPr>
        <w:t xml:space="preserve">il a été noté dans le rapport du Directeur du BR qu'il était nécessaire </w:t>
      </w:r>
      <w:r w:rsidR="00E30D77" w:rsidRPr="00A3470C">
        <w:rPr>
          <w:lang w:val="fr-CH"/>
        </w:rPr>
        <w:t>de faire en sorte que tous les services existants bénéfici</w:t>
      </w:r>
      <w:r w:rsidRPr="00A3470C">
        <w:rPr>
          <w:lang w:val="fr-CH"/>
        </w:rPr>
        <w:t>ent d'une protection suffisante</w:t>
      </w:r>
      <w:r w:rsidR="00E30D77" w:rsidRPr="00A3470C">
        <w:rPr>
          <w:lang w:val="fr-CH"/>
        </w:rPr>
        <w:t>.</w:t>
      </w:r>
    </w:p>
    <w:p w14:paraId="1D47D5AA" w14:textId="24474BC6" w:rsidR="00E30D77" w:rsidRPr="00A3470C" w:rsidRDefault="00BC3F1D" w:rsidP="0078262B">
      <w:pPr>
        <w:rPr>
          <w:lang w:val="fr-CH"/>
        </w:rPr>
      </w:pPr>
      <w:r w:rsidRPr="00A3470C">
        <w:rPr>
          <w:lang w:val="fr-CH"/>
        </w:rPr>
        <w:t xml:space="preserve">Par conséquent, la CMR-15 a adopté la Résolution </w:t>
      </w:r>
      <w:r w:rsidRPr="00A3470C">
        <w:rPr>
          <w:b/>
          <w:bCs/>
          <w:lang w:val="fr-CH"/>
        </w:rPr>
        <w:t>157 (CMR-15)</w:t>
      </w:r>
      <w:r w:rsidR="00E30D77" w:rsidRPr="00A3470C">
        <w:rPr>
          <w:lang w:val="fr-CH"/>
        </w:rPr>
        <w:t xml:space="preserve">, </w:t>
      </w:r>
      <w:r w:rsidRPr="00A3470C">
        <w:rPr>
          <w:lang w:val="fr-CH"/>
        </w:rPr>
        <w:t xml:space="preserve">qui traite de la manière dont des mesures propres à faciliter le déploiement de nouveaux types de systèmes non OSG permettraient de renforcer la capacité, l'efficacité d'utilisation du spectre et les avantages découlant de l'exploitation des systèmes OSG et non OSG dans les bandes de fréquences </w:t>
      </w:r>
      <w:r w:rsidR="00E30D77" w:rsidRPr="00A3470C">
        <w:rPr>
          <w:lang w:val="fr-CH"/>
        </w:rPr>
        <w:t>3 700-4 200 MHz (</w:t>
      </w:r>
      <w:r w:rsidRPr="00A3470C">
        <w:rPr>
          <w:lang w:val="fr-CH"/>
        </w:rPr>
        <w:t>espace vers Terre</w:t>
      </w:r>
      <w:r w:rsidR="00E30D77" w:rsidRPr="00A3470C">
        <w:rPr>
          <w:lang w:val="fr-CH"/>
        </w:rPr>
        <w:t>), 4 500-4 800 MHz (</w:t>
      </w:r>
      <w:r w:rsidRPr="00A3470C">
        <w:rPr>
          <w:lang w:val="fr-CH"/>
        </w:rPr>
        <w:t>espace vers Terre</w:t>
      </w:r>
      <w:r w:rsidR="00E30D77" w:rsidRPr="00A3470C">
        <w:rPr>
          <w:lang w:val="fr-CH"/>
        </w:rPr>
        <w:t>), 5 925-6 425 MHz (</w:t>
      </w:r>
      <w:r w:rsidRPr="00A3470C">
        <w:rPr>
          <w:lang w:val="fr-CH"/>
        </w:rPr>
        <w:t>Terre vers espace) et</w:t>
      </w:r>
      <w:r w:rsidR="00E30D77" w:rsidRPr="00A3470C">
        <w:rPr>
          <w:lang w:val="fr-CH"/>
        </w:rPr>
        <w:t xml:space="preserve"> 6 725-7 025 MHz (</w:t>
      </w:r>
      <w:r w:rsidRPr="00A3470C">
        <w:rPr>
          <w:lang w:val="fr-CH"/>
        </w:rPr>
        <w:t>Terre vers espace</w:t>
      </w:r>
      <w:r w:rsidR="00E30D77" w:rsidRPr="00A3470C">
        <w:rPr>
          <w:lang w:val="fr-CH"/>
        </w:rPr>
        <w:t>).</w:t>
      </w:r>
    </w:p>
    <w:p w14:paraId="09A6E237" w14:textId="0F001709" w:rsidR="00E30D77" w:rsidRPr="00A3470C" w:rsidRDefault="00D72943" w:rsidP="0078262B">
      <w:pPr>
        <w:rPr>
          <w:lang w:val="fr-CH"/>
        </w:rPr>
      </w:pPr>
      <w:r w:rsidRPr="00A3470C">
        <w:rPr>
          <w:lang w:val="fr-CH"/>
        </w:rPr>
        <w:t xml:space="preserve">Actuellement, </w:t>
      </w:r>
      <w:r w:rsidR="006A3F25" w:rsidRPr="00A3470C">
        <w:rPr>
          <w:lang w:val="fr-CH"/>
        </w:rPr>
        <w:t xml:space="preserve">on compte </w:t>
      </w:r>
      <w:r w:rsidRPr="00A3470C">
        <w:rPr>
          <w:lang w:val="fr-CH"/>
        </w:rPr>
        <w:t>environ 170 satellites OSG fonctionn</w:t>
      </w:r>
      <w:r w:rsidR="006A3F25" w:rsidRPr="00A3470C">
        <w:rPr>
          <w:lang w:val="fr-CH"/>
        </w:rPr>
        <w:t>a</w:t>
      </w:r>
      <w:r w:rsidRPr="00A3470C">
        <w:rPr>
          <w:lang w:val="fr-CH"/>
        </w:rPr>
        <w:t>nt dans la bande 3 700-4 200 </w:t>
      </w:r>
      <w:r w:rsidR="00E30D77" w:rsidRPr="00A3470C">
        <w:rPr>
          <w:lang w:val="fr-CH"/>
        </w:rPr>
        <w:t xml:space="preserve">MHz </w:t>
      </w:r>
      <w:r w:rsidR="006A3F25" w:rsidRPr="00A3470C">
        <w:rPr>
          <w:lang w:val="fr-CH"/>
        </w:rPr>
        <w:t xml:space="preserve">et 229 allotissements </w:t>
      </w:r>
      <w:r w:rsidR="00212CF2" w:rsidRPr="00A3470C">
        <w:rPr>
          <w:lang w:val="fr-CH"/>
        </w:rPr>
        <w:t>dans la bande 4 500-4 800 </w:t>
      </w:r>
      <w:r w:rsidR="00E30D77" w:rsidRPr="00A3470C">
        <w:rPr>
          <w:lang w:val="fr-CH"/>
        </w:rPr>
        <w:t xml:space="preserve">MHz, </w:t>
      </w:r>
      <w:r w:rsidR="006A3F25" w:rsidRPr="00A3470C">
        <w:rPr>
          <w:lang w:val="fr-CH"/>
        </w:rPr>
        <w:t>ces deux bandes étant</w:t>
      </w:r>
      <w:r w:rsidR="00212CF2" w:rsidRPr="00A3470C">
        <w:rPr>
          <w:lang w:val="fr-CH"/>
        </w:rPr>
        <w:t xml:space="preserve"> attribuées à l'échelle mondiale pour fournir des liaisons descendantes du SFS en bande C</w:t>
      </w:r>
      <w:r w:rsidR="00BB5155" w:rsidRPr="00A3470C">
        <w:rPr>
          <w:lang w:val="fr-CH"/>
        </w:rPr>
        <w:t xml:space="preserve">. Un </w:t>
      </w:r>
      <w:r w:rsidR="00242B45" w:rsidRPr="00A3470C">
        <w:rPr>
          <w:lang w:val="fr-CH"/>
        </w:rPr>
        <w:t xml:space="preserve">grand nombre de services à caractère très sensible et de services publics utilisent la bande C du SFS (télémesure par satellite, secours en cas de catastrophe, distribution de données météorologiques publiques et applications </w:t>
      </w:r>
      <w:r w:rsidR="00242B45" w:rsidRPr="00A3470C">
        <w:rPr>
          <w:lang w:val="fr-CH"/>
        </w:rPr>
        <w:lastRenderedPageBreak/>
        <w:t>aéronautiques) dans diverses régions</w:t>
      </w:r>
      <w:r w:rsidR="00E30D77" w:rsidRPr="00A3470C">
        <w:rPr>
          <w:lang w:val="fr-CH"/>
        </w:rPr>
        <w:t xml:space="preserve">. </w:t>
      </w:r>
      <w:r w:rsidR="00BB5155" w:rsidRPr="00A3470C">
        <w:rPr>
          <w:lang w:val="fr-CH"/>
        </w:rPr>
        <w:t>Des systèmes non OSG de prochaine génération sont mis au point et peuvent offrir des communications à forte capacité</w:t>
      </w:r>
      <w:r w:rsidR="00E30D77" w:rsidRPr="00A3470C">
        <w:rPr>
          <w:lang w:val="fr-CH"/>
        </w:rPr>
        <w:t xml:space="preserve"> </w:t>
      </w:r>
      <w:r w:rsidR="00BB5155" w:rsidRPr="00A3470C">
        <w:rPr>
          <w:lang w:val="fr-CH"/>
        </w:rPr>
        <w:t>présentant un faible temps de latence</w:t>
      </w:r>
      <w:r w:rsidR="00E30D77" w:rsidRPr="00A3470C">
        <w:rPr>
          <w:lang w:val="fr-CH"/>
        </w:rPr>
        <w:t xml:space="preserve"> </w:t>
      </w:r>
      <w:r w:rsidR="00FA3307" w:rsidRPr="00A3470C">
        <w:rPr>
          <w:lang w:val="fr-CH"/>
        </w:rPr>
        <w:t>aux utilisateurs finals du monde entier</w:t>
      </w:r>
      <w:r w:rsidR="00BB5155" w:rsidRPr="00A3470C">
        <w:rPr>
          <w:lang w:val="fr-CH"/>
        </w:rPr>
        <w:t xml:space="preserve">, </w:t>
      </w:r>
      <w:r w:rsidR="00BB7669" w:rsidRPr="00A3470C">
        <w:rPr>
          <w:lang w:val="fr-CH"/>
        </w:rPr>
        <w:t>permettant ainsi aux populations qui vivent et travaillent dans des zones rurales ou isolées de bénéficier du même niveau de connectivité que celles vivant dans des zones urbaines plus densément peuplées</w:t>
      </w:r>
      <w:r w:rsidR="00763527" w:rsidRPr="00A3470C">
        <w:rPr>
          <w:lang w:val="fr-CH"/>
        </w:rPr>
        <w:t>.</w:t>
      </w:r>
    </w:p>
    <w:p w14:paraId="624120F5" w14:textId="3A06984F" w:rsidR="00E30D77" w:rsidRPr="00A3470C" w:rsidRDefault="00700153" w:rsidP="0078262B">
      <w:pPr>
        <w:rPr>
          <w:lang w:val="fr-CH"/>
        </w:rPr>
      </w:pPr>
      <w:r w:rsidRPr="00A3470C">
        <w:rPr>
          <w:lang w:val="fr-CH"/>
        </w:rPr>
        <w:t>La Ré</w:t>
      </w:r>
      <w:r w:rsidR="00E30D77" w:rsidRPr="00A3470C">
        <w:rPr>
          <w:lang w:val="fr-CH"/>
        </w:rPr>
        <w:t xml:space="preserve">solution </w:t>
      </w:r>
      <w:r w:rsidR="00E30D77" w:rsidRPr="00A3470C">
        <w:rPr>
          <w:b/>
          <w:bCs/>
          <w:lang w:val="fr-CH"/>
        </w:rPr>
        <w:t>157 (</w:t>
      </w:r>
      <w:r w:rsidRPr="00A3470C">
        <w:rPr>
          <w:b/>
          <w:bCs/>
          <w:lang w:val="fr-CH"/>
        </w:rPr>
        <w:t>CMR</w:t>
      </w:r>
      <w:r w:rsidR="00E30D77" w:rsidRPr="00A3470C">
        <w:rPr>
          <w:b/>
          <w:bCs/>
          <w:lang w:val="fr-CH"/>
        </w:rPr>
        <w:t>-15)</w:t>
      </w:r>
      <w:r w:rsidR="00E30D77" w:rsidRPr="00A3470C">
        <w:rPr>
          <w:lang w:val="fr-CH"/>
        </w:rPr>
        <w:t xml:space="preserve"> </w:t>
      </w:r>
      <w:r w:rsidRPr="00A3470C">
        <w:rPr>
          <w:lang w:val="fr-CH"/>
        </w:rPr>
        <w:t xml:space="preserve">contient également une liste des questions techniques et opérationnelles </w:t>
      </w:r>
      <w:r w:rsidR="00E30D77" w:rsidRPr="00A3470C">
        <w:rPr>
          <w:lang w:val="fr-CH"/>
        </w:rPr>
        <w:t>(</w:t>
      </w:r>
      <w:r w:rsidR="008E761A" w:rsidRPr="00A3470C">
        <w:rPr>
          <w:lang w:val="fr-CH"/>
        </w:rPr>
        <w:t xml:space="preserve">concernant </w:t>
      </w:r>
      <w:r w:rsidRPr="00A3470C">
        <w:rPr>
          <w:lang w:val="fr-CH"/>
        </w:rPr>
        <w:t xml:space="preserve">par exemple </w:t>
      </w:r>
      <w:r w:rsidR="008E761A" w:rsidRPr="00A3470C">
        <w:rPr>
          <w:lang w:val="fr-CH"/>
        </w:rPr>
        <w:t>l</w:t>
      </w:r>
      <w:r w:rsidR="00EF7CC4" w:rsidRPr="00A3470C">
        <w:rPr>
          <w:lang w:val="fr-CH"/>
        </w:rPr>
        <w:t xml:space="preserve">es </w:t>
      </w:r>
      <w:r w:rsidR="0063686B" w:rsidRPr="00A3470C">
        <w:rPr>
          <w:lang w:val="fr-CH"/>
        </w:rPr>
        <w:t>A</w:t>
      </w:r>
      <w:r w:rsidRPr="00A3470C">
        <w:rPr>
          <w:lang w:val="fr-CH"/>
        </w:rPr>
        <w:t xml:space="preserve">rticles </w:t>
      </w:r>
      <w:r w:rsidRPr="00A3470C">
        <w:rPr>
          <w:b/>
          <w:bCs/>
          <w:lang w:val="fr-CH"/>
        </w:rPr>
        <w:t>21</w:t>
      </w:r>
      <w:r w:rsidRPr="00A3470C">
        <w:rPr>
          <w:lang w:val="fr-CH"/>
        </w:rPr>
        <w:t xml:space="preserve"> et </w:t>
      </w:r>
      <w:r w:rsidRPr="00A3470C">
        <w:rPr>
          <w:b/>
          <w:bCs/>
          <w:lang w:val="fr-CH"/>
        </w:rPr>
        <w:t>22</w:t>
      </w:r>
      <w:r w:rsidRPr="00A3470C">
        <w:rPr>
          <w:lang w:val="fr-CH"/>
        </w:rPr>
        <w:t xml:space="preserve"> du</w:t>
      </w:r>
      <w:r w:rsidR="00E30D77" w:rsidRPr="00A3470C">
        <w:rPr>
          <w:lang w:val="fr-CH"/>
        </w:rPr>
        <w:t xml:space="preserve"> RR) </w:t>
      </w:r>
      <w:r w:rsidRPr="00A3470C">
        <w:rPr>
          <w:lang w:val="fr-CH"/>
        </w:rPr>
        <w:t>à étudier pour les bandes identifiées ci-dessus</w:t>
      </w:r>
      <w:r w:rsidR="00E30D77" w:rsidRPr="00A3470C">
        <w:rPr>
          <w:lang w:val="fr-CH"/>
        </w:rPr>
        <w:t xml:space="preserve">; </w:t>
      </w:r>
      <w:r w:rsidR="00607FD9" w:rsidRPr="00A3470C">
        <w:rPr>
          <w:lang w:val="fr-CH"/>
        </w:rPr>
        <w:t xml:space="preserve">aux termes de cette Résolution, il est demandé d'élaborer de nouvelles dispositions réglementaires pour protéger les services de Terre dans la bande </w:t>
      </w:r>
      <w:r w:rsidR="00E30D77" w:rsidRPr="00A3470C">
        <w:rPr>
          <w:lang w:val="fr-CH"/>
        </w:rPr>
        <w:t xml:space="preserve">4 500-4 800 MHz </w:t>
      </w:r>
      <w:r w:rsidR="00607FD9" w:rsidRPr="00A3470C">
        <w:rPr>
          <w:lang w:val="fr-CH"/>
        </w:rPr>
        <w:t xml:space="preserve">et les stations de réception de liaisons de connexion du SMS non OSG dans la bande </w:t>
      </w:r>
      <w:r w:rsidR="00763527" w:rsidRPr="00A3470C">
        <w:rPr>
          <w:lang w:val="fr-CH"/>
        </w:rPr>
        <w:t>6</w:t>
      </w:r>
      <w:r w:rsidR="00344466" w:rsidRPr="00A3470C">
        <w:rPr>
          <w:lang w:val="fr-CH"/>
        </w:rPr>
        <w:t> </w:t>
      </w:r>
      <w:r w:rsidR="00763527" w:rsidRPr="00A3470C">
        <w:rPr>
          <w:lang w:val="fr-CH"/>
        </w:rPr>
        <w:t>700</w:t>
      </w:r>
      <w:r w:rsidR="00344466" w:rsidRPr="00A3470C">
        <w:rPr>
          <w:lang w:val="fr-CH"/>
        </w:rPr>
        <w:noBreakHyphen/>
      </w:r>
      <w:r w:rsidR="00763527" w:rsidRPr="00A3470C">
        <w:rPr>
          <w:lang w:val="fr-CH"/>
        </w:rPr>
        <w:t>7</w:t>
      </w:r>
      <w:r w:rsidR="00344466" w:rsidRPr="00A3470C">
        <w:rPr>
          <w:lang w:val="fr-CH"/>
        </w:rPr>
        <w:t> </w:t>
      </w:r>
      <w:r w:rsidR="00763527" w:rsidRPr="00A3470C">
        <w:rPr>
          <w:lang w:val="fr-CH"/>
        </w:rPr>
        <w:t>075</w:t>
      </w:r>
      <w:r w:rsidR="00344466" w:rsidRPr="00A3470C">
        <w:rPr>
          <w:lang w:val="fr-CH"/>
        </w:rPr>
        <w:t> </w:t>
      </w:r>
      <w:r w:rsidR="00763527" w:rsidRPr="00A3470C">
        <w:rPr>
          <w:lang w:val="fr-CH"/>
        </w:rPr>
        <w:t>MHz,</w:t>
      </w:r>
      <w:r w:rsidR="00E30D77" w:rsidRPr="00A3470C">
        <w:rPr>
          <w:lang w:val="fr-CH"/>
        </w:rPr>
        <w:t xml:space="preserve"> </w:t>
      </w:r>
      <w:r w:rsidR="00607FD9" w:rsidRPr="00A3470C">
        <w:rPr>
          <w:lang w:val="fr-CH"/>
        </w:rPr>
        <w:t xml:space="preserve">et de clarifier certaines dispositions réglementaires existantes </w:t>
      </w:r>
      <w:r w:rsidR="00E30D77" w:rsidRPr="00A3470C">
        <w:rPr>
          <w:lang w:val="fr-CH"/>
        </w:rPr>
        <w:t>(</w:t>
      </w:r>
      <w:r w:rsidR="00607FD9" w:rsidRPr="00A3470C">
        <w:rPr>
          <w:lang w:val="fr-CH"/>
        </w:rPr>
        <w:t xml:space="preserve">par exemple les numéros </w:t>
      </w:r>
      <w:r w:rsidR="00E30D77" w:rsidRPr="00A3470C">
        <w:rPr>
          <w:b/>
          <w:bCs/>
          <w:lang w:val="fr-CH"/>
        </w:rPr>
        <w:t>5.440A</w:t>
      </w:r>
      <w:r w:rsidR="00E30D77" w:rsidRPr="00A3470C">
        <w:rPr>
          <w:lang w:val="fr-CH"/>
        </w:rPr>
        <w:t xml:space="preserve"> </w:t>
      </w:r>
      <w:r w:rsidR="00607FD9" w:rsidRPr="00A3470C">
        <w:rPr>
          <w:lang w:val="fr-CH"/>
        </w:rPr>
        <w:t>et</w:t>
      </w:r>
      <w:r w:rsidR="00E30D77" w:rsidRPr="00A3470C">
        <w:rPr>
          <w:lang w:val="fr-CH"/>
        </w:rPr>
        <w:t xml:space="preserve"> </w:t>
      </w:r>
      <w:r w:rsidR="00E30D77" w:rsidRPr="00A3470C">
        <w:rPr>
          <w:b/>
          <w:bCs/>
          <w:lang w:val="fr-CH"/>
        </w:rPr>
        <w:t>5.457C</w:t>
      </w:r>
      <w:r w:rsidR="00607FD9" w:rsidRPr="00A3470C">
        <w:rPr>
          <w:lang w:val="fr-CH"/>
        </w:rPr>
        <w:t xml:space="preserve"> du RR</w:t>
      </w:r>
      <w:r w:rsidR="00E30D77" w:rsidRPr="00A3470C">
        <w:rPr>
          <w:lang w:val="fr-CH"/>
        </w:rPr>
        <w:t>).</w:t>
      </w:r>
    </w:p>
    <w:p w14:paraId="779A540E" w14:textId="5B9DC195" w:rsidR="00E30D77" w:rsidRPr="00A3470C" w:rsidRDefault="00607FD9" w:rsidP="0078262B">
      <w:pPr>
        <w:rPr>
          <w:lang w:val="fr-CH"/>
        </w:rPr>
      </w:pPr>
      <w:r w:rsidRPr="00A3470C">
        <w:rPr>
          <w:lang w:val="fr-CH"/>
        </w:rPr>
        <w:t xml:space="preserve">Les administrations des pays de la </w:t>
      </w:r>
      <w:r w:rsidR="00E30D77" w:rsidRPr="00A3470C">
        <w:rPr>
          <w:lang w:val="fr-CH"/>
        </w:rPr>
        <w:t xml:space="preserve">CITEL </w:t>
      </w:r>
      <w:r w:rsidRPr="00A3470C">
        <w:rPr>
          <w:lang w:val="fr-CH"/>
        </w:rPr>
        <w:t>ont appuyé les études menées au titre de la</w:t>
      </w:r>
      <w:r w:rsidR="00E30D77" w:rsidRPr="00A3470C">
        <w:rPr>
          <w:lang w:val="fr-CH"/>
        </w:rPr>
        <w:t xml:space="preserve"> </w:t>
      </w:r>
      <w:r w:rsidRPr="00A3470C">
        <w:rPr>
          <w:lang w:val="fr-CH"/>
        </w:rPr>
        <w:t>Résolution</w:t>
      </w:r>
      <w:r w:rsidR="00344466" w:rsidRPr="00A3470C">
        <w:rPr>
          <w:lang w:val="fr-CH"/>
        </w:rPr>
        <w:t> </w:t>
      </w:r>
      <w:r w:rsidR="00E30D77" w:rsidRPr="00A3470C">
        <w:rPr>
          <w:b/>
          <w:bCs/>
          <w:lang w:val="fr-CH"/>
        </w:rPr>
        <w:t>157 (</w:t>
      </w:r>
      <w:r w:rsidRPr="00A3470C">
        <w:rPr>
          <w:b/>
          <w:bCs/>
          <w:lang w:val="fr-CH"/>
        </w:rPr>
        <w:t>CMR</w:t>
      </w:r>
      <w:r w:rsidR="00E30D77" w:rsidRPr="00A3470C">
        <w:rPr>
          <w:b/>
          <w:bCs/>
          <w:lang w:val="fr-CH"/>
        </w:rPr>
        <w:t>-15)</w:t>
      </w:r>
      <w:r w:rsidR="00E30D77" w:rsidRPr="00A3470C">
        <w:rPr>
          <w:lang w:val="fr-CH"/>
        </w:rPr>
        <w:t xml:space="preserve"> </w:t>
      </w:r>
      <w:r w:rsidR="008E761A" w:rsidRPr="00A3470C">
        <w:rPr>
          <w:lang w:val="fr-CH"/>
        </w:rPr>
        <w:t>concernant</w:t>
      </w:r>
      <w:r w:rsidRPr="00A3470C">
        <w:rPr>
          <w:lang w:val="fr-CH"/>
        </w:rPr>
        <w:t xml:space="preserve"> les nouveaux systèmes à satellites non OSG du SFS</w:t>
      </w:r>
      <w:r w:rsidR="00E30D77" w:rsidRPr="00A3470C">
        <w:rPr>
          <w:lang w:val="fr-CH"/>
        </w:rPr>
        <w:t xml:space="preserve">. </w:t>
      </w:r>
      <w:r w:rsidRPr="00A3470C">
        <w:rPr>
          <w:lang w:val="fr-CH"/>
        </w:rPr>
        <w:t>Selon la CITEL, la modification de l'</w:t>
      </w:r>
      <w:r w:rsidR="0063686B" w:rsidRPr="00A3470C">
        <w:rPr>
          <w:lang w:val="fr-CH"/>
        </w:rPr>
        <w:t>A</w:t>
      </w:r>
      <w:r w:rsidRPr="00A3470C">
        <w:rPr>
          <w:lang w:val="fr-CH"/>
        </w:rPr>
        <w:t xml:space="preserve">rticle </w:t>
      </w:r>
      <w:r w:rsidRPr="00A3470C">
        <w:rPr>
          <w:b/>
          <w:bCs/>
          <w:lang w:val="fr-CH"/>
        </w:rPr>
        <w:t>22</w:t>
      </w:r>
      <w:r w:rsidRPr="00A3470C">
        <w:rPr>
          <w:lang w:val="fr-CH"/>
        </w:rPr>
        <w:t xml:space="preserve"> du RR visant à inclure des limites </w:t>
      </w:r>
      <w:r w:rsidR="008E761A" w:rsidRPr="00A3470C">
        <w:rPr>
          <w:lang w:val="fr-CH"/>
        </w:rPr>
        <w:t>d'epfd</w:t>
      </w:r>
      <w:r w:rsidRPr="00A3470C">
        <w:rPr>
          <w:lang w:val="fr-CH"/>
        </w:rPr>
        <w:t xml:space="preserve"> pour les systèmes non OSG du SFS dans les bandes </w:t>
      </w:r>
      <w:r w:rsidR="00E30D77" w:rsidRPr="00A3470C">
        <w:rPr>
          <w:lang w:val="fr-CH"/>
        </w:rPr>
        <w:t>4 500-4 800 MHz (</w:t>
      </w:r>
      <w:r w:rsidRPr="00A3470C">
        <w:rPr>
          <w:lang w:val="fr-CH"/>
        </w:rPr>
        <w:t>espace vers Terre</w:t>
      </w:r>
      <w:r w:rsidR="00E30D77" w:rsidRPr="00A3470C">
        <w:rPr>
          <w:lang w:val="fr-CH"/>
        </w:rPr>
        <w:t xml:space="preserve">) </w:t>
      </w:r>
      <w:r w:rsidRPr="00A3470C">
        <w:rPr>
          <w:lang w:val="fr-CH"/>
        </w:rPr>
        <w:t>et</w:t>
      </w:r>
      <w:r w:rsidR="00E30D77" w:rsidRPr="00A3470C">
        <w:rPr>
          <w:lang w:val="fr-CH"/>
        </w:rPr>
        <w:t xml:space="preserve"> 6 725-7 025 MHz (</w:t>
      </w:r>
      <w:r w:rsidRPr="00A3470C">
        <w:rPr>
          <w:lang w:val="fr-CH"/>
        </w:rPr>
        <w:t>Terre vers espace</w:t>
      </w:r>
      <w:r w:rsidR="00E30D77" w:rsidRPr="00A3470C">
        <w:rPr>
          <w:lang w:val="fr-CH"/>
        </w:rPr>
        <w:t xml:space="preserve">) </w:t>
      </w:r>
      <w:r w:rsidRPr="00A3470C">
        <w:rPr>
          <w:lang w:val="fr-CH"/>
        </w:rPr>
        <w:t>pour protéger les allotissements</w:t>
      </w:r>
      <w:r w:rsidR="006A3F25" w:rsidRPr="00A3470C">
        <w:rPr>
          <w:lang w:val="fr-CH"/>
        </w:rPr>
        <w:t xml:space="preserve"> </w:t>
      </w:r>
      <w:r w:rsidRPr="00A3470C">
        <w:rPr>
          <w:lang w:val="fr-CH"/>
        </w:rPr>
        <w:t>du SFS</w:t>
      </w:r>
      <w:r w:rsidR="006A3F25" w:rsidRPr="00A3470C">
        <w:rPr>
          <w:lang w:val="fr-CH"/>
        </w:rPr>
        <w:t xml:space="preserve"> OSG figurant</w:t>
      </w:r>
      <w:r w:rsidRPr="00A3470C">
        <w:rPr>
          <w:lang w:val="fr-CH"/>
        </w:rPr>
        <w:t xml:space="preserve"> dans le Plan et </w:t>
      </w:r>
      <w:r w:rsidR="008E761A" w:rsidRPr="00A3470C">
        <w:rPr>
          <w:lang w:val="fr-CH"/>
        </w:rPr>
        <w:t>l</w:t>
      </w:r>
      <w:r w:rsidRPr="00A3470C">
        <w:rPr>
          <w:lang w:val="fr-CH"/>
        </w:rPr>
        <w:t xml:space="preserve">es </w:t>
      </w:r>
      <w:r w:rsidR="00E30D77" w:rsidRPr="00A3470C">
        <w:rPr>
          <w:lang w:val="fr-CH"/>
        </w:rPr>
        <w:t>assign</w:t>
      </w:r>
      <w:r w:rsidR="00906070" w:rsidRPr="00A3470C">
        <w:rPr>
          <w:lang w:val="fr-CH"/>
        </w:rPr>
        <w:t xml:space="preserve">ations </w:t>
      </w:r>
      <w:r w:rsidR="006A3F25" w:rsidRPr="00A3470C">
        <w:rPr>
          <w:lang w:val="fr-CH"/>
        </w:rPr>
        <w:t>figurant</w:t>
      </w:r>
      <w:r w:rsidR="008E761A" w:rsidRPr="00A3470C">
        <w:rPr>
          <w:lang w:val="fr-CH"/>
        </w:rPr>
        <w:t xml:space="preserve"> </w:t>
      </w:r>
      <w:r w:rsidR="00906070" w:rsidRPr="00A3470C">
        <w:rPr>
          <w:lang w:val="fr-CH"/>
        </w:rPr>
        <w:t>dans la Liste</w:t>
      </w:r>
      <w:r w:rsidR="009B117D" w:rsidRPr="00A3470C">
        <w:rPr>
          <w:lang w:val="fr-CH"/>
        </w:rPr>
        <w:t xml:space="preserve"> de l'Appendice</w:t>
      </w:r>
      <w:r w:rsidR="00E30D77" w:rsidRPr="00A3470C">
        <w:rPr>
          <w:lang w:val="fr-CH"/>
        </w:rPr>
        <w:t xml:space="preserve"> </w:t>
      </w:r>
      <w:r w:rsidR="00E30D77" w:rsidRPr="00A3470C">
        <w:rPr>
          <w:b/>
          <w:bCs/>
          <w:lang w:val="fr-CH"/>
        </w:rPr>
        <w:t>30B</w:t>
      </w:r>
      <w:r w:rsidR="00E30D77" w:rsidRPr="00A3470C">
        <w:rPr>
          <w:lang w:val="fr-CH"/>
        </w:rPr>
        <w:t xml:space="preserve"> </w:t>
      </w:r>
      <w:r w:rsidR="009B117D" w:rsidRPr="00A3470C">
        <w:rPr>
          <w:lang w:val="fr-CH"/>
        </w:rPr>
        <w:t xml:space="preserve">du RR ne peut être envisagée </w:t>
      </w:r>
      <w:r w:rsidR="00763527" w:rsidRPr="00A3470C">
        <w:rPr>
          <w:lang w:val="fr-CH"/>
        </w:rPr>
        <w:t>qu'en modifiant conjointement</w:t>
      </w:r>
      <w:r w:rsidR="00E30D77" w:rsidRPr="00A3470C">
        <w:rPr>
          <w:lang w:val="fr-CH"/>
        </w:rPr>
        <w:t xml:space="preserve"> </w:t>
      </w:r>
      <w:r w:rsidR="0063686B" w:rsidRPr="00A3470C">
        <w:rPr>
          <w:lang w:val="fr-CH"/>
        </w:rPr>
        <w:t>l'A</w:t>
      </w:r>
      <w:r w:rsidR="009B117D" w:rsidRPr="00A3470C">
        <w:rPr>
          <w:lang w:val="fr-CH"/>
        </w:rPr>
        <w:t xml:space="preserve">rticle </w:t>
      </w:r>
      <w:r w:rsidR="009B117D" w:rsidRPr="00A3470C">
        <w:rPr>
          <w:b/>
          <w:bCs/>
          <w:lang w:val="fr-CH"/>
        </w:rPr>
        <w:t>5</w:t>
      </w:r>
      <w:r w:rsidR="009B117D" w:rsidRPr="00A3470C">
        <w:rPr>
          <w:lang w:val="fr-CH"/>
        </w:rPr>
        <w:t xml:space="preserve"> du RR</w:t>
      </w:r>
      <w:r w:rsidR="00E30D77" w:rsidRPr="00A3470C">
        <w:rPr>
          <w:lang w:val="fr-CH"/>
        </w:rPr>
        <w:t xml:space="preserve">, </w:t>
      </w:r>
      <w:r w:rsidR="008E761A" w:rsidRPr="00A3470C">
        <w:rPr>
          <w:lang w:val="fr-CH"/>
        </w:rPr>
        <w:t>y compris</w:t>
      </w:r>
      <w:r w:rsidR="009B117D" w:rsidRPr="00A3470C">
        <w:rPr>
          <w:lang w:val="fr-CH"/>
        </w:rPr>
        <w:t xml:space="preserve"> </w:t>
      </w:r>
      <w:r w:rsidR="00763527" w:rsidRPr="00A3470C">
        <w:rPr>
          <w:lang w:val="fr-CH"/>
        </w:rPr>
        <w:t>le</w:t>
      </w:r>
      <w:r w:rsidR="009B117D" w:rsidRPr="00A3470C">
        <w:rPr>
          <w:lang w:val="fr-CH"/>
        </w:rPr>
        <w:t xml:space="preserve"> numéro </w:t>
      </w:r>
      <w:r w:rsidR="00E30D77" w:rsidRPr="00A3470C">
        <w:rPr>
          <w:b/>
          <w:bCs/>
          <w:lang w:val="fr-CH"/>
        </w:rPr>
        <w:t>5.441</w:t>
      </w:r>
      <w:r w:rsidR="00E30D77" w:rsidRPr="00A3470C">
        <w:rPr>
          <w:lang w:val="fr-CH"/>
        </w:rPr>
        <w:t xml:space="preserve"> </w:t>
      </w:r>
      <w:r w:rsidR="009B117D" w:rsidRPr="00A3470C">
        <w:rPr>
          <w:lang w:val="fr-CH"/>
        </w:rPr>
        <w:t>du RR, pour autoriser l'utilisation de ces bandes par des systèmes non OSG du SFS</w:t>
      </w:r>
      <w:r w:rsidR="00E30D77" w:rsidRPr="00A3470C">
        <w:rPr>
          <w:lang w:val="fr-CH"/>
        </w:rPr>
        <w:t xml:space="preserve">. </w:t>
      </w:r>
      <w:r w:rsidR="009B117D" w:rsidRPr="00A3470C">
        <w:rPr>
          <w:lang w:val="fr-CH"/>
        </w:rPr>
        <w:t>Ce renvoi précise</w:t>
      </w:r>
      <w:r w:rsidR="00AA5A49" w:rsidRPr="00A3470C">
        <w:rPr>
          <w:lang w:val="fr-CH"/>
        </w:rPr>
        <w:t xml:space="preserve"> que l'utilisation d</w:t>
      </w:r>
      <w:r w:rsidR="009B117D" w:rsidRPr="00A3470C">
        <w:rPr>
          <w:lang w:val="fr-CH"/>
        </w:rPr>
        <w:t xml:space="preserve">es bandes par le SFS doit être conforme à l'Appendice </w:t>
      </w:r>
      <w:r w:rsidR="009B117D" w:rsidRPr="00A3470C">
        <w:rPr>
          <w:b/>
          <w:bCs/>
          <w:lang w:val="fr-CH"/>
        </w:rPr>
        <w:t>30B</w:t>
      </w:r>
      <w:r w:rsidR="009B117D" w:rsidRPr="00A3470C">
        <w:rPr>
          <w:lang w:val="fr-CH"/>
        </w:rPr>
        <w:t xml:space="preserve"> du RR</w:t>
      </w:r>
      <w:r w:rsidR="00F8213E" w:rsidRPr="00A3470C">
        <w:rPr>
          <w:lang w:val="fr-CH"/>
        </w:rPr>
        <w:t xml:space="preserve">, qui </w:t>
      </w:r>
      <w:r w:rsidR="00AA5A49" w:rsidRPr="00A3470C">
        <w:rPr>
          <w:lang w:val="fr-CH"/>
        </w:rPr>
        <w:t>se limite</w:t>
      </w:r>
      <w:r w:rsidR="009B117D" w:rsidRPr="00A3470C">
        <w:rPr>
          <w:lang w:val="fr-CH"/>
        </w:rPr>
        <w:t xml:space="preserve"> aux satellites géostationnaires du service fixe par satellite</w:t>
      </w:r>
      <w:r w:rsidR="00AA5A49" w:rsidRPr="00A3470C">
        <w:rPr>
          <w:lang w:val="fr-CH"/>
        </w:rPr>
        <w:t xml:space="preserve">. Toutefois, </w:t>
      </w:r>
      <w:r w:rsidR="009B117D" w:rsidRPr="00A3470C">
        <w:rPr>
          <w:lang w:val="fr-CH"/>
        </w:rPr>
        <w:t xml:space="preserve">dans les bandes de fréquences </w:t>
      </w:r>
      <w:r w:rsidR="00E30D77" w:rsidRPr="00A3470C">
        <w:rPr>
          <w:lang w:val="fr-CH"/>
        </w:rPr>
        <w:t xml:space="preserve">3 700-4 200 MHz </w:t>
      </w:r>
      <w:r w:rsidR="009B117D" w:rsidRPr="00A3470C">
        <w:rPr>
          <w:lang w:val="fr-CH"/>
        </w:rPr>
        <w:t>et</w:t>
      </w:r>
      <w:r w:rsidR="00E30D77" w:rsidRPr="00A3470C">
        <w:rPr>
          <w:lang w:val="fr-CH"/>
        </w:rPr>
        <w:t xml:space="preserve"> 5</w:t>
      </w:r>
      <w:r w:rsidR="00344466" w:rsidRPr="00A3470C">
        <w:rPr>
          <w:lang w:val="fr-CH"/>
        </w:rPr>
        <w:t> </w:t>
      </w:r>
      <w:r w:rsidR="00E30D77" w:rsidRPr="00A3470C">
        <w:rPr>
          <w:lang w:val="fr-CH"/>
        </w:rPr>
        <w:t>925</w:t>
      </w:r>
      <w:r w:rsidR="00344466" w:rsidRPr="00A3470C">
        <w:rPr>
          <w:lang w:val="fr-CH"/>
        </w:rPr>
        <w:noBreakHyphen/>
      </w:r>
      <w:r w:rsidR="00AA5A49" w:rsidRPr="00A3470C">
        <w:rPr>
          <w:lang w:val="fr-CH"/>
        </w:rPr>
        <w:t>6</w:t>
      </w:r>
      <w:r w:rsidR="00344466" w:rsidRPr="00A3470C">
        <w:rPr>
          <w:lang w:val="fr-CH"/>
        </w:rPr>
        <w:t> </w:t>
      </w:r>
      <w:r w:rsidR="00AA5A49" w:rsidRPr="00A3470C">
        <w:rPr>
          <w:lang w:val="fr-CH"/>
        </w:rPr>
        <w:t>425</w:t>
      </w:r>
      <w:r w:rsidR="00344466" w:rsidRPr="00A3470C">
        <w:rPr>
          <w:lang w:val="fr-CH"/>
        </w:rPr>
        <w:t> </w:t>
      </w:r>
      <w:r w:rsidR="00AA5A49" w:rsidRPr="00A3470C">
        <w:rPr>
          <w:lang w:val="fr-CH"/>
        </w:rPr>
        <w:t xml:space="preserve">MHz, </w:t>
      </w:r>
      <w:r w:rsidR="009B117D" w:rsidRPr="00A3470C">
        <w:rPr>
          <w:lang w:val="fr-CH"/>
        </w:rPr>
        <w:t>l</w:t>
      </w:r>
      <w:r w:rsidR="00AA5A49" w:rsidRPr="00A3470C">
        <w:rPr>
          <w:lang w:val="fr-CH"/>
        </w:rPr>
        <w:t>'utilisation des</w:t>
      </w:r>
      <w:r w:rsidR="009B117D" w:rsidRPr="00A3470C">
        <w:rPr>
          <w:lang w:val="fr-CH"/>
        </w:rPr>
        <w:t xml:space="preserve"> systèmes non OSG du SFS </w:t>
      </w:r>
      <w:r w:rsidR="00AA5A49" w:rsidRPr="00A3470C">
        <w:rPr>
          <w:lang w:val="fr-CH"/>
        </w:rPr>
        <w:t>ne fait</w:t>
      </w:r>
      <w:r w:rsidR="009B117D" w:rsidRPr="00A3470C">
        <w:rPr>
          <w:lang w:val="fr-CH"/>
        </w:rPr>
        <w:t xml:space="preserve"> actuellement </w:t>
      </w:r>
      <w:r w:rsidR="00AA5A49" w:rsidRPr="00A3470C">
        <w:rPr>
          <w:lang w:val="fr-CH"/>
        </w:rPr>
        <w:t>l'objet d'aucune</w:t>
      </w:r>
      <w:r w:rsidR="009B117D" w:rsidRPr="00A3470C">
        <w:rPr>
          <w:lang w:val="fr-CH"/>
        </w:rPr>
        <w:t xml:space="preserve"> restriction </w:t>
      </w:r>
      <w:r w:rsidR="00AA5A49" w:rsidRPr="00A3470C">
        <w:rPr>
          <w:lang w:val="fr-CH"/>
        </w:rPr>
        <w:t xml:space="preserve">mentionnée </w:t>
      </w:r>
      <w:r w:rsidR="009B117D" w:rsidRPr="00A3470C">
        <w:rPr>
          <w:lang w:val="fr-CH"/>
        </w:rPr>
        <w:t>à l'</w:t>
      </w:r>
      <w:r w:rsidR="0063686B" w:rsidRPr="00A3470C">
        <w:rPr>
          <w:lang w:val="fr-CH"/>
        </w:rPr>
        <w:t>A</w:t>
      </w:r>
      <w:r w:rsidR="009B117D" w:rsidRPr="00A3470C">
        <w:rPr>
          <w:lang w:val="fr-CH"/>
        </w:rPr>
        <w:t xml:space="preserve">rticle </w:t>
      </w:r>
      <w:r w:rsidR="009B117D" w:rsidRPr="00A3470C">
        <w:rPr>
          <w:b/>
          <w:bCs/>
          <w:lang w:val="fr-CH"/>
        </w:rPr>
        <w:t>5</w:t>
      </w:r>
      <w:r w:rsidR="009B117D" w:rsidRPr="00A3470C">
        <w:rPr>
          <w:lang w:val="fr-CH"/>
        </w:rPr>
        <w:t xml:space="preserve"> du RR</w:t>
      </w:r>
      <w:r w:rsidR="00763527" w:rsidRPr="00A3470C">
        <w:rPr>
          <w:lang w:val="fr-CH"/>
        </w:rPr>
        <w:t>.</w:t>
      </w:r>
    </w:p>
    <w:p w14:paraId="7697A35B" w14:textId="4146D567" w:rsidR="00E30D77" w:rsidRPr="00A3470C" w:rsidRDefault="009B117D" w:rsidP="0078262B">
      <w:pPr>
        <w:rPr>
          <w:lang w:val="fr-CH"/>
        </w:rPr>
      </w:pPr>
      <w:r w:rsidRPr="00A3470C">
        <w:rPr>
          <w:lang w:val="fr-CH"/>
        </w:rPr>
        <w:t xml:space="preserve">De même, les administrations des pays de la CITEL </w:t>
      </w:r>
      <w:r w:rsidR="00CD50DE" w:rsidRPr="00A3470C">
        <w:rPr>
          <w:lang w:val="fr-CH"/>
        </w:rPr>
        <w:t>estimaient que l'adoption de mesures réglementaires visant à protéger les services de Terre</w:t>
      </w:r>
      <w:r w:rsidR="00E30D77" w:rsidRPr="00A3470C">
        <w:rPr>
          <w:lang w:val="fr-CH"/>
        </w:rPr>
        <w:t xml:space="preserve"> </w:t>
      </w:r>
      <w:r w:rsidR="00CD50DE" w:rsidRPr="00A3470C">
        <w:rPr>
          <w:lang w:val="fr-CH"/>
        </w:rPr>
        <w:t xml:space="preserve">dans la bande de fréquences </w:t>
      </w:r>
      <w:r w:rsidR="00DC6AEE" w:rsidRPr="00A3470C">
        <w:rPr>
          <w:lang w:val="fr-CH"/>
        </w:rPr>
        <w:t>4 500</w:t>
      </w:r>
      <w:r w:rsidR="00344466" w:rsidRPr="00A3470C">
        <w:rPr>
          <w:lang w:val="fr-CH"/>
        </w:rPr>
        <w:noBreakHyphen/>
      </w:r>
      <w:r w:rsidR="00DC6AEE" w:rsidRPr="00A3470C">
        <w:rPr>
          <w:lang w:val="fr-CH"/>
        </w:rPr>
        <w:t>4 800 </w:t>
      </w:r>
      <w:r w:rsidR="00E30D77" w:rsidRPr="00A3470C">
        <w:rPr>
          <w:lang w:val="fr-CH"/>
        </w:rPr>
        <w:t>MHz (</w:t>
      </w:r>
      <w:r w:rsidR="00CD50DE" w:rsidRPr="00A3470C">
        <w:rPr>
          <w:lang w:val="fr-CH"/>
        </w:rPr>
        <w:t>espace vers Terre</w:t>
      </w:r>
      <w:r w:rsidR="00E30D77" w:rsidRPr="00A3470C">
        <w:rPr>
          <w:lang w:val="fr-CH"/>
        </w:rPr>
        <w:t xml:space="preserve">) </w:t>
      </w:r>
      <w:r w:rsidR="00CD50DE" w:rsidRPr="00A3470C">
        <w:rPr>
          <w:lang w:val="fr-CH"/>
        </w:rPr>
        <w:t xml:space="preserve">ne pouvait être envisagée </w:t>
      </w:r>
      <w:r w:rsidR="00F3438C" w:rsidRPr="00A3470C">
        <w:rPr>
          <w:lang w:val="fr-CH"/>
        </w:rPr>
        <w:t>qu'en modifiant</w:t>
      </w:r>
      <w:r w:rsidR="00CD50DE" w:rsidRPr="00A3470C">
        <w:rPr>
          <w:lang w:val="fr-CH"/>
        </w:rPr>
        <w:t xml:space="preserve"> </w:t>
      </w:r>
      <w:r w:rsidR="00F3438C" w:rsidRPr="00A3470C">
        <w:rPr>
          <w:lang w:val="fr-CH"/>
        </w:rPr>
        <w:t>conjointement</w:t>
      </w:r>
      <w:r w:rsidR="00CD50DE" w:rsidRPr="00A3470C">
        <w:rPr>
          <w:lang w:val="fr-CH"/>
        </w:rPr>
        <w:t xml:space="preserve"> </w:t>
      </w:r>
      <w:r w:rsidR="00F3438C" w:rsidRPr="00A3470C">
        <w:rPr>
          <w:lang w:val="fr-CH"/>
        </w:rPr>
        <w:t>le</w:t>
      </w:r>
      <w:r w:rsidR="00CD50DE" w:rsidRPr="00A3470C">
        <w:rPr>
          <w:lang w:val="fr-CH"/>
        </w:rPr>
        <w:t xml:space="preserve"> numéro</w:t>
      </w:r>
      <w:r w:rsidR="00344466" w:rsidRPr="00A3470C">
        <w:rPr>
          <w:lang w:val="fr-CH"/>
        </w:rPr>
        <w:t> </w:t>
      </w:r>
      <w:r w:rsidR="00E30D77" w:rsidRPr="00A3470C">
        <w:rPr>
          <w:b/>
          <w:bCs/>
          <w:lang w:val="fr-CH"/>
        </w:rPr>
        <w:t>5.441</w:t>
      </w:r>
      <w:r w:rsidR="00CD50DE" w:rsidRPr="00A3470C">
        <w:rPr>
          <w:lang w:val="fr-CH"/>
        </w:rPr>
        <w:t xml:space="preserve"> du</w:t>
      </w:r>
      <w:r w:rsidR="00911DCB" w:rsidRPr="00A3470C">
        <w:rPr>
          <w:lang w:val="fr-CH"/>
        </w:rPr>
        <w:t> </w:t>
      </w:r>
      <w:r w:rsidR="00CD50DE" w:rsidRPr="00A3470C">
        <w:rPr>
          <w:lang w:val="fr-CH"/>
        </w:rPr>
        <w:t>RR</w:t>
      </w:r>
      <w:r w:rsidR="00E30D77" w:rsidRPr="00A3470C">
        <w:rPr>
          <w:lang w:val="fr-CH"/>
        </w:rPr>
        <w:t>.</w:t>
      </w:r>
    </w:p>
    <w:p w14:paraId="2264EBEE" w14:textId="7832EC69" w:rsidR="00E30D77" w:rsidRPr="00A3470C" w:rsidRDefault="00FC2C45" w:rsidP="0078262B">
      <w:pPr>
        <w:rPr>
          <w:lang w:val="fr-CH"/>
        </w:rPr>
      </w:pPr>
      <w:r w:rsidRPr="00A3470C">
        <w:rPr>
          <w:lang w:val="fr-CH"/>
        </w:rPr>
        <w:t>Les a</w:t>
      </w:r>
      <w:r w:rsidR="00E30D77" w:rsidRPr="00A3470C">
        <w:rPr>
          <w:lang w:val="fr-CH"/>
        </w:rPr>
        <w:t xml:space="preserve">dministrations </w:t>
      </w:r>
      <w:r w:rsidRPr="00A3470C">
        <w:rPr>
          <w:lang w:val="fr-CH"/>
        </w:rPr>
        <w:t>de la CITEL ont aussi pris note du fait que dans le cadre réglementaire actuel, la</w:t>
      </w:r>
      <w:r w:rsidR="00E30D77" w:rsidRPr="00A3470C">
        <w:rPr>
          <w:lang w:val="fr-CH"/>
        </w:rPr>
        <w:t xml:space="preserve"> protection </w:t>
      </w:r>
      <w:r w:rsidRPr="00A3470C">
        <w:rPr>
          <w:lang w:val="fr-CH"/>
        </w:rPr>
        <w:t>des stations terriennes de réception de liaisons de connexion du SMS non OSG vi</w:t>
      </w:r>
      <w:r w:rsidR="00344466" w:rsidRPr="00A3470C">
        <w:rPr>
          <w:lang w:val="fr-CH"/>
        </w:rPr>
        <w:t>s</w:t>
      </w:r>
      <w:r w:rsidR="00344466" w:rsidRPr="00A3470C">
        <w:rPr>
          <w:lang w:val="fr-CH"/>
        </w:rPr>
        <w:noBreakHyphen/>
      </w:r>
      <w:r w:rsidRPr="00A3470C">
        <w:rPr>
          <w:lang w:val="fr-CH"/>
        </w:rPr>
        <w:t>à</w:t>
      </w:r>
      <w:r w:rsidR="00344466" w:rsidRPr="00A3470C">
        <w:rPr>
          <w:lang w:val="fr-CH"/>
        </w:rPr>
        <w:noBreakHyphen/>
      </w:r>
      <w:r w:rsidRPr="00A3470C">
        <w:rPr>
          <w:lang w:val="fr-CH"/>
        </w:rPr>
        <w:t>vis des stations terriennes d'émission non OSG du SFS dans la bande</w:t>
      </w:r>
      <w:r w:rsidR="0012481F" w:rsidRPr="00A3470C">
        <w:rPr>
          <w:lang w:val="fr-CH"/>
        </w:rPr>
        <w:t xml:space="preserve"> 6 700-</w:t>
      </w:r>
      <w:r w:rsidR="00E30D77" w:rsidRPr="00A3470C">
        <w:rPr>
          <w:lang w:val="fr-CH"/>
        </w:rPr>
        <w:t xml:space="preserve">6 725 MHz </w:t>
      </w:r>
      <w:r w:rsidRPr="00A3470C">
        <w:rPr>
          <w:lang w:val="fr-CH"/>
        </w:rPr>
        <w:t>et</w:t>
      </w:r>
      <w:r w:rsidR="0012481F" w:rsidRPr="00A3470C">
        <w:rPr>
          <w:lang w:val="fr-CH"/>
        </w:rPr>
        <w:t xml:space="preserve"> 7 025</w:t>
      </w:r>
      <w:r w:rsidR="00344466" w:rsidRPr="00A3470C">
        <w:rPr>
          <w:lang w:val="fr-CH"/>
        </w:rPr>
        <w:noBreakHyphen/>
      </w:r>
      <w:r w:rsidR="0012481F" w:rsidRPr="00A3470C">
        <w:rPr>
          <w:lang w:val="fr-CH"/>
        </w:rPr>
        <w:t>7 </w:t>
      </w:r>
      <w:r w:rsidR="00DC6AEE" w:rsidRPr="00A3470C">
        <w:rPr>
          <w:lang w:val="fr-CH"/>
        </w:rPr>
        <w:t>075 </w:t>
      </w:r>
      <w:r w:rsidR="00E30D77" w:rsidRPr="00A3470C">
        <w:rPr>
          <w:lang w:val="fr-CH"/>
        </w:rPr>
        <w:t xml:space="preserve">MHz </w:t>
      </w:r>
      <w:r w:rsidRPr="00A3470C">
        <w:rPr>
          <w:lang w:val="fr-CH"/>
        </w:rPr>
        <w:t xml:space="preserve">est assurée </w:t>
      </w:r>
      <w:r w:rsidR="0012481F" w:rsidRPr="00A3470C">
        <w:rPr>
          <w:lang w:val="fr-CH"/>
        </w:rPr>
        <w:t>moyennant</w:t>
      </w:r>
      <w:r w:rsidRPr="00A3470C">
        <w:rPr>
          <w:lang w:val="fr-CH"/>
        </w:rPr>
        <w:t xml:space="preserve"> l'application de procédures de coordination au titre du numéro</w:t>
      </w:r>
      <w:r w:rsidR="00E30D77" w:rsidRPr="00A3470C">
        <w:rPr>
          <w:lang w:val="fr-CH"/>
        </w:rPr>
        <w:t xml:space="preserve"> </w:t>
      </w:r>
      <w:r w:rsidR="00E30D77" w:rsidRPr="00A3470C">
        <w:rPr>
          <w:b/>
          <w:bCs/>
          <w:lang w:val="fr-CH"/>
        </w:rPr>
        <w:t>9.17A</w:t>
      </w:r>
      <w:r w:rsidR="00E30D77" w:rsidRPr="00A3470C">
        <w:rPr>
          <w:lang w:val="fr-CH"/>
        </w:rPr>
        <w:t xml:space="preserve"> </w:t>
      </w:r>
      <w:r w:rsidRPr="00A3470C">
        <w:rPr>
          <w:lang w:val="fr-CH"/>
        </w:rPr>
        <w:t xml:space="preserve">du RR </w:t>
      </w:r>
      <w:r w:rsidR="00E30D77" w:rsidRPr="00A3470C">
        <w:rPr>
          <w:lang w:val="fr-CH"/>
        </w:rPr>
        <w:t>(</w:t>
      </w:r>
      <w:r w:rsidRPr="00A3470C">
        <w:rPr>
          <w:lang w:val="fr-CH"/>
        </w:rPr>
        <w:t xml:space="preserve">voir aussi le </w:t>
      </w:r>
      <w:r w:rsidR="00E30D77" w:rsidRPr="00A3470C">
        <w:rPr>
          <w:lang w:val="fr-CH"/>
        </w:rPr>
        <w:t>Table</w:t>
      </w:r>
      <w:r w:rsidRPr="00A3470C">
        <w:rPr>
          <w:lang w:val="fr-CH"/>
        </w:rPr>
        <w:t>au</w:t>
      </w:r>
      <w:r w:rsidR="00E30D77" w:rsidRPr="00A3470C">
        <w:rPr>
          <w:lang w:val="fr-CH"/>
        </w:rPr>
        <w:t xml:space="preserve"> 9a </w:t>
      </w:r>
      <w:r w:rsidRPr="00A3470C">
        <w:rPr>
          <w:lang w:val="fr-CH"/>
        </w:rPr>
        <w:t>à l'Appendice</w:t>
      </w:r>
      <w:r w:rsidR="00E30D77" w:rsidRPr="00A3470C">
        <w:rPr>
          <w:lang w:val="fr-CH"/>
        </w:rPr>
        <w:t xml:space="preserve"> </w:t>
      </w:r>
      <w:r w:rsidR="00E30D77" w:rsidRPr="00A3470C">
        <w:rPr>
          <w:b/>
          <w:bCs/>
          <w:lang w:val="fr-CH"/>
        </w:rPr>
        <w:t>7</w:t>
      </w:r>
      <w:r w:rsidR="00E30D77" w:rsidRPr="00A3470C">
        <w:rPr>
          <w:lang w:val="fr-CH"/>
        </w:rPr>
        <w:t xml:space="preserve">). </w:t>
      </w:r>
      <w:r w:rsidRPr="00A3470C">
        <w:rPr>
          <w:lang w:val="fr-CH"/>
        </w:rPr>
        <w:t xml:space="preserve">Un élargissement de l'application de ces procédures de coordination à la bande </w:t>
      </w:r>
      <w:r w:rsidR="00E30D77" w:rsidRPr="00A3470C">
        <w:rPr>
          <w:lang w:val="fr-CH"/>
        </w:rPr>
        <w:t xml:space="preserve">6 725-7 025 MHz </w:t>
      </w:r>
      <w:r w:rsidR="0052727D" w:rsidRPr="00A3470C">
        <w:rPr>
          <w:lang w:val="fr-CH"/>
        </w:rPr>
        <w:t xml:space="preserve">n'est possible qu'en modifiant le numéro </w:t>
      </w:r>
      <w:r w:rsidR="00E30D77" w:rsidRPr="00A3470C">
        <w:rPr>
          <w:b/>
          <w:bCs/>
          <w:lang w:val="fr-CH"/>
        </w:rPr>
        <w:t>5.441</w:t>
      </w:r>
      <w:r w:rsidR="00E30D77" w:rsidRPr="00A3470C">
        <w:rPr>
          <w:lang w:val="fr-CH"/>
        </w:rPr>
        <w:t xml:space="preserve"> </w:t>
      </w:r>
      <w:r w:rsidR="0052727D" w:rsidRPr="00A3470C">
        <w:rPr>
          <w:lang w:val="fr-CH"/>
        </w:rPr>
        <w:t>du RR susmentionné</w:t>
      </w:r>
      <w:r w:rsidR="00763527" w:rsidRPr="00A3470C">
        <w:rPr>
          <w:lang w:val="fr-CH"/>
        </w:rPr>
        <w:t>.</w:t>
      </w:r>
    </w:p>
    <w:p w14:paraId="604F9F4D" w14:textId="74DCA0A4" w:rsidR="00D63244" w:rsidRPr="00A3470C" w:rsidRDefault="00ED668C" w:rsidP="00344466">
      <w:pPr>
        <w:pStyle w:val="Headingb"/>
        <w:rPr>
          <w:lang w:val="fr-CH"/>
        </w:rPr>
      </w:pPr>
      <w:r w:rsidRPr="00A3470C">
        <w:rPr>
          <w:lang w:val="fr-CH"/>
        </w:rPr>
        <w:t>Résultats des études</w:t>
      </w:r>
    </w:p>
    <w:p w14:paraId="699F39EB" w14:textId="352C02BE" w:rsidR="00D63244" w:rsidRPr="00A3470C" w:rsidRDefault="00ED668C" w:rsidP="0078262B">
      <w:pPr>
        <w:rPr>
          <w:lang w:val="fr-CH"/>
        </w:rPr>
      </w:pPr>
      <w:r w:rsidRPr="00A3470C">
        <w:rPr>
          <w:lang w:val="fr-CH"/>
        </w:rPr>
        <w:t xml:space="preserve">Conformément à la Résolution </w:t>
      </w:r>
      <w:r w:rsidR="00D63244" w:rsidRPr="00A3470C">
        <w:rPr>
          <w:b/>
          <w:bCs/>
          <w:lang w:val="fr-CH"/>
        </w:rPr>
        <w:t>157 (</w:t>
      </w:r>
      <w:r w:rsidRPr="00A3470C">
        <w:rPr>
          <w:b/>
          <w:bCs/>
          <w:lang w:val="fr-CH"/>
        </w:rPr>
        <w:t>CMR</w:t>
      </w:r>
      <w:r w:rsidR="00D63244" w:rsidRPr="00A3470C">
        <w:rPr>
          <w:b/>
          <w:bCs/>
          <w:lang w:val="fr-CH"/>
        </w:rPr>
        <w:t>-15)</w:t>
      </w:r>
      <w:r w:rsidR="00D63244" w:rsidRPr="00A3470C">
        <w:rPr>
          <w:lang w:val="fr-CH"/>
        </w:rPr>
        <w:t xml:space="preserve">, </w:t>
      </w:r>
      <w:r w:rsidRPr="00A3470C">
        <w:rPr>
          <w:lang w:val="fr-CH"/>
        </w:rPr>
        <w:t xml:space="preserve">une étude concernant le partage entre les systèmes </w:t>
      </w:r>
      <w:r w:rsidR="006A3F25" w:rsidRPr="00A3470C">
        <w:rPr>
          <w:lang w:val="fr-CH"/>
        </w:rPr>
        <w:t xml:space="preserve">à satellites </w:t>
      </w:r>
      <w:r w:rsidRPr="00A3470C">
        <w:rPr>
          <w:lang w:val="fr-CH"/>
        </w:rPr>
        <w:t>non OSG en orbite circulaire et les systèmes OSG a été présentée lors de la réunion du Groupe de travail 4A de l'UIT-R en mai 2017</w:t>
      </w:r>
      <w:r w:rsidR="00D63244" w:rsidRPr="00A3470C">
        <w:rPr>
          <w:lang w:val="fr-CH"/>
        </w:rPr>
        <w:t xml:space="preserve">. </w:t>
      </w:r>
      <w:r w:rsidR="00916D20" w:rsidRPr="00A3470C">
        <w:rPr>
          <w:lang w:val="fr-CH"/>
        </w:rPr>
        <w:t>Cette étude a examiné le fonctionnement d'un système</w:t>
      </w:r>
      <w:r w:rsidR="006A3F25" w:rsidRPr="00A3470C">
        <w:rPr>
          <w:lang w:val="fr-CH"/>
        </w:rPr>
        <w:t xml:space="preserve"> à satellites</w:t>
      </w:r>
      <w:r w:rsidR="00916D20" w:rsidRPr="00A3470C">
        <w:rPr>
          <w:lang w:val="fr-CH"/>
        </w:rPr>
        <w:t xml:space="preserve"> non OSG en orbite circulaire représentatif fournissant des services mondiaux large bande</w:t>
      </w:r>
      <w:r w:rsidR="00D63244" w:rsidRPr="00A3470C">
        <w:rPr>
          <w:lang w:val="fr-CH"/>
        </w:rPr>
        <w:t xml:space="preserve">. </w:t>
      </w:r>
      <w:r w:rsidR="00FA1D7C" w:rsidRPr="00A3470C">
        <w:rPr>
          <w:lang w:val="fr-CH"/>
        </w:rPr>
        <w:t>Des profils d'epfd↓ ont été établis à partir de statistiques recueillies pendant le fonctionnement de ce système non OSG, puis ont été comparés aux critères de protection définis dans la Recommandation UIT</w:t>
      </w:r>
      <w:r w:rsidR="00FA1D7C" w:rsidRPr="00A3470C">
        <w:rPr>
          <w:lang w:val="fr-CH"/>
        </w:rPr>
        <w:noBreakHyphen/>
        <w:t>R S.1323.</w:t>
      </w:r>
    </w:p>
    <w:p w14:paraId="63DC32CC" w14:textId="544A7E7C" w:rsidR="00D63244" w:rsidRPr="00A3470C" w:rsidRDefault="00916D20" w:rsidP="00911DCB">
      <w:pPr>
        <w:keepNext/>
        <w:keepLines/>
        <w:rPr>
          <w:lang w:val="fr-CH"/>
        </w:rPr>
      </w:pPr>
      <w:r w:rsidRPr="00A3470C">
        <w:rPr>
          <w:lang w:val="fr-CH"/>
        </w:rPr>
        <w:lastRenderedPageBreak/>
        <w:t xml:space="preserve">Les résultats de la simulation de cette étude indiquent que le fonctionnement d'un système </w:t>
      </w:r>
      <w:r w:rsidR="009D7469" w:rsidRPr="00A3470C">
        <w:rPr>
          <w:lang w:val="fr-CH"/>
        </w:rPr>
        <w:t xml:space="preserve">à satellites </w:t>
      </w:r>
      <w:r w:rsidRPr="00A3470C">
        <w:rPr>
          <w:lang w:val="fr-CH"/>
        </w:rPr>
        <w:t xml:space="preserve">non OSG en orbite circulaire dans les bandes </w:t>
      </w:r>
      <w:r w:rsidR="00120DF0" w:rsidRPr="00A3470C">
        <w:rPr>
          <w:lang w:val="fr-CH"/>
        </w:rPr>
        <w:t xml:space="preserve">des </w:t>
      </w:r>
      <w:r w:rsidR="00D63244" w:rsidRPr="00A3470C">
        <w:rPr>
          <w:lang w:val="fr-CH"/>
        </w:rPr>
        <w:t xml:space="preserve">6/4 GHz </w:t>
      </w:r>
      <w:r w:rsidR="00120DF0" w:rsidRPr="00A3470C">
        <w:rPr>
          <w:lang w:val="fr-CH"/>
        </w:rPr>
        <w:t xml:space="preserve">se traduisent par des dépassements importants par rapport aux </w:t>
      </w:r>
      <w:r w:rsidR="009D7469" w:rsidRPr="00A3470C">
        <w:rPr>
          <w:lang w:val="fr-CH"/>
        </w:rPr>
        <w:t>critères</w:t>
      </w:r>
      <w:r w:rsidR="00120DF0" w:rsidRPr="00A3470C">
        <w:rPr>
          <w:lang w:val="fr-CH"/>
        </w:rPr>
        <w:t xml:space="preserve"> de protection de la Recommandation UIT</w:t>
      </w:r>
      <w:r w:rsidR="00911DCB" w:rsidRPr="00A3470C">
        <w:rPr>
          <w:lang w:val="fr-CH"/>
        </w:rPr>
        <w:noBreakHyphen/>
      </w:r>
      <w:r w:rsidR="00120DF0" w:rsidRPr="00A3470C">
        <w:rPr>
          <w:lang w:val="fr-CH"/>
        </w:rPr>
        <w:t>R</w:t>
      </w:r>
      <w:r w:rsidR="00911DCB" w:rsidRPr="00A3470C">
        <w:rPr>
          <w:lang w:val="fr-CH"/>
        </w:rPr>
        <w:t> </w:t>
      </w:r>
      <w:r w:rsidR="00120DF0" w:rsidRPr="00A3470C">
        <w:rPr>
          <w:lang w:val="fr-CH"/>
        </w:rPr>
        <w:t>S.1323</w:t>
      </w:r>
      <w:r w:rsidR="00D63244" w:rsidRPr="00A3470C">
        <w:rPr>
          <w:lang w:val="fr-CH"/>
        </w:rPr>
        <w:t xml:space="preserve">. </w:t>
      </w:r>
      <w:r w:rsidR="008C308D" w:rsidRPr="00A3470C">
        <w:rPr>
          <w:lang w:val="fr-CH"/>
        </w:rPr>
        <w:t xml:space="preserve">Ils peuvent être attribués au calcul </w:t>
      </w:r>
      <w:r w:rsidR="009D7469" w:rsidRPr="00A3470C">
        <w:rPr>
          <w:lang w:val="fr-CH"/>
        </w:rPr>
        <w:t>en matière</w:t>
      </w:r>
      <w:r w:rsidR="008C308D" w:rsidRPr="00A3470C">
        <w:rPr>
          <w:lang w:val="fr-CH"/>
        </w:rPr>
        <w:t xml:space="preserve"> </w:t>
      </w:r>
      <w:r w:rsidR="003503D2" w:rsidRPr="00A3470C">
        <w:rPr>
          <w:lang w:val="fr-CH"/>
        </w:rPr>
        <w:t>de</w:t>
      </w:r>
      <w:r w:rsidR="008C308D" w:rsidRPr="00A3470C">
        <w:rPr>
          <w:lang w:val="fr-CH"/>
        </w:rPr>
        <w:t xml:space="preserve"> protection </w:t>
      </w:r>
      <w:r w:rsidR="003503D2" w:rsidRPr="00A3470C">
        <w:rPr>
          <w:lang w:val="fr-CH"/>
        </w:rPr>
        <w:t>applicable aux</w:t>
      </w:r>
      <w:r w:rsidR="008C308D" w:rsidRPr="00A3470C">
        <w:rPr>
          <w:lang w:val="fr-CH"/>
        </w:rPr>
        <w:t xml:space="preserve"> systèmes OSG </w:t>
      </w:r>
      <w:r w:rsidR="003503D2" w:rsidRPr="00A3470C">
        <w:rPr>
          <w:lang w:val="fr-CH"/>
        </w:rPr>
        <w:t>figurant</w:t>
      </w:r>
      <w:r w:rsidR="008C308D" w:rsidRPr="00A3470C">
        <w:rPr>
          <w:lang w:val="fr-CH"/>
        </w:rPr>
        <w:t xml:space="preserve"> dans la Recommandation UIT-R S.1323 (méthode A)</w:t>
      </w:r>
      <w:r w:rsidR="00D63244" w:rsidRPr="00A3470C">
        <w:rPr>
          <w:lang w:val="fr-CH"/>
        </w:rPr>
        <w:t xml:space="preserve">. </w:t>
      </w:r>
      <w:r w:rsidR="008C308D" w:rsidRPr="00A3470C">
        <w:rPr>
          <w:lang w:val="fr-CH"/>
        </w:rPr>
        <w:t xml:space="preserve">Cette méthode calcule les brouillages en comparant la dégradation due aux </w:t>
      </w:r>
      <w:r w:rsidR="00A5303F" w:rsidRPr="00A3470C">
        <w:rPr>
          <w:lang w:val="fr-CH"/>
        </w:rPr>
        <w:t>affaiblissements de propagation</w:t>
      </w:r>
      <w:r w:rsidR="008C308D" w:rsidRPr="00A3470C">
        <w:rPr>
          <w:lang w:val="fr-CH"/>
        </w:rPr>
        <w:t xml:space="preserve"> à la dégradation due aux brouillages</w:t>
      </w:r>
      <w:r w:rsidR="00D63244" w:rsidRPr="00A3470C">
        <w:rPr>
          <w:lang w:val="fr-CH"/>
        </w:rPr>
        <w:t xml:space="preserve">. </w:t>
      </w:r>
      <w:r w:rsidR="00FA1D7C" w:rsidRPr="00A3470C">
        <w:rPr>
          <w:lang w:val="fr-CH"/>
        </w:rPr>
        <w:t>Dans les bandes des 6/4 GHz, on observe une dégradation minimale due aux affaiblissements de propagation; la marge de protection est donc presque entièrement dominée par l</w:t>
      </w:r>
      <w:r w:rsidR="009D7469" w:rsidRPr="00A3470C">
        <w:rPr>
          <w:lang w:val="fr-CH"/>
        </w:rPr>
        <w:t>es</w:t>
      </w:r>
      <w:r w:rsidR="00FA1D7C" w:rsidRPr="00A3470C">
        <w:rPr>
          <w:lang w:val="fr-CH"/>
        </w:rPr>
        <w:t xml:space="preserve"> statistique</w:t>
      </w:r>
      <w:r w:rsidR="009D7469" w:rsidRPr="00A3470C">
        <w:rPr>
          <w:lang w:val="fr-CH"/>
        </w:rPr>
        <w:t>s</w:t>
      </w:r>
      <w:r w:rsidR="00FA1D7C" w:rsidRPr="00A3470C">
        <w:rPr>
          <w:lang w:val="fr-CH"/>
        </w:rPr>
        <w:t xml:space="preserve"> de brouillage.</w:t>
      </w:r>
    </w:p>
    <w:p w14:paraId="1FB7CCF4" w14:textId="77777777" w:rsidR="0015203F" w:rsidRPr="00A3470C" w:rsidRDefault="0015203F">
      <w:pPr>
        <w:tabs>
          <w:tab w:val="clear" w:pos="1134"/>
          <w:tab w:val="clear" w:pos="1871"/>
          <w:tab w:val="clear" w:pos="2268"/>
        </w:tabs>
        <w:overflowPunct/>
        <w:autoSpaceDE/>
        <w:autoSpaceDN/>
        <w:adjustRightInd/>
        <w:spacing w:before="0"/>
        <w:textAlignment w:val="auto"/>
        <w:rPr>
          <w:lang w:val="fr-CH"/>
        </w:rPr>
      </w:pPr>
      <w:r w:rsidRPr="00A3470C">
        <w:rPr>
          <w:lang w:val="fr-CH"/>
        </w:rPr>
        <w:br w:type="page"/>
      </w:r>
    </w:p>
    <w:p w14:paraId="693E789E" w14:textId="77777777" w:rsidR="00B918ED" w:rsidRPr="00A3470C" w:rsidRDefault="00F912B4">
      <w:pPr>
        <w:pStyle w:val="Proposal"/>
        <w:rPr>
          <w:lang w:val="fr-CH"/>
        </w:rPr>
      </w:pPr>
      <w:r w:rsidRPr="00A3470C">
        <w:rPr>
          <w:u w:val="single"/>
          <w:lang w:val="fr-CH"/>
        </w:rPr>
        <w:lastRenderedPageBreak/>
        <w:t>NOC</w:t>
      </w:r>
      <w:r w:rsidRPr="00A3470C">
        <w:rPr>
          <w:lang w:val="fr-CH"/>
        </w:rPr>
        <w:tab/>
        <w:t>IAP/11A21A3/1</w:t>
      </w:r>
    </w:p>
    <w:p w14:paraId="1CA62648" w14:textId="77777777" w:rsidR="007F3F42" w:rsidRPr="00A3470C" w:rsidRDefault="00F912B4" w:rsidP="00C9570C">
      <w:pPr>
        <w:pStyle w:val="ArtNo"/>
        <w:spacing w:before="0"/>
        <w:rPr>
          <w:lang w:val="fr-CH"/>
        </w:rPr>
      </w:pPr>
      <w:bookmarkStart w:id="4" w:name="_Toc455752953"/>
      <w:bookmarkStart w:id="5" w:name="_Toc455756192"/>
      <w:r w:rsidRPr="00A3470C">
        <w:rPr>
          <w:lang w:val="fr-CH"/>
        </w:rPr>
        <w:t xml:space="preserve">ARTICLE </w:t>
      </w:r>
      <w:r w:rsidRPr="00A3470C">
        <w:rPr>
          <w:rStyle w:val="href"/>
          <w:color w:val="000000"/>
          <w:lang w:val="fr-CH"/>
        </w:rPr>
        <w:t>21</w:t>
      </w:r>
      <w:bookmarkEnd w:id="4"/>
      <w:bookmarkEnd w:id="5"/>
    </w:p>
    <w:p w14:paraId="2D176CAD" w14:textId="77777777" w:rsidR="007F3F42" w:rsidRPr="00A3470C" w:rsidRDefault="00F912B4" w:rsidP="007F3F42">
      <w:pPr>
        <w:pStyle w:val="Arttitle"/>
        <w:rPr>
          <w:lang w:val="fr-CH"/>
        </w:rPr>
      </w:pPr>
      <w:bookmarkStart w:id="6" w:name="_Toc455752954"/>
      <w:bookmarkStart w:id="7" w:name="_Toc455756193"/>
      <w:r w:rsidRPr="00A3470C">
        <w:rPr>
          <w:lang w:val="fr-CH"/>
        </w:rPr>
        <w:t>Services de Terre et services spatiaux partageant des bandes</w:t>
      </w:r>
      <w:r w:rsidRPr="00A3470C">
        <w:rPr>
          <w:lang w:val="fr-CH"/>
        </w:rPr>
        <w:br/>
        <w:t>de fréquences au-dessus de 1 GHz</w:t>
      </w:r>
      <w:bookmarkEnd w:id="6"/>
      <w:bookmarkEnd w:id="7"/>
    </w:p>
    <w:p w14:paraId="76B0FE7D" w14:textId="77777777" w:rsidR="00B918ED" w:rsidRPr="00A3470C" w:rsidRDefault="00B918ED">
      <w:pPr>
        <w:pStyle w:val="Reasons"/>
        <w:rPr>
          <w:lang w:val="fr-CH"/>
        </w:rPr>
      </w:pPr>
    </w:p>
    <w:p w14:paraId="7F1FF2D9" w14:textId="77777777" w:rsidR="00B918ED" w:rsidRPr="00A3470C" w:rsidRDefault="00F912B4">
      <w:pPr>
        <w:pStyle w:val="Proposal"/>
        <w:rPr>
          <w:lang w:val="fr-CH"/>
        </w:rPr>
      </w:pPr>
      <w:r w:rsidRPr="00A3470C">
        <w:rPr>
          <w:u w:val="single"/>
          <w:lang w:val="fr-CH"/>
        </w:rPr>
        <w:t>NOC</w:t>
      </w:r>
      <w:r w:rsidRPr="00A3470C">
        <w:rPr>
          <w:lang w:val="fr-CH"/>
        </w:rPr>
        <w:tab/>
        <w:t>IAP/11A21A3/2</w:t>
      </w:r>
    </w:p>
    <w:p w14:paraId="07B46F56" w14:textId="77777777" w:rsidR="007F3F42" w:rsidRPr="00A3470C" w:rsidRDefault="00F912B4" w:rsidP="00C9570C">
      <w:pPr>
        <w:pStyle w:val="ArtNo"/>
        <w:spacing w:before="0"/>
        <w:rPr>
          <w:lang w:val="fr-CH"/>
        </w:rPr>
      </w:pPr>
      <w:bookmarkStart w:id="8" w:name="_Toc455752955"/>
      <w:bookmarkStart w:id="9" w:name="_Toc455756194"/>
      <w:r w:rsidRPr="00A3470C">
        <w:rPr>
          <w:lang w:val="fr-CH"/>
        </w:rPr>
        <w:t xml:space="preserve">ARTICLE </w:t>
      </w:r>
      <w:r w:rsidRPr="00A3470C">
        <w:rPr>
          <w:rStyle w:val="href"/>
          <w:color w:val="000000"/>
          <w:lang w:val="fr-CH"/>
        </w:rPr>
        <w:t>22</w:t>
      </w:r>
      <w:bookmarkEnd w:id="8"/>
      <w:bookmarkEnd w:id="9"/>
    </w:p>
    <w:p w14:paraId="301FFD80" w14:textId="77777777" w:rsidR="007F3F42" w:rsidRPr="00A3470C" w:rsidRDefault="00F912B4" w:rsidP="007638B7">
      <w:pPr>
        <w:pStyle w:val="Arttitle"/>
        <w:rPr>
          <w:lang w:val="fr-CH"/>
        </w:rPr>
      </w:pPr>
      <w:bookmarkStart w:id="10" w:name="_Toc455752956"/>
      <w:bookmarkStart w:id="11" w:name="_Toc455756195"/>
      <w:r w:rsidRPr="00A3470C">
        <w:rPr>
          <w:lang w:val="fr-CH"/>
        </w:rPr>
        <w:t>Services spatiaux</w:t>
      </w:r>
      <w:r w:rsidRPr="00A3470C">
        <w:rPr>
          <w:rStyle w:val="FootnoteReference"/>
          <w:b w:val="0"/>
          <w:bCs/>
          <w:lang w:val="fr-CH"/>
        </w:rPr>
        <w:t>1</w:t>
      </w:r>
      <w:bookmarkEnd w:id="10"/>
      <w:bookmarkEnd w:id="11"/>
    </w:p>
    <w:p w14:paraId="564CE75F" w14:textId="77777777" w:rsidR="00B918ED" w:rsidRPr="00A3470C" w:rsidRDefault="00B918ED">
      <w:pPr>
        <w:pStyle w:val="Reasons"/>
        <w:rPr>
          <w:lang w:val="fr-CH"/>
        </w:rPr>
      </w:pPr>
    </w:p>
    <w:p w14:paraId="5F55197A" w14:textId="77777777" w:rsidR="00B918ED" w:rsidRPr="00A3470C" w:rsidRDefault="00F912B4">
      <w:pPr>
        <w:pStyle w:val="Proposal"/>
        <w:rPr>
          <w:lang w:val="fr-CH"/>
        </w:rPr>
      </w:pPr>
      <w:r w:rsidRPr="00A3470C">
        <w:rPr>
          <w:lang w:val="fr-CH"/>
        </w:rPr>
        <w:t>SUP</w:t>
      </w:r>
      <w:r w:rsidRPr="00A3470C">
        <w:rPr>
          <w:lang w:val="fr-CH"/>
        </w:rPr>
        <w:tab/>
        <w:t>IAP/11A21A3/3</w:t>
      </w:r>
    </w:p>
    <w:p w14:paraId="5EBF41B9" w14:textId="77777777" w:rsidR="004A4B52" w:rsidRPr="00A3470C" w:rsidRDefault="00F912B4" w:rsidP="004A4B52">
      <w:pPr>
        <w:pStyle w:val="ResNo"/>
        <w:rPr>
          <w:lang w:val="fr-CH"/>
        </w:rPr>
      </w:pPr>
      <w:r w:rsidRPr="00A3470C">
        <w:rPr>
          <w:caps w:val="0"/>
          <w:lang w:val="fr-CH"/>
        </w:rPr>
        <w:t xml:space="preserve">RÉSOLUTION </w:t>
      </w:r>
      <w:r w:rsidRPr="00A3470C">
        <w:rPr>
          <w:rStyle w:val="href"/>
          <w:caps w:val="0"/>
          <w:lang w:val="fr-CH"/>
        </w:rPr>
        <w:t>157</w:t>
      </w:r>
      <w:r w:rsidRPr="00A3470C">
        <w:rPr>
          <w:caps w:val="0"/>
          <w:lang w:val="fr-CH"/>
        </w:rPr>
        <w:t xml:space="preserve"> (CMR</w:t>
      </w:r>
      <w:r w:rsidRPr="00A3470C">
        <w:rPr>
          <w:caps w:val="0"/>
          <w:lang w:val="fr-CH"/>
        </w:rPr>
        <w:noBreakHyphen/>
        <w:t>15)</w:t>
      </w:r>
    </w:p>
    <w:p w14:paraId="170F73A7" w14:textId="70C655E3" w:rsidR="004A4B52" w:rsidRPr="00A3470C" w:rsidRDefault="00F912B4" w:rsidP="00242B45">
      <w:pPr>
        <w:pStyle w:val="Restitle"/>
        <w:rPr>
          <w:rFonts w:ascii="Times New Roman" w:hAnsi="Times New Roman"/>
          <w:lang w:val="fr-CH"/>
        </w:rPr>
      </w:pPr>
      <w:bookmarkStart w:id="12" w:name="_Toc450208623"/>
      <w:r w:rsidRPr="00A3470C">
        <w:rPr>
          <w:rFonts w:ascii="Times New Roman" w:hAnsi="Times New Roman"/>
          <w:lang w:val="fr-CH"/>
        </w:rPr>
        <w:t>Etude des questions techniques et opérationnelles et des dispositions r</w:t>
      </w:r>
      <w:r w:rsidRPr="00A3470C">
        <w:rPr>
          <w:lang w:val="fr-CH"/>
        </w:rPr>
        <w:t>é</w:t>
      </w:r>
      <w:r w:rsidRPr="00A3470C">
        <w:rPr>
          <w:rFonts w:ascii="Times New Roman" w:hAnsi="Times New Roman"/>
          <w:lang w:val="fr-CH"/>
        </w:rPr>
        <w:t>glementaires relatives aux nouveaux syst</w:t>
      </w:r>
      <w:r w:rsidRPr="00A3470C">
        <w:rPr>
          <w:lang w:val="fr-CH"/>
        </w:rPr>
        <w:t>è</w:t>
      </w:r>
      <w:r w:rsidRPr="00A3470C">
        <w:rPr>
          <w:rFonts w:ascii="Times New Roman" w:hAnsi="Times New Roman"/>
          <w:lang w:val="fr-CH"/>
        </w:rPr>
        <w:t xml:space="preserve">mes </w:t>
      </w:r>
      <w:r w:rsidRPr="00A3470C">
        <w:rPr>
          <w:lang w:val="fr-CH"/>
        </w:rPr>
        <w:t>à</w:t>
      </w:r>
      <w:r w:rsidRPr="00A3470C">
        <w:rPr>
          <w:rFonts w:ascii="Times New Roman" w:hAnsi="Times New Roman"/>
          <w:lang w:val="fr-CH"/>
        </w:rPr>
        <w:t xml:space="preserve"> satellites non</w:t>
      </w:r>
      <w:r w:rsidRPr="00A3470C">
        <w:rPr>
          <w:lang w:val="fr-CH"/>
        </w:rPr>
        <w:t xml:space="preserve"> </w:t>
      </w:r>
      <w:r w:rsidR="00A3470C">
        <w:rPr>
          <w:lang w:val="fr-CH"/>
        </w:rPr>
        <w:br/>
      </w:r>
      <w:r w:rsidRPr="00A3470C">
        <w:rPr>
          <w:rFonts w:ascii="Times New Roman" w:hAnsi="Times New Roman"/>
          <w:lang w:val="fr-CH"/>
        </w:rPr>
        <w:t>géostationnaires dans les bandes de fr</w:t>
      </w:r>
      <w:r w:rsidRPr="00A3470C">
        <w:rPr>
          <w:lang w:val="fr-CH"/>
        </w:rPr>
        <w:t>é</w:t>
      </w:r>
      <w:r w:rsidRPr="00A3470C">
        <w:rPr>
          <w:rFonts w:ascii="Times New Roman" w:hAnsi="Times New Roman"/>
          <w:lang w:val="fr-CH"/>
        </w:rPr>
        <w:t xml:space="preserve">quences </w:t>
      </w:r>
      <w:r w:rsidRPr="00A3470C">
        <w:rPr>
          <w:szCs w:val="28"/>
          <w:lang w:val="fr-CH"/>
        </w:rPr>
        <w:t xml:space="preserve">3 700-4 200 MHz, </w:t>
      </w:r>
      <w:r w:rsidR="00A3470C">
        <w:rPr>
          <w:szCs w:val="28"/>
          <w:lang w:val="fr-CH"/>
        </w:rPr>
        <w:br/>
      </w:r>
      <w:r w:rsidRPr="00A3470C">
        <w:rPr>
          <w:szCs w:val="28"/>
          <w:lang w:val="fr-CH"/>
        </w:rPr>
        <w:t>4 500-4 800 MHz, et 5</w:t>
      </w:r>
      <w:r w:rsidR="004B2EA3" w:rsidRPr="00A3470C">
        <w:rPr>
          <w:szCs w:val="28"/>
          <w:lang w:val="fr-CH"/>
        </w:rPr>
        <w:t> </w:t>
      </w:r>
      <w:r w:rsidRPr="00A3470C">
        <w:rPr>
          <w:szCs w:val="28"/>
          <w:lang w:val="fr-CH"/>
        </w:rPr>
        <w:t>925</w:t>
      </w:r>
      <w:r w:rsidR="004B2EA3" w:rsidRPr="00A3470C">
        <w:rPr>
          <w:szCs w:val="28"/>
          <w:lang w:val="fr-CH"/>
        </w:rPr>
        <w:noBreakHyphen/>
      </w:r>
      <w:r w:rsidRPr="00A3470C">
        <w:rPr>
          <w:szCs w:val="28"/>
          <w:lang w:val="fr-CH"/>
        </w:rPr>
        <w:t xml:space="preserve">6 425 MHz et 6 725-7 025 MHz </w:t>
      </w:r>
      <w:r w:rsidR="00A3470C">
        <w:rPr>
          <w:szCs w:val="28"/>
          <w:lang w:val="fr-CH"/>
        </w:rPr>
        <w:br/>
      </w:r>
      <w:bookmarkStart w:id="13" w:name="_GoBack"/>
      <w:bookmarkEnd w:id="13"/>
      <w:r w:rsidRPr="00A3470C">
        <w:rPr>
          <w:lang w:val="fr-CH"/>
        </w:rPr>
        <w:t>attribuées au</w:t>
      </w:r>
      <w:r w:rsidRPr="00A3470C">
        <w:rPr>
          <w:szCs w:val="28"/>
          <w:lang w:val="fr-CH"/>
        </w:rPr>
        <w:t xml:space="preserve"> service</w:t>
      </w:r>
      <w:r w:rsidRPr="00A3470C">
        <w:rPr>
          <w:rFonts w:ascii="Times New Roman" w:hAnsi="Times New Roman"/>
          <w:lang w:val="fr-CH"/>
        </w:rPr>
        <w:t xml:space="preserve"> fixe par satellite</w:t>
      </w:r>
      <w:bookmarkEnd w:id="12"/>
    </w:p>
    <w:p w14:paraId="34360FCB" w14:textId="56C90E19" w:rsidR="00242B45" w:rsidRPr="00A3470C" w:rsidRDefault="00F912B4" w:rsidP="0078262B">
      <w:pPr>
        <w:pStyle w:val="Reasons"/>
        <w:rPr>
          <w:lang w:val="fr-CH"/>
        </w:rPr>
      </w:pPr>
      <w:r w:rsidRPr="00A3470C">
        <w:rPr>
          <w:b/>
          <w:lang w:val="fr-CH"/>
        </w:rPr>
        <w:t>Motifs:</w:t>
      </w:r>
      <w:r w:rsidRPr="00A3470C">
        <w:rPr>
          <w:lang w:val="fr-CH"/>
        </w:rPr>
        <w:tab/>
      </w:r>
      <w:r w:rsidR="00A5303F" w:rsidRPr="00A3470C">
        <w:rPr>
          <w:lang w:val="fr-CH"/>
        </w:rPr>
        <w:t>Des études de l'UIT-R montrent</w:t>
      </w:r>
      <w:r w:rsidR="00242B45" w:rsidRPr="00A3470C">
        <w:rPr>
          <w:lang w:val="fr-CH"/>
        </w:rPr>
        <w:t xml:space="preserve"> qu'il serait très difficile d'exploiter un système</w:t>
      </w:r>
      <w:r w:rsidR="00E61B16" w:rsidRPr="00A3470C">
        <w:rPr>
          <w:lang w:val="fr-CH"/>
        </w:rPr>
        <w:t xml:space="preserve"> à satellites</w:t>
      </w:r>
      <w:r w:rsidR="00242B45" w:rsidRPr="00A3470C">
        <w:rPr>
          <w:lang w:val="fr-CH"/>
        </w:rPr>
        <w:t xml:space="preserve"> non OSG en orbite circulaire </w:t>
      </w:r>
      <w:r w:rsidR="00E61B16" w:rsidRPr="00A3470C">
        <w:rPr>
          <w:lang w:val="fr-CH"/>
        </w:rPr>
        <w:t>afin de disposer d'</w:t>
      </w:r>
      <w:r w:rsidR="00242B45" w:rsidRPr="00A3470C">
        <w:rPr>
          <w:lang w:val="fr-CH"/>
        </w:rPr>
        <w:t xml:space="preserve">un réseau large bande à l'échelle mondiale dans les bandes de fréquences des 6/4 GHz. </w:t>
      </w:r>
      <w:r w:rsidR="00A5303F" w:rsidRPr="00A3470C">
        <w:rPr>
          <w:lang w:val="fr-CH"/>
        </w:rPr>
        <w:t xml:space="preserve">En conséquence, les administrations des pays de la CITEL ne souhaitent pas réviser le Tableau </w:t>
      </w:r>
      <w:r w:rsidR="00A5303F" w:rsidRPr="00A3470C">
        <w:rPr>
          <w:b/>
          <w:bCs/>
          <w:lang w:val="fr-CH"/>
        </w:rPr>
        <w:t>21-4</w:t>
      </w:r>
      <w:r w:rsidR="0063686B" w:rsidRPr="00A3470C">
        <w:rPr>
          <w:lang w:val="fr-CH"/>
        </w:rPr>
        <w:t xml:space="preserve"> de l'A</w:t>
      </w:r>
      <w:r w:rsidR="00A5303F" w:rsidRPr="00A3470C">
        <w:rPr>
          <w:lang w:val="fr-CH"/>
        </w:rPr>
        <w:t xml:space="preserve">rticle </w:t>
      </w:r>
      <w:r w:rsidR="00A5303F" w:rsidRPr="00A3470C">
        <w:rPr>
          <w:b/>
          <w:bCs/>
          <w:lang w:val="fr-CH"/>
        </w:rPr>
        <w:t>21</w:t>
      </w:r>
      <w:r w:rsidR="00A5303F" w:rsidRPr="00A3470C">
        <w:rPr>
          <w:lang w:val="fr-CH"/>
        </w:rPr>
        <w:t xml:space="preserve"> du RR concernant les satellites non OSG du SFS dans la bande de fréquences </w:t>
      </w:r>
      <w:r w:rsidR="00242B45" w:rsidRPr="00A3470C">
        <w:rPr>
          <w:lang w:val="fr-CH"/>
        </w:rPr>
        <w:t>3 700-4 200 MHz (</w:t>
      </w:r>
      <w:r w:rsidR="00A5303F" w:rsidRPr="00A3470C">
        <w:rPr>
          <w:lang w:val="fr-CH"/>
        </w:rPr>
        <w:t>espace vers Terre</w:t>
      </w:r>
      <w:r w:rsidR="00242B45" w:rsidRPr="00A3470C">
        <w:rPr>
          <w:lang w:val="fr-CH"/>
        </w:rPr>
        <w:t xml:space="preserve">) </w:t>
      </w:r>
      <w:r w:rsidR="008967F9" w:rsidRPr="00A3470C">
        <w:rPr>
          <w:lang w:val="fr-CH"/>
        </w:rPr>
        <w:t>ni</w:t>
      </w:r>
      <w:r w:rsidR="00A5303F" w:rsidRPr="00A3470C">
        <w:rPr>
          <w:lang w:val="fr-CH"/>
        </w:rPr>
        <w:t xml:space="preserve"> </w:t>
      </w:r>
      <w:r w:rsidR="00981747" w:rsidRPr="00A3470C">
        <w:rPr>
          <w:lang w:val="fr-CH"/>
        </w:rPr>
        <w:t>modifier les</w:t>
      </w:r>
      <w:r w:rsidR="00A5303F" w:rsidRPr="00A3470C">
        <w:rPr>
          <w:lang w:val="fr-CH"/>
        </w:rPr>
        <w:t xml:space="preserve"> limites </w:t>
      </w:r>
      <w:r w:rsidR="00981747" w:rsidRPr="00A3470C">
        <w:rPr>
          <w:lang w:val="fr-CH"/>
        </w:rPr>
        <w:t>d'epfd</w:t>
      </w:r>
      <w:r w:rsidR="00A5303F" w:rsidRPr="00A3470C">
        <w:rPr>
          <w:lang w:val="fr-CH"/>
        </w:rPr>
        <w:t xml:space="preserve"> indiquées à l'</w:t>
      </w:r>
      <w:r w:rsidR="0063686B" w:rsidRPr="00A3470C">
        <w:rPr>
          <w:lang w:val="fr-CH"/>
        </w:rPr>
        <w:t>A</w:t>
      </w:r>
      <w:r w:rsidR="00A5303F" w:rsidRPr="00A3470C">
        <w:rPr>
          <w:lang w:val="fr-CH"/>
        </w:rPr>
        <w:t xml:space="preserve">rticle </w:t>
      </w:r>
      <w:r w:rsidR="00A5303F" w:rsidRPr="00A3470C">
        <w:rPr>
          <w:b/>
          <w:bCs/>
          <w:lang w:val="fr-CH"/>
        </w:rPr>
        <w:t>22</w:t>
      </w:r>
      <w:r w:rsidR="00A5303F" w:rsidRPr="00A3470C">
        <w:rPr>
          <w:lang w:val="fr-CH"/>
        </w:rPr>
        <w:t xml:space="preserve"> du RR </w:t>
      </w:r>
      <w:r w:rsidR="00981747" w:rsidRPr="00A3470C">
        <w:rPr>
          <w:lang w:val="fr-CH"/>
        </w:rPr>
        <w:t>applicables</w:t>
      </w:r>
      <w:r w:rsidR="00A5303F" w:rsidRPr="00A3470C">
        <w:rPr>
          <w:lang w:val="fr-CH"/>
        </w:rPr>
        <w:t xml:space="preserve"> aux systèmes non OSG dans les bandes </w:t>
      </w:r>
      <w:r w:rsidR="00242B45" w:rsidRPr="00A3470C">
        <w:rPr>
          <w:lang w:val="fr-CH"/>
        </w:rPr>
        <w:t>3</w:t>
      </w:r>
      <w:r w:rsidR="006527E5" w:rsidRPr="00A3470C">
        <w:rPr>
          <w:lang w:val="fr-CH"/>
        </w:rPr>
        <w:t> </w:t>
      </w:r>
      <w:r w:rsidR="00242B45" w:rsidRPr="00A3470C">
        <w:rPr>
          <w:lang w:val="fr-CH"/>
        </w:rPr>
        <w:t>700-4 200 MHz (</w:t>
      </w:r>
      <w:r w:rsidR="00A5303F" w:rsidRPr="00A3470C">
        <w:rPr>
          <w:lang w:val="fr-CH"/>
        </w:rPr>
        <w:t>espace vers Terre</w:t>
      </w:r>
      <w:r w:rsidR="00242B45" w:rsidRPr="00A3470C">
        <w:rPr>
          <w:lang w:val="fr-CH"/>
        </w:rPr>
        <w:t xml:space="preserve">) </w:t>
      </w:r>
      <w:r w:rsidR="00A5303F" w:rsidRPr="00A3470C">
        <w:rPr>
          <w:lang w:val="fr-CH"/>
        </w:rPr>
        <w:t>et</w:t>
      </w:r>
      <w:r w:rsidR="00242B45" w:rsidRPr="00A3470C">
        <w:rPr>
          <w:lang w:val="fr-CH"/>
        </w:rPr>
        <w:t xml:space="preserve"> 5 925-6 425 MHz (</w:t>
      </w:r>
      <w:r w:rsidR="00A5303F" w:rsidRPr="00A3470C">
        <w:rPr>
          <w:lang w:val="fr-CH"/>
        </w:rPr>
        <w:t xml:space="preserve">Terre vers espace). De même, les administrations des pays de la </w:t>
      </w:r>
      <w:r w:rsidR="00242B45" w:rsidRPr="00A3470C">
        <w:rPr>
          <w:lang w:val="fr-CH"/>
        </w:rPr>
        <w:t xml:space="preserve">CITEL </w:t>
      </w:r>
      <w:r w:rsidR="000B2550" w:rsidRPr="00A3470C">
        <w:rPr>
          <w:lang w:val="fr-CH"/>
        </w:rPr>
        <w:t>propose</w:t>
      </w:r>
      <w:r w:rsidR="00981747" w:rsidRPr="00A3470C">
        <w:rPr>
          <w:lang w:val="fr-CH"/>
        </w:rPr>
        <w:t>nt</w:t>
      </w:r>
      <w:r w:rsidR="000B2550" w:rsidRPr="00A3470C">
        <w:rPr>
          <w:lang w:val="fr-CH"/>
        </w:rPr>
        <w:t xml:space="preserve"> de n'apporter aucune modification aux bandes </w:t>
      </w:r>
      <w:r w:rsidR="00242B45" w:rsidRPr="00A3470C">
        <w:rPr>
          <w:lang w:val="fr-CH"/>
        </w:rPr>
        <w:t>4</w:t>
      </w:r>
      <w:r w:rsidR="006527E5" w:rsidRPr="00A3470C">
        <w:rPr>
          <w:lang w:val="fr-CH"/>
        </w:rPr>
        <w:t> </w:t>
      </w:r>
      <w:r w:rsidR="00242B45" w:rsidRPr="00A3470C">
        <w:rPr>
          <w:lang w:val="fr-CH"/>
        </w:rPr>
        <w:t>500-4 800 MHz (</w:t>
      </w:r>
      <w:r w:rsidR="000B2550" w:rsidRPr="00A3470C">
        <w:rPr>
          <w:lang w:val="fr-CH"/>
        </w:rPr>
        <w:t>espace vers Terre</w:t>
      </w:r>
      <w:r w:rsidR="00242B45" w:rsidRPr="00A3470C">
        <w:rPr>
          <w:lang w:val="fr-CH"/>
        </w:rPr>
        <w:t xml:space="preserve">) </w:t>
      </w:r>
      <w:r w:rsidR="000B2550" w:rsidRPr="00A3470C">
        <w:rPr>
          <w:lang w:val="fr-CH"/>
        </w:rPr>
        <w:t>et</w:t>
      </w:r>
      <w:r w:rsidR="00242B45" w:rsidRPr="00A3470C">
        <w:rPr>
          <w:lang w:val="fr-CH"/>
        </w:rPr>
        <w:t xml:space="preserve"> 6 725-7 025 MHz (</w:t>
      </w:r>
      <w:r w:rsidR="000B2550" w:rsidRPr="00A3470C">
        <w:rPr>
          <w:lang w:val="fr-CH"/>
        </w:rPr>
        <w:t>Terre vers espace</w:t>
      </w:r>
      <w:r w:rsidR="00242B45" w:rsidRPr="00A3470C">
        <w:rPr>
          <w:lang w:val="fr-CH"/>
        </w:rPr>
        <w:t>).</w:t>
      </w:r>
    </w:p>
    <w:p w14:paraId="572BE691" w14:textId="77777777" w:rsidR="00242B45" w:rsidRPr="00A3470C" w:rsidRDefault="00242B45" w:rsidP="00CC778C">
      <w:pPr>
        <w:rPr>
          <w:lang w:val="fr-CH"/>
        </w:rPr>
      </w:pPr>
    </w:p>
    <w:p w14:paraId="46D483FE" w14:textId="1A1B4E96" w:rsidR="00B918ED" w:rsidRPr="00A3470C" w:rsidRDefault="00242B45" w:rsidP="00CC778C">
      <w:pPr>
        <w:jc w:val="center"/>
        <w:rPr>
          <w:lang w:val="fr-CH"/>
        </w:rPr>
      </w:pPr>
      <w:r w:rsidRPr="00A3470C">
        <w:rPr>
          <w:lang w:val="fr-CH"/>
        </w:rPr>
        <w:t>______________</w:t>
      </w:r>
    </w:p>
    <w:sectPr w:rsidR="00B918ED" w:rsidRPr="00A3470C">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DB84" w14:textId="77777777" w:rsidR="0070076C" w:rsidRDefault="0070076C">
      <w:r>
        <w:separator/>
      </w:r>
    </w:p>
  </w:endnote>
  <w:endnote w:type="continuationSeparator" w:id="0">
    <w:p w14:paraId="6886B5C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7E7C" w14:textId="31AA98F9" w:rsidR="00936D25" w:rsidRDefault="00936D25">
    <w:pPr>
      <w:rPr>
        <w:lang w:val="en-US"/>
      </w:rPr>
    </w:pPr>
    <w:r>
      <w:fldChar w:fldCharType="begin"/>
    </w:r>
    <w:r>
      <w:rPr>
        <w:lang w:val="en-US"/>
      </w:rPr>
      <w:instrText xml:space="preserve"> FILENAME \p  \* MERGEFORMAT </w:instrText>
    </w:r>
    <w:r>
      <w:fldChar w:fldCharType="separate"/>
    </w:r>
    <w:r w:rsidR="007839EF">
      <w:rPr>
        <w:noProof/>
        <w:lang w:val="en-US"/>
      </w:rPr>
      <w:t>P:\FRA\ITU-R\CONF-R\CMR19\000\011ADD21ADD03F.docx</w:t>
    </w:r>
    <w:r>
      <w:fldChar w:fldCharType="end"/>
    </w:r>
    <w:r>
      <w:rPr>
        <w:lang w:val="en-US"/>
      </w:rPr>
      <w:tab/>
    </w:r>
    <w:r>
      <w:fldChar w:fldCharType="begin"/>
    </w:r>
    <w:r>
      <w:instrText xml:space="preserve"> SAVEDATE \@ DD.MM.YY </w:instrText>
    </w:r>
    <w:r>
      <w:fldChar w:fldCharType="separate"/>
    </w:r>
    <w:r w:rsidR="007839EF">
      <w:rPr>
        <w:noProof/>
      </w:rPr>
      <w:t>07.10.19</w:t>
    </w:r>
    <w:r>
      <w:fldChar w:fldCharType="end"/>
    </w:r>
    <w:r>
      <w:rPr>
        <w:lang w:val="en-US"/>
      </w:rPr>
      <w:tab/>
    </w:r>
    <w:r>
      <w:fldChar w:fldCharType="begin"/>
    </w:r>
    <w:r>
      <w:instrText xml:space="preserve"> PRINTDATE \@ DD.MM.YY </w:instrText>
    </w:r>
    <w:r>
      <w:fldChar w:fldCharType="separate"/>
    </w:r>
    <w:r w:rsidR="007839EF">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B928" w14:textId="4397DEBE" w:rsidR="00936D25" w:rsidRDefault="00981747" w:rsidP="00E30D77">
    <w:pPr>
      <w:pStyle w:val="Footer"/>
      <w:rPr>
        <w:lang w:val="en-US"/>
      </w:rPr>
    </w:pPr>
    <w:r>
      <w:fldChar w:fldCharType="begin"/>
    </w:r>
    <w:r w:rsidRPr="00876CDA">
      <w:rPr>
        <w:lang w:val="en-GB"/>
      </w:rPr>
      <w:instrText xml:space="preserve"> FILENAME \p  \* MERGEFORMAT </w:instrText>
    </w:r>
    <w:r>
      <w:fldChar w:fldCharType="separate"/>
    </w:r>
    <w:r w:rsidR="007839EF">
      <w:rPr>
        <w:lang w:val="en-GB"/>
      </w:rPr>
      <w:t>P:\FRA\ITU-R\CONF-R\CMR19\000\011ADD21ADD03F.docx</w:t>
    </w:r>
    <w:r>
      <w:fldChar w:fldCharType="end"/>
    </w:r>
    <w:r w:rsidR="00E30D77" w:rsidRPr="00876CDA">
      <w:rPr>
        <w:lang w:val="en-GB"/>
      </w:rPr>
      <w:t xml:space="preserve"> (460830)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D7FBD" w14:textId="70E16C8A" w:rsidR="00936D25" w:rsidRDefault="00981747" w:rsidP="00E30D77">
    <w:pPr>
      <w:pStyle w:val="Footer"/>
      <w:rPr>
        <w:lang w:val="en-US"/>
      </w:rPr>
    </w:pPr>
    <w:r>
      <w:fldChar w:fldCharType="begin"/>
    </w:r>
    <w:r w:rsidRPr="00876CDA">
      <w:rPr>
        <w:lang w:val="en-GB"/>
      </w:rPr>
      <w:instrText xml:space="preserve"> FILENAME \p  \* MERGEFORMAT </w:instrText>
    </w:r>
    <w:r>
      <w:fldChar w:fldCharType="separate"/>
    </w:r>
    <w:r w:rsidR="007839EF">
      <w:rPr>
        <w:lang w:val="en-GB"/>
      </w:rPr>
      <w:t>P:\FRA\ITU-R\CONF-R\CMR19\000\011ADD21ADD03F.docx</w:t>
    </w:r>
    <w:r>
      <w:fldChar w:fldCharType="end"/>
    </w:r>
    <w:r w:rsidR="00E30D77" w:rsidRPr="00876CDA">
      <w:rPr>
        <w:lang w:val="en-GB"/>
      </w:rPr>
      <w:t xml:space="preserve"> (460830)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9107" w14:textId="77777777" w:rsidR="0070076C" w:rsidRDefault="0070076C">
      <w:r>
        <w:rPr>
          <w:b/>
        </w:rPr>
        <w:t>_______________</w:t>
      </w:r>
    </w:p>
  </w:footnote>
  <w:footnote w:type="continuationSeparator" w:id="0">
    <w:p w14:paraId="6A429EB3"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27EC2" w14:textId="77777777" w:rsidR="004F1F8E" w:rsidRDefault="004F1F8E" w:rsidP="004F1F8E">
    <w:pPr>
      <w:pStyle w:val="Header"/>
    </w:pPr>
    <w:r>
      <w:fldChar w:fldCharType="begin"/>
    </w:r>
    <w:r>
      <w:instrText xml:space="preserve"> PAGE </w:instrText>
    </w:r>
    <w:r>
      <w:fldChar w:fldCharType="separate"/>
    </w:r>
    <w:r w:rsidR="00981747">
      <w:rPr>
        <w:noProof/>
      </w:rPr>
      <w:t>4</w:t>
    </w:r>
    <w:r>
      <w:fldChar w:fldCharType="end"/>
    </w:r>
  </w:p>
  <w:p w14:paraId="53D59218" w14:textId="77777777" w:rsidR="004F1F8E" w:rsidRDefault="004F1F8E" w:rsidP="00FD7AA3">
    <w:pPr>
      <w:pStyle w:val="Header"/>
    </w:pPr>
    <w:r>
      <w:t>CMR1</w:t>
    </w:r>
    <w:r w:rsidR="00FD7AA3">
      <w:t>9</w:t>
    </w:r>
    <w:r>
      <w:t>/</w:t>
    </w:r>
    <w:r w:rsidR="006A4B45">
      <w:t>11(Add.21)(Add.3)-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550"/>
    <w:rsid w:val="000B2E0C"/>
    <w:rsid w:val="000B3D0C"/>
    <w:rsid w:val="001167B9"/>
    <w:rsid w:val="00120DF0"/>
    <w:rsid w:val="0012481F"/>
    <w:rsid w:val="001267A0"/>
    <w:rsid w:val="0015203F"/>
    <w:rsid w:val="00160C64"/>
    <w:rsid w:val="00181161"/>
    <w:rsid w:val="0018169B"/>
    <w:rsid w:val="0019352B"/>
    <w:rsid w:val="001960D0"/>
    <w:rsid w:val="001A11F6"/>
    <w:rsid w:val="001F17E8"/>
    <w:rsid w:val="00204306"/>
    <w:rsid w:val="00212CF2"/>
    <w:rsid w:val="00232FD2"/>
    <w:rsid w:val="00242B45"/>
    <w:rsid w:val="0026554E"/>
    <w:rsid w:val="002A4622"/>
    <w:rsid w:val="002A6F8F"/>
    <w:rsid w:val="002B17E5"/>
    <w:rsid w:val="002C0EBF"/>
    <w:rsid w:val="002C1727"/>
    <w:rsid w:val="002C28A4"/>
    <w:rsid w:val="002D23AC"/>
    <w:rsid w:val="002D7E0A"/>
    <w:rsid w:val="00315AFE"/>
    <w:rsid w:val="0031748A"/>
    <w:rsid w:val="00344466"/>
    <w:rsid w:val="003503D2"/>
    <w:rsid w:val="003606A6"/>
    <w:rsid w:val="0036650C"/>
    <w:rsid w:val="00393ACD"/>
    <w:rsid w:val="003A583E"/>
    <w:rsid w:val="003E112B"/>
    <w:rsid w:val="003E1D1C"/>
    <w:rsid w:val="003E7B05"/>
    <w:rsid w:val="003F3719"/>
    <w:rsid w:val="003F6F2D"/>
    <w:rsid w:val="00466211"/>
    <w:rsid w:val="00483196"/>
    <w:rsid w:val="004834A9"/>
    <w:rsid w:val="004B2EA3"/>
    <w:rsid w:val="004D01FC"/>
    <w:rsid w:val="004E28C3"/>
    <w:rsid w:val="004F1F8E"/>
    <w:rsid w:val="00512A32"/>
    <w:rsid w:val="0052727D"/>
    <w:rsid w:val="005343DA"/>
    <w:rsid w:val="00560874"/>
    <w:rsid w:val="00586CF2"/>
    <w:rsid w:val="005A559A"/>
    <w:rsid w:val="005A7C75"/>
    <w:rsid w:val="005C3768"/>
    <w:rsid w:val="005C6C3F"/>
    <w:rsid w:val="00607FD9"/>
    <w:rsid w:val="00613635"/>
    <w:rsid w:val="0062093D"/>
    <w:rsid w:val="0063686B"/>
    <w:rsid w:val="00637ECF"/>
    <w:rsid w:val="00647B59"/>
    <w:rsid w:val="006527E5"/>
    <w:rsid w:val="00690C7B"/>
    <w:rsid w:val="006A3F25"/>
    <w:rsid w:val="006A4B45"/>
    <w:rsid w:val="006D4724"/>
    <w:rsid w:val="006F5FA2"/>
    <w:rsid w:val="00700153"/>
    <w:rsid w:val="0070076C"/>
    <w:rsid w:val="00701BAE"/>
    <w:rsid w:val="00721F04"/>
    <w:rsid w:val="00730E95"/>
    <w:rsid w:val="007426B9"/>
    <w:rsid w:val="00763527"/>
    <w:rsid w:val="00764342"/>
    <w:rsid w:val="00774362"/>
    <w:rsid w:val="0078262B"/>
    <w:rsid w:val="007839EF"/>
    <w:rsid w:val="00786598"/>
    <w:rsid w:val="00790C74"/>
    <w:rsid w:val="007A04E8"/>
    <w:rsid w:val="007B2C34"/>
    <w:rsid w:val="00830086"/>
    <w:rsid w:val="00851625"/>
    <w:rsid w:val="00863C0A"/>
    <w:rsid w:val="00876CDA"/>
    <w:rsid w:val="008967F9"/>
    <w:rsid w:val="008A3120"/>
    <w:rsid w:val="008A4B97"/>
    <w:rsid w:val="008C308D"/>
    <w:rsid w:val="008C5B8E"/>
    <w:rsid w:val="008C5DD5"/>
    <w:rsid w:val="008D41BE"/>
    <w:rsid w:val="008D58D3"/>
    <w:rsid w:val="008E3BC9"/>
    <w:rsid w:val="008E761A"/>
    <w:rsid w:val="00906070"/>
    <w:rsid w:val="00911DCB"/>
    <w:rsid w:val="00916D20"/>
    <w:rsid w:val="00923064"/>
    <w:rsid w:val="00930FFD"/>
    <w:rsid w:val="00936D25"/>
    <w:rsid w:val="00941EA5"/>
    <w:rsid w:val="00964700"/>
    <w:rsid w:val="00966C16"/>
    <w:rsid w:val="00981747"/>
    <w:rsid w:val="0098732F"/>
    <w:rsid w:val="009A045F"/>
    <w:rsid w:val="009A6A2B"/>
    <w:rsid w:val="009B117D"/>
    <w:rsid w:val="009C7E7C"/>
    <w:rsid w:val="009D7469"/>
    <w:rsid w:val="00A00473"/>
    <w:rsid w:val="00A03C9B"/>
    <w:rsid w:val="00A3470C"/>
    <w:rsid w:val="00A37105"/>
    <w:rsid w:val="00A5303F"/>
    <w:rsid w:val="00A606C3"/>
    <w:rsid w:val="00A83B09"/>
    <w:rsid w:val="00A84541"/>
    <w:rsid w:val="00AA5A49"/>
    <w:rsid w:val="00AE36A0"/>
    <w:rsid w:val="00B00294"/>
    <w:rsid w:val="00B3749C"/>
    <w:rsid w:val="00B52325"/>
    <w:rsid w:val="00B64FD0"/>
    <w:rsid w:val="00B918ED"/>
    <w:rsid w:val="00BA5BD0"/>
    <w:rsid w:val="00BB1D82"/>
    <w:rsid w:val="00BB2544"/>
    <w:rsid w:val="00BB5155"/>
    <w:rsid w:val="00BB7669"/>
    <w:rsid w:val="00BC0103"/>
    <w:rsid w:val="00BC3F1D"/>
    <w:rsid w:val="00BD51C5"/>
    <w:rsid w:val="00BF26E7"/>
    <w:rsid w:val="00C023F4"/>
    <w:rsid w:val="00C14A5F"/>
    <w:rsid w:val="00C53FCA"/>
    <w:rsid w:val="00C76BAF"/>
    <w:rsid w:val="00C814B9"/>
    <w:rsid w:val="00CC778C"/>
    <w:rsid w:val="00CD50DE"/>
    <w:rsid w:val="00CD516F"/>
    <w:rsid w:val="00D119A7"/>
    <w:rsid w:val="00D25FBA"/>
    <w:rsid w:val="00D32B28"/>
    <w:rsid w:val="00D42954"/>
    <w:rsid w:val="00D469C9"/>
    <w:rsid w:val="00D63244"/>
    <w:rsid w:val="00D66EAC"/>
    <w:rsid w:val="00D72943"/>
    <w:rsid w:val="00D730DF"/>
    <w:rsid w:val="00D772F0"/>
    <w:rsid w:val="00D77BDC"/>
    <w:rsid w:val="00DC402B"/>
    <w:rsid w:val="00DC6AEE"/>
    <w:rsid w:val="00DE0932"/>
    <w:rsid w:val="00E03A27"/>
    <w:rsid w:val="00E049F1"/>
    <w:rsid w:val="00E30D77"/>
    <w:rsid w:val="00E37A25"/>
    <w:rsid w:val="00E537FF"/>
    <w:rsid w:val="00E61B16"/>
    <w:rsid w:val="00E6539B"/>
    <w:rsid w:val="00E70A31"/>
    <w:rsid w:val="00E723A7"/>
    <w:rsid w:val="00EA3F38"/>
    <w:rsid w:val="00EA5AB6"/>
    <w:rsid w:val="00EC7615"/>
    <w:rsid w:val="00ED16AA"/>
    <w:rsid w:val="00ED668C"/>
    <w:rsid w:val="00ED6B8D"/>
    <w:rsid w:val="00EE3D7B"/>
    <w:rsid w:val="00EE53CB"/>
    <w:rsid w:val="00EF662E"/>
    <w:rsid w:val="00EF7CC4"/>
    <w:rsid w:val="00F10064"/>
    <w:rsid w:val="00F148F1"/>
    <w:rsid w:val="00F247FD"/>
    <w:rsid w:val="00F3438C"/>
    <w:rsid w:val="00F711A7"/>
    <w:rsid w:val="00F8213E"/>
    <w:rsid w:val="00F912B4"/>
    <w:rsid w:val="00FA1D7C"/>
    <w:rsid w:val="00FA3307"/>
    <w:rsid w:val="00FA3BBF"/>
    <w:rsid w:val="00FC2C45"/>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F1A43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nhideWhenUsed/>
    <w:rsid w:val="00E30D77"/>
    <w:rPr>
      <w:color w:val="0000FF" w:themeColor="hyperlink"/>
      <w:u w:val="single"/>
    </w:rPr>
  </w:style>
  <w:style w:type="character" w:customStyle="1" w:styleId="UnresolvedMention1">
    <w:name w:val="Unresolved Mention1"/>
    <w:basedOn w:val="DefaultParagraphFont"/>
    <w:uiPriority w:val="99"/>
    <w:semiHidden/>
    <w:unhideWhenUsed/>
    <w:rsid w:val="00E30D77"/>
    <w:rPr>
      <w:color w:val="605E5C"/>
      <w:shd w:val="clear" w:color="auto" w:fill="E1DFDD"/>
    </w:rPr>
  </w:style>
  <w:style w:type="paragraph" w:styleId="BalloonText">
    <w:name w:val="Balloon Text"/>
    <w:basedOn w:val="Normal"/>
    <w:link w:val="BalloonTextChar"/>
    <w:semiHidden/>
    <w:unhideWhenUsed/>
    <w:rsid w:val="00876CD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76CD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R16-WRC19-C-0011!A21-A3!MSW-F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97FAC-C876-4A94-AEAB-12022A3E3139}">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93096A8-54B1-4EC6-8236-C2D8A1693B81}">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32a1a8c5-2265-4ebc-b7a0-2071e2c5c9bb"/>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132D8F75-D54C-4CAA-82E8-F1142843E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92F365-00D7-4C4E-BF5E-2F93FDF3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1320</Words>
  <Characters>6938</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R16-WRC19-C-0011!A21-A3!MSW-F</vt:lpstr>
    </vt:vector>
  </TitlesOfParts>
  <Manager>Secrétariat général - Pool</Manager>
  <Company>Union internationale des télécommunications (UIT)</Company>
  <LinksUpToDate>false</LinksUpToDate>
  <CharactersWithSpaces>8230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R16-WRC19-C-0011!A21-A3!MSW-F</dc:title>
  <dc:subject>Conférence mondiale des radiocommunications - 2019</dc:subject>
  <dc:creator>Documents Proposals Manager (DPM)</dc:creator>
  <cp:keywords>DPM_v2019.9.20.1_prod</cp:keywords>
  <dc:description/>
  <cp:lastModifiedBy>French</cp:lastModifiedBy>
  <cp:revision>14</cp:revision>
  <cp:lastPrinted>2019-10-07T08:44:00Z</cp:lastPrinted>
  <dcterms:created xsi:type="dcterms:W3CDTF">2019-09-26T13:40:00Z</dcterms:created>
  <dcterms:modified xsi:type="dcterms:W3CDTF">2019-10-07T08:44:00Z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