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B55F2C" w:rsidTr="0050008E">
        <w:trPr>
          <w:cantSplit/>
        </w:trPr>
        <w:tc>
          <w:tcPr>
            <w:tcW w:w="6911" w:type="dxa"/>
          </w:tcPr>
          <w:p w:rsidR="0090121B" w:rsidRPr="00B55F2C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55F2C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B55F2C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B55F2C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B55F2C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B55F2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B55F2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B55F2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Pr="00B55F2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-</w:t>
            </w:r>
            <w:r w:rsidR="00C44E9E" w:rsidRPr="00B55F2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B55F2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B55F2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B55F2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B55F2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:rsidR="0090121B" w:rsidRPr="00B55F2C" w:rsidRDefault="00DA71A3" w:rsidP="00CE7431">
            <w:pPr>
              <w:spacing w:before="0" w:line="240" w:lineRule="atLeast"/>
              <w:jc w:val="right"/>
            </w:pPr>
            <w:r w:rsidRPr="00B55F2C">
              <w:rPr>
                <w:rFonts w:ascii="Verdana" w:hAnsi="Verdana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B55F2C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B55F2C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B55F2C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B55F2C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B55F2C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B55F2C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B55F2C" w:rsidTr="0090121B">
        <w:trPr>
          <w:cantSplit/>
        </w:trPr>
        <w:tc>
          <w:tcPr>
            <w:tcW w:w="6911" w:type="dxa"/>
          </w:tcPr>
          <w:p w:rsidR="0090121B" w:rsidRPr="00B55F2C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B55F2C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90121B" w:rsidRPr="00B55F2C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B55F2C">
              <w:rPr>
                <w:rFonts w:ascii="Verdana" w:hAnsi="Verdana"/>
                <w:b/>
                <w:sz w:val="20"/>
              </w:rPr>
              <w:t>Addéndum 2 al</w:t>
            </w:r>
            <w:r w:rsidRPr="00B55F2C">
              <w:rPr>
                <w:rFonts w:ascii="Verdana" w:hAnsi="Verdana"/>
                <w:b/>
                <w:sz w:val="20"/>
              </w:rPr>
              <w:br/>
              <w:t>Documento 11(Add.21)</w:t>
            </w:r>
            <w:r w:rsidR="0090121B" w:rsidRPr="00B55F2C">
              <w:rPr>
                <w:rFonts w:ascii="Verdana" w:hAnsi="Verdana"/>
                <w:b/>
                <w:sz w:val="20"/>
              </w:rPr>
              <w:t>-</w:t>
            </w:r>
            <w:r w:rsidRPr="00B55F2C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0"/>
      <w:tr w:rsidR="000A5B9A" w:rsidRPr="00B55F2C" w:rsidTr="0090121B">
        <w:trPr>
          <w:cantSplit/>
        </w:trPr>
        <w:tc>
          <w:tcPr>
            <w:tcW w:w="6911" w:type="dxa"/>
          </w:tcPr>
          <w:p w:rsidR="000A5B9A" w:rsidRPr="00B55F2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B55F2C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55F2C">
              <w:rPr>
                <w:rFonts w:ascii="Verdana" w:hAnsi="Verdana"/>
                <w:b/>
                <w:sz w:val="20"/>
              </w:rPr>
              <w:t>24 de junio de 2019</w:t>
            </w:r>
          </w:p>
        </w:tc>
      </w:tr>
      <w:tr w:rsidR="000A5B9A" w:rsidRPr="00B55F2C" w:rsidTr="0090121B">
        <w:trPr>
          <w:cantSplit/>
        </w:trPr>
        <w:tc>
          <w:tcPr>
            <w:tcW w:w="6911" w:type="dxa"/>
          </w:tcPr>
          <w:p w:rsidR="000A5B9A" w:rsidRPr="00B55F2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B55F2C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55F2C">
              <w:rPr>
                <w:rFonts w:ascii="Verdana" w:hAnsi="Verdana"/>
                <w:b/>
                <w:sz w:val="20"/>
              </w:rPr>
              <w:t>Original: inglés</w:t>
            </w:r>
            <w:r w:rsidR="00B55F2C">
              <w:rPr>
                <w:rFonts w:ascii="Verdana" w:hAnsi="Verdana"/>
                <w:b/>
                <w:sz w:val="20"/>
              </w:rPr>
              <w:t>/español</w:t>
            </w:r>
          </w:p>
        </w:tc>
      </w:tr>
      <w:tr w:rsidR="000A5B9A" w:rsidRPr="00B55F2C" w:rsidTr="006744FC">
        <w:trPr>
          <w:cantSplit/>
        </w:trPr>
        <w:tc>
          <w:tcPr>
            <w:tcW w:w="10031" w:type="dxa"/>
            <w:gridSpan w:val="2"/>
          </w:tcPr>
          <w:p w:rsidR="000A5B9A" w:rsidRPr="00B55F2C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B55F2C" w:rsidTr="0050008E">
        <w:trPr>
          <w:cantSplit/>
        </w:trPr>
        <w:tc>
          <w:tcPr>
            <w:tcW w:w="10031" w:type="dxa"/>
            <w:gridSpan w:val="2"/>
          </w:tcPr>
          <w:p w:rsidR="000A5B9A" w:rsidRPr="00B55F2C" w:rsidRDefault="000A5B9A" w:rsidP="000A5B9A">
            <w:pPr>
              <w:pStyle w:val="Source"/>
            </w:pPr>
            <w:bookmarkStart w:id="1" w:name="dsource" w:colFirst="0" w:colLast="0"/>
            <w:r w:rsidRPr="00B55F2C">
              <w:t>Estados Miembros de la Comisión Interamericana de Telecomunicaciones (CITEL)</w:t>
            </w:r>
          </w:p>
        </w:tc>
      </w:tr>
      <w:tr w:rsidR="000A5B9A" w:rsidRPr="00B55F2C" w:rsidTr="0050008E">
        <w:trPr>
          <w:cantSplit/>
        </w:trPr>
        <w:tc>
          <w:tcPr>
            <w:tcW w:w="10031" w:type="dxa"/>
            <w:gridSpan w:val="2"/>
          </w:tcPr>
          <w:p w:rsidR="000A5B9A" w:rsidRPr="00B55F2C" w:rsidRDefault="0034615C" w:rsidP="000A5B9A">
            <w:pPr>
              <w:pStyle w:val="Title1"/>
            </w:pPr>
            <w:bookmarkStart w:id="2" w:name="dtitle1" w:colFirst="0" w:colLast="0"/>
            <w:bookmarkEnd w:id="1"/>
            <w:r w:rsidRPr="00B55F2C">
              <w:t>Propuestas para los trabajos de la Conferencia</w:t>
            </w:r>
          </w:p>
        </w:tc>
      </w:tr>
      <w:tr w:rsidR="000A5B9A" w:rsidRPr="00B55F2C" w:rsidTr="0050008E">
        <w:trPr>
          <w:cantSplit/>
        </w:trPr>
        <w:tc>
          <w:tcPr>
            <w:tcW w:w="10031" w:type="dxa"/>
            <w:gridSpan w:val="2"/>
          </w:tcPr>
          <w:p w:rsidR="000A5B9A" w:rsidRPr="00B55F2C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B55F2C" w:rsidTr="0050008E">
        <w:trPr>
          <w:cantSplit/>
        </w:trPr>
        <w:tc>
          <w:tcPr>
            <w:tcW w:w="10031" w:type="dxa"/>
            <w:gridSpan w:val="2"/>
          </w:tcPr>
          <w:p w:rsidR="000A5B9A" w:rsidRPr="00B55F2C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B55F2C">
              <w:t>Punto 9.1(9.1.2) del orden del día</w:t>
            </w:r>
          </w:p>
        </w:tc>
      </w:tr>
    </w:tbl>
    <w:bookmarkEnd w:id="4"/>
    <w:p w:rsidR="001C0E40" w:rsidRPr="00B55F2C" w:rsidRDefault="00B55F2C" w:rsidP="003A37B0">
      <w:r w:rsidRPr="00B55F2C">
        <w:t>9</w:t>
      </w:r>
      <w:r w:rsidRPr="00B55F2C">
        <w:tab/>
        <w:t>examinar y aprobar el Informe del Director de la Oficina de Radiocomunicaciones, de conformidad con el Artículo 7 del Convenio:</w:t>
      </w:r>
    </w:p>
    <w:p w:rsidR="001C0E40" w:rsidRPr="00B55F2C" w:rsidRDefault="00B55F2C" w:rsidP="003A37B0">
      <w:r w:rsidRPr="00B55F2C">
        <w:t>9.1</w:t>
      </w:r>
      <w:r w:rsidRPr="00B55F2C">
        <w:tab/>
        <w:t>sobre las actividades del Sector de Radiocomunicaciones desde la CMR</w:t>
      </w:r>
      <w:r w:rsidRPr="00B55F2C">
        <w:noBreakHyphen/>
        <w:t>15;</w:t>
      </w:r>
    </w:p>
    <w:p w:rsidR="001C0E40" w:rsidRPr="00B55F2C" w:rsidRDefault="00B55F2C" w:rsidP="003A37B0">
      <w:r w:rsidRPr="00B55F2C">
        <w:rPr>
          <w:rFonts w:cstheme="majorBidi"/>
          <w:color w:val="000000"/>
          <w:szCs w:val="24"/>
          <w:lang w:eastAsia="zh-CN"/>
        </w:rPr>
        <w:t>9.1 (</w:t>
      </w:r>
      <w:r w:rsidRPr="00B55F2C">
        <w:rPr>
          <w:lang w:eastAsia="zh-CN"/>
        </w:rPr>
        <w:t>9.1.2)</w:t>
      </w:r>
      <w:r w:rsidRPr="00B55F2C">
        <w:tab/>
      </w:r>
      <w:hyperlink w:anchor="RES_761" w:history="1">
        <w:r w:rsidRPr="00B55F2C">
          <w:t xml:space="preserve">Resolución </w:t>
        </w:r>
        <w:r w:rsidRPr="00B55F2C">
          <w:rPr>
            <w:b/>
            <w:bCs/>
          </w:rPr>
          <w:t>761 (CMR-15)</w:t>
        </w:r>
      </w:hyperlink>
      <w:r w:rsidRPr="00B55F2C">
        <w:t xml:space="preserve"> – Compatibilidad de las telecomunicaciones móviles internacionales y el servicio de radiodifusión por satélite (sonora) en la banda de frecuencias 1 452</w:t>
      </w:r>
      <w:r w:rsidRPr="00B55F2C">
        <w:noBreakHyphen/>
        <w:t>1 492 MHz en las Regiones 1 y 3</w:t>
      </w:r>
    </w:p>
    <w:p w:rsidR="0034615C" w:rsidRPr="00B55F2C" w:rsidRDefault="0034615C" w:rsidP="0034615C">
      <w:pPr>
        <w:pStyle w:val="Headingb"/>
      </w:pPr>
      <w:r w:rsidRPr="00B55F2C">
        <w:t>Antecedentes</w:t>
      </w:r>
    </w:p>
    <w:p w:rsidR="0034615C" w:rsidRPr="00B55F2C" w:rsidRDefault="0034615C" w:rsidP="0034615C">
      <w:r w:rsidRPr="00B55F2C">
        <w:t xml:space="preserve">En la CMR-15, se decidió identificar la banda de frecuencia 1452-1492 MHz para las telecomunicaciones móviles internacionales (IMT) en más de 50 países en la Región 1 a través del N.º </w:t>
      </w:r>
      <w:r w:rsidRPr="00B55F2C">
        <w:rPr>
          <w:b/>
        </w:rPr>
        <w:t>5.346</w:t>
      </w:r>
      <w:r w:rsidRPr="00B55F2C">
        <w:t xml:space="preserve"> y en la Región 3 a través de N.º </w:t>
      </w:r>
      <w:r w:rsidRPr="00B55F2C">
        <w:rPr>
          <w:b/>
        </w:rPr>
        <w:t>5.346A</w:t>
      </w:r>
      <w:r w:rsidRPr="00B55F2C">
        <w:t xml:space="preserve">. En la Región 2, la identificación de las IMT para la banda de frecuencia 1452-1492 MHz se brinda a través del N.º </w:t>
      </w:r>
      <w:r w:rsidRPr="00B55F2C">
        <w:rPr>
          <w:b/>
        </w:rPr>
        <w:t>5.341B.</w:t>
      </w:r>
      <w:r w:rsidRPr="00B55F2C">
        <w:t xml:space="preserve"> </w:t>
      </w:r>
    </w:p>
    <w:p w:rsidR="0034615C" w:rsidRPr="00B55F2C" w:rsidRDefault="0034615C" w:rsidP="00C570D3">
      <w:r w:rsidRPr="00B55F2C">
        <w:rPr>
          <w:rStyle w:val="Artdef"/>
          <w:rFonts w:eastAsia="Yu Gothic Light"/>
          <w:b w:val="0"/>
          <w:sz w:val="22"/>
          <w:szCs w:val="22"/>
        </w:rPr>
        <w:t>Además de la asignación primaria de servicios móviles en la banda de frecuencia 1452-1492 MHz, la banda se asigna a los servicios fijos, de radiodifusión y de radiodifusión por satélite (BSS) en las tres Regiones en forma primaria. De conformidad con el</w:t>
      </w:r>
      <w:r w:rsidRPr="00B55F2C">
        <w:rPr>
          <w:rStyle w:val="Artdef"/>
          <w:rFonts w:eastAsia="Yu Gothic Light"/>
          <w:sz w:val="22"/>
          <w:szCs w:val="22"/>
        </w:rPr>
        <w:t xml:space="preserve"> </w:t>
      </w:r>
      <w:r w:rsidRPr="00B55F2C">
        <w:t xml:space="preserve">N.º </w:t>
      </w:r>
      <w:r w:rsidRPr="00B55F2C">
        <w:rPr>
          <w:b/>
        </w:rPr>
        <w:t xml:space="preserve">5.345, </w:t>
      </w:r>
      <w:r w:rsidRPr="00B55F2C">
        <w:t xml:space="preserve">el uso de la banda de frecuencia 1 452-1 492 MHz por el servicio de radiodifusión por satélite, y por el servicio de radiodifusión, se limita a la radiodifusión de sonido digital y está sujeta a las disposiciones de la Resolución </w:t>
      </w:r>
      <w:r w:rsidRPr="00B55F2C">
        <w:rPr>
          <w:b/>
        </w:rPr>
        <w:t>528 (CAMR-92)</w:t>
      </w:r>
      <w:r w:rsidRPr="00B55F2C">
        <w:t>, modificada posteriormente por la CMR-03</w:t>
      </w:r>
      <w:r w:rsidRPr="00B55F2C">
        <w:rPr>
          <w:b/>
        </w:rPr>
        <w:t xml:space="preserve"> </w:t>
      </w:r>
      <w:r w:rsidRPr="00B55F2C">
        <w:t>y la</w:t>
      </w:r>
      <w:r w:rsidRPr="00B55F2C">
        <w:rPr>
          <w:b/>
        </w:rPr>
        <w:t xml:space="preserve"> </w:t>
      </w:r>
      <w:r w:rsidRPr="00B55F2C">
        <w:t xml:space="preserve">CMR-15. Las condiciones de intercambio entre BSS (sonoro) y el servicio móvil actualmente se rigen por el N.º </w:t>
      </w:r>
      <w:r w:rsidRPr="00B55F2C">
        <w:rPr>
          <w:b/>
        </w:rPr>
        <w:t>9.11</w:t>
      </w:r>
      <w:r w:rsidRPr="00B55F2C">
        <w:t>. Sin embargo, no hay en la actualidad un límite a la densidad de flujo de potencia (dfp) para la banda de frecuencia 1</w:t>
      </w:r>
      <w:r w:rsidR="00C570D3" w:rsidRPr="00B55F2C">
        <w:t> </w:t>
      </w:r>
      <w:r w:rsidRPr="00B55F2C">
        <w:t>452</w:t>
      </w:r>
      <w:r w:rsidR="00C570D3" w:rsidRPr="00B55F2C">
        <w:noBreakHyphen/>
      </w:r>
      <w:r w:rsidRPr="00B55F2C">
        <w:t>1</w:t>
      </w:r>
      <w:r w:rsidR="00C570D3" w:rsidRPr="00B55F2C">
        <w:t> </w:t>
      </w:r>
      <w:r w:rsidRPr="00B55F2C">
        <w:t>492</w:t>
      </w:r>
      <w:r w:rsidR="00C570D3" w:rsidRPr="00B55F2C">
        <w:t> </w:t>
      </w:r>
      <w:r w:rsidRPr="00B55F2C">
        <w:t>MHz en el artículo 21</w:t>
      </w:r>
      <w:r w:rsidRPr="00B55F2C">
        <w:rPr>
          <w:b/>
        </w:rPr>
        <w:t xml:space="preserve"> </w:t>
      </w:r>
      <w:r w:rsidRPr="00B55F2C">
        <w:t xml:space="preserve">que proteja al servicio móvil (protección de área de servicio). </w:t>
      </w:r>
    </w:p>
    <w:p w:rsidR="0034615C" w:rsidRPr="00B55F2C" w:rsidRDefault="0034615C" w:rsidP="007918F4">
      <w:r w:rsidRPr="00B55F2C">
        <w:t>La CMR-15 no pudo llegar a un acuerdo sobre los resultados de los estudios técnicos y reglamentarios realizados sobre el uso compartido de la banda de frecuencia 1 452-1 492 MHz por las IMT y el BSS para las Regiones 1 y 3, y por ese motivo se acordó el Asunto 9.1.2 de la CMR</w:t>
      </w:r>
      <w:r w:rsidR="007918F4" w:rsidRPr="00B55F2C">
        <w:noBreakHyphen/>
      </w:r>
      <w:r w:rsidRPr="00B55F2C">
        <w:t xml:space="preserve">19, de conformidad con la Resolución </w:t>
      </w:r>
      <w:r w:rsidRPr="00B55F2C">
        <w:rPr>
          <w:b/>
        </w:rPr>
        <w:t>761 (CMR-15)</w:t>
      </w:r>
      <w:r w:rsidRPr="00B55F2C">
        <w:t xml:space="preserve">. Esta resolución insta específicamente a llevar a cabo estudios regulatorios y técnicos para asegurar la compatibilidad de las IMT y el BSS (sonoro) en la banda de frecuencia 1 452-1 492 MHz en las Regiones 1 y 3, considerando </w:t>
      </w:r>
      <w:bookmarkStart w:id="5" w:name="_GoBack"/>
      <w:bookmarkEnd w:id="5"/>
      <w:r w:rsidRPr="00B55F2C">
        <w:t xml:space="preserve">únicamente los requisitos operativos de las IMT y el BSS (sonoro). Asimismo, la Resolución </w:t>
      </w:r>
      <w:r w:rsidRPr="00B55F2C">
        <w:rPr>
          <w:b/>
        </w:rPr>
        <w:t xml:space="preserve">761 </w:t>
      </w:r>
      <w:r w:rsidRPr="00B55F2C">
        <w:rPr>
          <w:b/>
        </w:rPr>
        <w:lastRenderedPageBreak/>
        <w:t>(CMR-15)</w:t>
      </w:r>
      <w:r w:rsidRPr="00B55F2C">
        <w:t xml:space="preserve"> insta a los Estados Miembros de la UIT en la Región 1 a usar las pautas de orientación en los estudios del UIT</w:t>
      </w:r>
      <w:r w:rsidRPr="00B55F2C">
        <w:noBreakHyphen/>
        <w:t>R con el fin de determinar la necesidad de coordinación bilateral entre los sistemas de IMT y las estaciones terrenas de BSS hasta que la CMR</w:t>
      </w:r>
      <w:r w:rsidRPr="00B55F2C">
        <w:noBreakHyphen/>
        <w:t>19 defina las condiciones regulatorias y técnicas para esta coordinación bilateral y los Estados Miembros en la Región 3; y a usar las pautas de los estudios del UIT</w:t>
      </w:r>
      <w:r w:rsidRPr="00B55F2C">
        <w:noBreakHyphen/>
        <w:t>R para determinar la necesidad de una coordinación bilateral que proteja las estaciones terrenas de BSS hasta que la CMR</w:t>
      </w:r>
      <w:r w:rsidRPr="00B55F2C">
        <w:noBreakHyphen/>
        <w:t>19 defina las condiciones regulatorias y técnicas para esta coordinación bilateral. Con respecto a la Región 2, los intereses de los países en la Región en la banda 1452-1492 MHz por el servicio móvil se extienden más allá de las aplicaciones de las IMT (p. ej., ver N.º</w:t>
      </w:r>
      <w:r w:rsidRPr="00B55F2C">
        <w:rPr>
          <w:b/>
        </w:rPr>
        <w:t xml:space="preserve"> 5.343</w:t>
      </w:r>
      <w:r w:rsidRPr="00B55F2C">
        <w:t>). Asimismo, la mayoría de los países en la Región han tenido desde hace tiempo exitosos acuerdos multilaterales y bilaterales de coordinación de frecuencias con sus vecinos, sin necesidad de orientación específica de la UIT sobre cómo llevar a cabo tales acuerdos.</w:t>
      </w:r>
    </w:p>
    <w:p w:rsidR="0034615C" w:rsidRPr="00B55F2C" w:rsidRDefault="0082585E" w:rsidP="0034615C">
      <w:pPr>
        <w:pStyle w:val="Headingb"/>
      </w:pPr>
      <w:r>
        <w:t>PROPUESTAS INTER</w:t>
      </w:r>
      <w:r w:rsidR="0034615C" w:rsidRPr="00B55F2C">
        <w:t>AMERICANAS</w:t>
      </w:r>
    </w:p>
    <w:p w:rsidR="00DE5777" w:rsidRPr="00B55F2C" w:rsidRDefault="00B55F2C">
      <w:pPr>
        <w:pStyle w:val="Proposal"/>
      </w:pPr>
      <w:r w:rsidRPr="00B55F2C">
        <w:tab/>
        <w:t>IAP/11A21A2/1</w:t>
      </w:r>
    </w:p>
    <w:p w:rsidR="00DE5777" w:rsidRPr="00B55F2C" w:rsidRDefault="00B55F2C" w:rsidP="0034615C">
      <w:r w:rsidRPr="00B55F2C">
        <w:tab/>
      </w:r>
      <w:r w:rsidR="0034615C" w:rsidRPr="00B55F2C">
        <w:t xml:space="preserve">Dado que la Cuestión 9.1.2 del Punto 9.1 de la Agenda de la CMR-19 atañe únicamente para las Regiones 1 y 3, se propone no cambio para la </w:t>
      </w:r>
      <w:r w:rsidR="0034615C" w:rsidRPr="00B55F2C">
        <w:rPr>
          <w:rFonts w:eastAsia="SimSun"/>
          <w:bCs/>
          <w:lang w:eastAsia="zh-CN"/>
        </w:rPr>
        <w:t>Región 2. Por tal motivo, cualquier modificación que se efectúe en el Reglamento de Radiocomunicaciones bajo la cuestión 9.1.2 de la CMR-19 no deberá impactar las atribuciones existentes en la Región 2, así como en las provisiones reglamentarias o de procedimiento en la banda de frecuencia 1 452-1 492 MHz.</w:t>
      </w:r>
    </w:p>
    <w:p w:rsidR="00DE5777" w:rsidRPr="00B55F2C" w:rsidRDefault="00B55F2C" w:rsidP="00BF49EE">
      <w:pPr>
        <w:pStyle w:val="Reasons"/>
      </w:pPr>
      <w:r w:rsidRPr="00B55F2C">
        <w:rPr>
          <w:b/>
        </w:rPr>
        <w:t>Motivos:</w:t>
      </w:r>
      <w:r w:rsidRPr="00B55F2C">
        <w:tab/>
      </w:r>
      <w:r w:rsidR="0034615C" w:rsidRPr="00B55F2C">
        <w:t>El punto del orden del día 9.1, asunto 9.1.2 de la CMR-19 se limita a estudios técnicos y regulatorios de los servicios móviles (IMT) y de radiodifusión satelital (sonoro) en la banda 1452</w:t>
      </w:r>
      <w:r w:rsidR="00BF49EE" w:rsidRPr="00B55F2C">
        <w:noBreakHyphen/>
      </w:r>
      <w:r w:rsidR="0034615C" w:rsidRPr="00B55F2C">
        <w:t>1492 MHz en las Regiones 1 y 3 únicamente. Por consiguiente, cualquier cambio en el Reglamento de Radiocomunicaciones que se realice en las Regiones 1 y 3 en la banda de frecuencia 1452-1492 MHz no deberá modificar las condiciones de los servicios en la Región 2 en el marco de este asunto. Por ende, se propone no implementar ningún cambio (NOC) al artículo 5 que pueda afectar los servicios en la Región 2 en la banda de frecuencia 1452-1492 MHz.</w:t>
      </w:r>
    </w:p>
    <w:p w:rsidR="006537F1" w:rsidRPr="00B55F2C" w:rsidRDefault="00B55F2C" w:rsidP="0034615C">
      <w:pPr>
        <w:pStyle w:val="ArtNo"/>
      </w:pPr>
      <w:r w:rsidRPr="00B55F2C">
        <w:t xml:space="preserve">ARTÍCULO </w:t>
      </w:r>
      <w:r w:rsidRPr="00B55F2C">
        <w:rPr>
          <w:rStyle w:val="href"/>
        </w:rPr>
        <w:t>5</w:t>
      </w:r>
    </w:p>
    <w:p w:rsidR="006537F1" w:rsidRPr="00B55F2C" w:rsidRDefault="00B55F2C" w:rsidP="006537F1">
      <w:pPr>
        <w:pStyle w:val="Arttitle"/>
      </w:pPr>
      <w:r w:rsidRPr="00B55F2C">
        <w:t>Atribuciones de frecuencia</w:t>
      </w:r>
    </w:p>
    <w:p w:rsidR="006537F1" w:rsidRPr="00B55F2C" w:rsidRDefault="00B55F2C" w:rsidP="006537F1">
      <w:pPr>
        <w:pStyle w:val="Section1"/>
      </w:pPr>
      <w:r w:rsidRPr="00B55F2C">
        <w:t>Sección IV – Cuadro de atribución de bandas de frecuencias</w:t>
      </w:r>
      <w:r w:rsidRPr="00B55F2C">
        <w:br/>
      </w:r>
      <w:r w:rsidRPr="00B55F2C">
        <w:rPr>
          <w:b w:val="0"/>
          <w:bCs/>
        </w:rPr>
        <w:t>(Véase el número</w:t>
      </w:r>
      <w:r w:rsidRPr="00B55F2C">
        <w:t xml:space="preserve"> </w:t>
      </w:r>
      <w:r w:rsidRPr="00B55F2C">
        <w:rPr>
          <w:rStyle w:val="Artref"/>
        </w:rPr>
        <w:t>2.1</w:t>
      </w:r>
      <w:r w:rsidRPr="00B55F2C">
        <w:rPr>
          <w:b w:val="0"/>
          <w:bCs/>
        </w:rPr>
        <w:t>)</w:t>
      </w:r>
      <w:r w:rsidRPr="00B55F2C">
        <w:br/>
      </w:r>
    </w:p>
    <w:p w:rsidR="00DE5777" w:rsidRPr="00B55F2C" w:rsidRDefault="00B55F2C">
      <w:pPr>
        <w:pStyle w:val="Proposal"/>
      </w:pPr>
      <w:r w:rsidRPr="00B55F2C">
        <w:rPr>
          <w:u w:val="single"/>
        </w:rPr>
        <w:t>NOC</w:t>
      </w:r>
      <w:r w:rsidRPr="00B55F2C">
        <w:tab/>
        <w:t>IAP/11A21A2/2</w:t>
      </w:r>
    </w:p>
    <w:p w:rsidR="006537F1" w:rsidRPr="00B55F2C" w:rsidRDefault="00B55F2C" w:rsidP="006537F1">
      <w:pPr>
        <w:pStyle w:val="Tabletitle"/>
        <w:spacing w:before="120"/>
      </w:pPr>
      <w:r w:rsidRPr="00B55F2C">
        <w:t>1 300-1 525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6537F1" w:rsidRPr="00B55F2C" w:rsidTr="006537F1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7F1" w:rsidRPr="00B55F2C" w:rsidRDefault="00B55F2C" w:rsidP="006537F1">
            <w:pPr>
              <w:pStyle w:val="Tablehead"/>
              <w:rPr>
                <w:color w:val="000000"/>
              </w:rPr>
            </w:pPr>
            <w:r w:rsidRPr="00B55F2C">
              <w:rPr>
                <w:color w:val="000000"/>
              </w:rPr>
              <w:t>Atribución a los servicios</w:t>
            </w:r>
          </w:p>
        </w:tc>
      </w:tr>
      <w:tr w:rsidR="006537F1" w:rsidRPr="00B55F2C" w:rsidTr="006537F1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7F1" w:rsidRPr="00B55F2C" w:rsidRDefault="00B55F2C" w:rsidP="006537F1">
            <w:pPr>
              <w:pStyle w:val="Tablehead"/>
              <w:rPr>
                <w:color w:val="000000"/>
              </w:rPr>
            </w:pPr>
            <w:r w:rsidRPr="00B55F2C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7F1" w:rsidRPr="00B55F2C" w:rsidRDefault="00B55F2C" w:rsidP="006537F1">
            <w:pPr>
              <w:pStyle w:val="Tablehead"/>
              <w:rPr>
                <w:color w:val="000000"/>
              </w:rPr>
            </w:pPr>
            <w:r w:rsidRPr="00B55F2C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7F1" w:rsidRPr="00B55F2C" w:rsidRDefault="00B55F2C" w:rsidP="006537F1">
            <w:pPr>
              <w:pStyle w:val="Tablehead"/>
              <w:rPr>
                <w:color w:val="000000"/>
              </w:rPr>
            </w:pPr>
            <w:r w:rsidRPr="00B55F2C">
              <w:rPr>
                <w:color w:val="000000"/>
              </w:rPr>
              <w:t>Región 3</w:t>
            </w:r>
          </w:p>
        </w:tc>
      </w:tr>
      <w:tr w:rsidR="006537F1" w:rsidRPr="00B55F2C" w:rsidTr="00653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9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1" w:rsidRPr="00B55F2C" w:rsidRDefault="0023157F" w:rsidP="006537F1">
            <w:pPr>
              <w:pStyle w:val="TableTextS5"/>
              <w:spacing w:line="220" w:lineRule="exact"/>
              <w:rPr>
                <w:color w:val="000000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1" w:rsidRPr="00B55F2C" w:rsidRDefault="00B55F2C" w:rsidP="006537F1">
            <w:pPr>
              <w:pStyle w:val="TableTextS5"/>
              <w:spacing w:line="220" w:lineRule="exact"/>
              <w:rPr>
                <w:color w:val="000000"/>
              </w:rPr>
            </w:pPr>
            <w:r w:rsidRPr="00B55F2C">
              <w:rPr>
                <w:rStyle w:val="Tablefreq"/>
                <w:color w:val="000000"/>
              </w:rPr>
              <w:t>1</w:t>
            </w:r>
            <w:r w:rsidRPr="00B55F2C">
              <w:t> </w:t>
            </w:r>
            <w:r w:rsidRPr="00B55F2C">
              <w:rPr>
                <w:rStyle w:val="Tablefreq"/>
                <w:color w:val="000000"/>
              </w:rPr>
              <w:t>452-1</w:t>
            </w:r>
            <w:r w:rsidRPr="00B55F2C">
              <w:t> </w:t>
            </w:r>
            <w:r w:rsidRPr="00B55F2C">
              <w:rPr>
                <w:rStyle w:val="Tablefreq"/>
                <w:color w:val="000000"/>
              </w:rPr>
              <w:t>492</w:t>
            </w:r>
          </w:p>
          <w:p w:rsidR="006537F1" w:rsidRPr="00B55F2C" w:rsidRDefault="00B55F2C" w:rsidP="006537F1">
            <w:pPr>
              <w:pStyle w:val="TableTextS5"/>
              <w:spacing w:line="220" w:lineRule="exact"/>
              <w:ind w:left="459"/>
              <w:rPr>
                <w:color w:val="000000"/>
              </w:rPr>
            </w:pPr>
            <w:r w:rsidRPr="00B55F2C">
              <w:rPr>
                <w:color w:val="000000"/>
              </w:rPr>
              <w:tab/>
              <w:t>FIJO</w:t>
            </w:r>
          </w:p>
          <w:p w:rsidR="006537F1" w:rsidRPr="00B55F2C" w:rsidRDefault="00B55F2C" w:rsidP="006537F1">
            <w:pPr>
              <w:pStyle w:val="TableTextS5"/>
              <w:spacing w:line="220" w:lineRule="exact"/>
              <w:ind w:left="459"/>
              <w:rPr>
                <w:color w:val="000000"/>
              </w:rPr>
            </w:pPr>
            <w:r w:rsidRPr="00B55F2C">
              <w:rPr>
                <w:color w:val="000000"/>
              </w:rPr>
              <w:tab/>
              <w:t xml:space="preserve">MÓVIL  5.341B  </w:t>
            </w:r>
            <w:r w:rsidRPr="00B55F2C">
              <w:rPr>
                <w:rStyle w:val="Artref"/>
                <w:color w:val="000000"/>
              </w:rPr>
              <w:t>5.343  5.346A</w:t>
            </w:r>
          </w:p>
          <w:p w:rsidR="006537F1" w:rsidRPr="00B55F2C" w:rsidRDefault="00B55F2C" w:rsidP="006537F1">
            <w:pPr>
              <w:pStyle w:val="TableTextS5"/>
              <w:spacing w:line="220" w:lineRule="exact"/>
              <w:ind w:left="459"/>
              <w:rPr>
                <w:color w:val="000000"/>
              </w:rPr>
            </w:pPr>
            <w:r w:rsidRPr="00B55F2C">
              <w:rPr>
                <w:color w:val="000000"/>
              </w:rPr>
              <w:tab/>
              <w:t>RADIODIFUSIÓN</w:t>
            </w:r>
          </w:p>
          <w:p w:rsidR="006537F1" w:rsidRPr="00B55F2C" w:rsidRDefault="00B55F2C" w:rsidP="006537F1">
            <w:pPr>
              <w:pStyle w:val="TableTextS5"/>
              <w:spacing w:line="220" w:lineRule="exact"/>
              <w:ind w:left="459"/>
              <w:rPr>
                <w:color w:val="000000"/>
              </w:rPr>
            </w:pPr>
            <w:r w:rsidRPr="00B55F2C">
              <w:rPr>
                <w:color w:val="000000"/>
              </w:rPr>
              <w:tab/>
              <w:t>RADIODIFUSIÓN POR SATÉLITE  5.208B</w:t>
            </w:r>
          </w:p>
          <w:p w:rsidR="006537F1" w:rsidRPr="00B55F2C" w:rsidRDefault="00B55F2C" w:rsidP="006537F1">
            <w:pPr>
              <w:pStyle w:val="TableTextS5"/>
              <w:spacing w:before="80" w:line="220" w:lineRule="exact"/>
              <w:ind w:left="459"/>
              <w:rPr>
                <w:color w:val="000000"/>
              </w:rPr>
            </w:pPr>
            <w:r w:rsidRPr="00B55F2C">
              <w:rPr>
                <w:rStyle w:val="Artref"/>
                <w:color w:val="000000"/>
              </w:rPr>
              <w:br/>
            </w:r>
            <w:r w:rsidRPr="00B55F2C">
              <w:rPr>
                <w:rStyle w:val="Artref"/>
                <w:color w:val="000000"/>
              </w:rPr>
              <w:br/>
              <w:t>5.341</w:t>
            </w:r>
            <w:r w:rsidRPr="00B55F2C">
              <w:rPr>
                <w:color w:val="000000"/>
              </w:rPr>
              <w:t xml:space="preserve">  </w:t>
            </w:r>
            <w:r w:rsidRPr="00B55F2C">
              <w:rPr>
                <w:rStyle w:val="Artref"/>
                <w:color w:val="000000"/>
              </w:rPr>
              <w:t>5.344  5.345</w:t>
            </w:r>
          </w:p>
        </w:tc>
      </w:tr>
    </w:tbl>
    <w:p w:rsidR="00DE5777" w:rsidRPr="00B55F2C" w:rsidRDefault="00B55F2C" w:rsidP="0034615C">
      <w:pPr>
        <w:pStyle w:val="Reasons"/>
      </w:pPr>
      <w:r w:rsidRPr="00B55F2C">
        <w:rPr>
          <w:b/>
        </w:rPr>
        <w:lastRenderedPageBreak/>
        <w:t>Motivos:</w:t>
      </w:r>
      <w:r w:rsidRPr="00B55F2C">
        <w:tab/>
      </w:r>
      <w:r w:rsidR="0034615C" w:rsidRPr="00B55F2C">
        <w:t>El punto del orden del día 9.1, asunto 9.1.2 de la CMR-19 se limita a estudios técnicos y regulatorios de los servicios móviles (IMT) y de radiodifusión satelital (sonoro) en la banda 1452</w:t>
      </w:r>
      <w:r w:rsidR="0034615C" w:rsidRPr="00B55F2C">
        <w:noBreakHyphen/>
        <w:t>1492 MHz en las Regiones 1 y 3 únicamente. Por consiguiente, cualquier cambio en el Reglamento de Radiocomunicaciones que se realice en las Regiones 1 y 3 en la banda de frecuencia 1452-1492 MHz no deberá modificar las condiciones de los servicios en la Región 2 en el marco de este asunto. Por ende, se propone no implementar ningún cambio (NOC) al artículo 5 que pueda afectar los servicios en la Región 2 en la banda de frecuencia 1452-1492 MHz. Esta propuesta no aborda las Regiones 1 y 3, por lo que esas columnas de la Tabla de asignaciones de frecuencias en el artículo 5 no se reprodujeron precedentemente.</w:t>
      </w:r>
    </w:p>
    <w:p w:rsidR="00B55F2C" w:rsidRPr="00B55F2C" w:rsidRDefault="00B55F2C" w:rsidP="00B55F2C"/>
    <w:p w:rsidR="00B55F2C" w:rsidRPr="00B55F2C" w:rsidRDefault="00B55F2C">
      <w:pPr>
        <w:jc w:val="center"/>
      </w:pPr>
      <w:r w:rsidRPr="00B55F2C">
        <w:t>______________</w:t>
      </w:r>
    </w:p>
    <w:sectPr w:rsidR="00B55F2C" w:rsidRPr="00B55F2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8E" w:rsidRDefault="0059098E">
      <w:r>
        <w:separator/>
      </w:r>
    </w:p>
  </w:endnote>
  <w:endnote w:type="continuationSeparator" w:id="0">
    <w:p w:rsidR="0059098E" w:rsidRDefault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585E">
      <w:rPr>
        <w:noProof/>
      </w:rPr>
      <w:t>15.07.19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7F" w:rsidRDefault="0023157F" w:rsidP="0023157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P:\ESP\ITU-R\CONF-R\CMR19\000\011ADD21ADD02S.docx</w:t>
    </w:r>
    <w:r>
      <w:fldChar w:fldCharType="end"/>
    </w:r>
    <w:r>
      <w:t xml:space="preserve"> (457765)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23157F" w:rsidP="0023157F">
    <w:pPr>
      <w:pStyle w:val="Footer"/>
      <w:rPr>
        <w:lang w:val="en-US"/>
      </w:rPr>
    </w:pPr>
    <w:fldSimple w:instr=" FILENAME \p  \* MERGEFORMAT ">
      <w:r>
        <w:t>P:\ESP\ITU-R\CONF-R\CMR19\000\011ADD21ADD02S.docx</w:t>
      </w:r>
    </w:fldSimple>
    <w:r>
      <w:t xml:space="preserve"> (457765)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8E" w:rsidRDefault="0059098E">
      <w:r>
        <w:rPr>
          <w:b/>
        </w:rPr>
        <w:t>_______________</w:t>
      </w:r>
    </w:p>
  </w:footnote>
  <w:footnote w:type="continuationSeparator" w:id="0">
    <w:p w:rsidR="0059098E" w:rsidRDefault="0059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157F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11(Add.21)(Add.2)-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B0A2D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157F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4615C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18F4"/>
    <w:rsid w:val="007952C7"/>
    <w:rsid w:val="007C0B95"/>
    <w:rsid w:val="007C2317"/>
    <w:rsid w:val="007D330A"/>
    <w:rsid w:val="0082585E"/>
    <w:rsid w:val="00866AE6"/>
    <w:rsid w:val="008750A8"/>
    <w:rsid w:val="008E5AF2"/>
    <w:rsid w:val="0090121B"/>
    <w:rsid w:val="009144C9"/>
    <w:rsid w:val="0094091F"/>
    <w:rsid w:val="00962171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47331"/>
    <w:rsid w:val="00B52D55"/>
    <w:rsid w:val="00B55F2C"/>
    <w:rsid w:val="00B8288C"/>
    <w:rsid w:val="00BE2E80"/>
    <w:rsid w:val="00BE5EDD"/>
    <w:rsid w:val="00BE6A1F"/>
    <w:rsid w:val="00BF49EE"/>
    <w:rsid w:val="00C126C4"/>
    <w:rsid w:val="00C44E9E"/>
    <w:rsid w:val="00C570D3"/>
    <w:rsid w:val="00C63EB5"/>
    <w:rsid w:val="00C87DA7"/>
    <w:rsid w:val="00CC01E0"/>
    <w:rsid w:val="00CD5FEE"/>
    <w:rsid w:val="00CE60D2"/>
    <w:rsid w:val="00CE7431"/>
    <w:rsid w:val="00D0288A"/>
    <w:rsid w:val="00D72A5D"/>
    <w:rsid w:val="00DA71A3"/>
    <w:rsid w:val="00DC629B"/>
    <w:rsid w:val="00DE5777"/>
    <w:rsid w:val="00E05BFF"/>
    <w:rsid w:val="00E262F1"/>
    <w:rsid w:val="00E3176A"/>
    <w:rsid w:val="00E54754"/>
    <w:rsid w:val="00E56BD3"/>
    <w:rsid w:val="00E71D14"/>
    <w:rsid w:val="00EA77F0"/>
    <w:rsid w:val="00F32316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R16-WRC19-C-0011!A21-A2!MSW-S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A7C3D-88D5-4989-94C6-047D7F8C82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25BA93-1220-44F7-AD72-2178BB76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1026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R16-WRC19-C-0011!A21-A2!MSW-S</vt:lpstr>
    </vt:vector>
  </TitlesOfParts>
  <Manager>Secretaría General - Pool</Manager>
  <Company>Unión Internacional de Telecomunicaciones (UIT)</Company>
  <LinksUpToDate>false</LinksUpToDate>
  <CharactersWithSpaces>6130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R16-WRC19-C-0011!A21-A2!MSW-S</dc:title>
  <dc:subject>Conferencia Mundial de Radiocomunicaciones - 2019</dc:subject>
  <dc:creator>Documents Proposals Manager (DPM)</dc:creator>
  <cp:keywords>DPM_v2019.6.28.1_prod</cp:keywords>
  <dc:description/>
  <cp:lastModifiedBy>Spanish1</cp:lastModifiedBy>
  <cp:revision>9</cp:revision>
  <cp:lastPrinted>2003-02-19T20:20:00Z</cp:lastPrinted>
  <dcterms:created xsi:type="dcterms:W3CDTF">2019-07-15T13:24:00Z</dcterms:created>
  <dcterms:modified xsi:type="dcterms:W3CDTF">2019-07-16T13:26:00Z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