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BB1D82" w:rsidRPr="002A6F8F" w:rsidTr="00250A01">
        <w:trPr>
          <w:cantSplit/>
        </w:trPr>
        <w:tc>
          <w:tcPr>
            <w:tcW w:w="6804" w:type="dxa"/>
          </w:tcPr>
          <w:p w:rsidR="00BB1D82" w:rsidRPr="00930FFD" w:rsidRDefault="00851625" w:rsidP="00115B90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227" w:type="dxa"/>
          </w:tcPr>
          <w:p w:rsidR="00BB1D82" w:rsidRPr="002A6F8F" w:rsidRDefault="000A55AE" w:rsidP="00115B90">
            <w:pPr>
              <w:spacing w:before="0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lang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250A01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BB1D82" w:rsidRPr="002A6F8F" w:rsidRDefault="00BB1D82" w:rsidP="00115B90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BB1D82" w:rsidRPr="002A6F8F" w:rsidRDefault="00BB1D82" w:rsidP="00115B90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250A01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BB1D82" w:rsidRPr="002A6F8F" w:rsidRDefault="00BB1D82" w:rsidP="00115B9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BB1D82" w:rsidRPr="002A6F8F" w:rsidRDefault="00BB1D82" w:rsidP="00115B90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250A01">
        <w:trPr>
          <w:cantSplit/>
        </w:trPr>
        <w:tc>
          <w:tcPr>
            <w:tcW w:w="6804" w:type="dxa"/>
          </w:tcPr>
          <w:p w:rsidR="00BB1D82" w:rsidRPr="00930FFD" w:rsidRDefault="006D4724" w:rsidP="00115B9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227" w:type="dxa"/>
          </w:tcPr>
          <w:p w:rsidR="00BB1D82" w:rsidRPr="002F2834" w:rsidRDefault="006D4724" w:rsidP="00115B90">
            <w:pPr>
              <w:spacing w:before="0"/>
              <w:rPr>
                <w:rFonts w:ascii="Verdana" w:hAnsi="Verdana"/>
                <w:sz w:val="20"/>
              </w:rPr>
            </w:pPr>
            <w:r w:rsidRPr="002F2834">
              <w:rPr>
                <w:rFonts w:ascii="Verdana" w:hAnsi="Verdana"/>
                <w:b/>
                <w:sz w:val="20"/>
              </w:rPr>
              <w:t>Addendum 2 au</w:t>
            </w:r>
            <w:r w:rsidRPr="002F2834">
              <w:rPr>
                <w:rFonts w:ascii="Verdana" w:hAnsi="Verdana"/>
                <w:b/>
                <w:sz w:val="20"/>
              </w:rPr>
              <w:br/>
              <w:t>Document 11(Add.21)</w:t>
            </w:r>
            <w:r w:rsidR="00BB1D82" w:rsidRPr="002F2834">
              <w:rPr>
                <w:rFonts w:ascii="Verdana" w:hAnsi="Verdana"/>
                <w:b/>
                <w:sz w:val="20"/>
              </w:rPr>
              <w:t>-</w:t>
            </w:r>
            <w:r w:rsidRPr="002F2834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0"/>
      <w:tr w:rsidR="00690C7B" w:rsidRPr="002A6F8F" w:rsidTr="00250A01">
        <w:trPr>
          <w:cantSplit/>
        </w:trPr>
        <w:tc>
          <w:tcPr>
            <w:tcW w:w="6804" w:type="dxa"/>
          </w:tcPr>
          <w:p w:rsidR="00690C7B" w:rsidRPr="002F2834" w:rsidRDefault="00690C7B" w:rsidP="00115B9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227" w:type="dxa"/>
          </w:tcPr>
          <w:p w:rsidR="00690C7B" w:rsidRPr="002A6F8F" w:rsidRDefault="00690C7B" w:rsidP="00115B9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24 juin 2019</w:t>
            </w:r>
          </w:p>
        </w:tc>
      </w:tr>
      <w:tr w:rsidR="00690C7B" w:rsidRPr="002A6F8F" w:rsidTr="00250A01">
        <w:trPr>
          <w:cantSplit/>
        </w:trPr>
        <w:tc>
          <w:tcPr>
            <w:tcW w:w="6804" w:type="dxa"/>
          </w:tcPr>
          <w:p w:rsidR="00690C7B" w:rsidRPr="002A6F8F" w:rsidRDefault="00690C7B" w:rsidP="00115B9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</w:tcPr>
          <w:p w:rsidR="00690C7B" w:rsidRPr="002A6F8F" w:rsidRDefault="00690C7B" w:rsidP="00115B9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  <w:r w:rsidR="00250A01">
              <w:rPr>
                <w:rFonts w:ascii="Verdana" w:hAnsi="Verdana"/>
                <w:b/>
                <w:sz w:val="20"/>
                <w:lang w:val="en-US"/>
              </w:rPr>
              <w:t>/espagnol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115B9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F2834" w:rsidRDefault="00115B90" w:rsidP="00115B90">
            <w:pPr>
              <w:pStyle w:val="Source"/>
            </w:pPr>
            <w:bookmarkStart w:id="1" w:name="dsource" w:colFirst="0" w:colLast="0"/>
            <w:r w:rsidRPr="002F2834">
              <w:t>États</w:t>
            </w:r>
            <w:r w:rsidR="00690C7B" w:rsidRPr="002F2834">
              <w:t xml:space="preserve"> Membres de la Commission interaméricaine des télécommunications (CITEL)</w:t>
            </w:r>
          </w:p>
        </w:tc>
      </w:tr>
      <w:tr w:rsidR="00690C7B" w:rsidRPr="002F2834" w:rsidTr="0050008E">
        <w:trPr>
          <w:cantSplit/>
        </w:trPr>
        <w:tc>
          <w:tcPr>
            <w:tcW w:w="10031" w:type="dxa"/>
            <w:gridSpan w:val="2"/>
          </w:tcPr>
          <w:p w:rsidR="00690C7B" w:rsidRPr="002F2834" w:rsidRDefault="002F2834" w:rsidP="00115B90">
            <w:pPr>
              <w:pStyle w:val="Title1"/>
            </w:pPr>
            <w:bookmarkStart w:id="2" w:name="dtitle1" w:colFirst="0" w:colLast="0"/>
            <w:bookmarkEnd w:id="1"/>
            <w:r w:rsidRPr="002F2834">
              <w:t>propositions pour les travaux de la conférence</w:t>
            </w:r>
          </w:p>
        </w:tc>
      </w:tr>
      <w:tr w:rsidR="00690C7B" w:rsidRPr="002F2834" w:rsidTr="0050008E">
        <w:trPr>
          <w:cantSplit/>
        </w:trPr>
        <w:tc>
          <w:tcPr>
            <w:tcW w:w="10031" w:type="dxa"/>
            <w:gridSpan w:val="2"/>
          </w:tcPr>
          <w:p w:rsidR="00690C7B" w:rsidRPr="002F2834" w:rsidRDefault="00690C7B" w:rsidP="00115B90">
            <w:pPr>
              <w:pStyle w:val="Title2"/>
            </w:pPr>
            <w:bookmarkStart w:id="3" w:name="dtitle2" w:colFirst="0" w:colLast="0"/>
            <w:bookmarkEnd w:id="2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06442C" w:rsidP="00115B90">
            <w:pPr>
              <w:pStyle w:val="Agendaitem"/>
            </w:pPr>
            <w:bookmarkStart w:id="4" w:name="dtitle3" w:colFirst="0" w:colLast="0"/>
            <w:bookmarkEnd w:id="3"/>
            <w:r>
              <w:t xml:space="preserve">Point 9.1 </w:t>
            </w:r>
            <w:r w:rsidR="00690C7B" w:rsidRPr="006D4724">
              <w:t>(9.1.2) de l'ordre du jour</w:t>
            </w:r>
          </w:p>
        </w:tc>
      </w:tr>
    </w:tbl>
    <w:bookmarkEnd w:id="4"/>
    <w:p w:rsidR="001C0E40" w:rsidRPr="00404314" w:rsidRDefault="00250A01" w:rsidP="00115B90">
      <w:r w:rsidRPr="009B46DD">
        <w:t>9</w:t>
      </w:r>
      <w:r w:rsidRPr="009B46DD">
        <w:tab/>
        <w:t>examiner et approuver le rapport du Directeur du Bureau des radiocommunications, conformément à l'article 7 de la Convention:</w:t>
      </w:r>
    </w:p>
    <w:p w:rsidR="001C0E40" w:rsidRPr="00404314" w:rsidRDefault="00250A01" w:rsidP="00115B90">
      <w:r w:rsidRPr="009B46DD">
        <w:t>9.1</w:t>
      </w:r>
      <w:r w:rsidRPr="009B46DD">
        <w:tab/>
        <w:t>sur les activités du Secteur des radiocommunications depuis la CMR</w:t>
      </w:r>
      <w:r w:rsidRPr="009B46DD">
        <w:noBreakHyphen/>
        <w:t>15;</w:t>
      </w:r>
    </w:p>
    <w:p w:rsidR="001C0E40" w:rsidRPr="00404314" w:rsidRDefault="00250A01" w:rsidP="0042498F">
      <w:r>
        <w:rPr>
          <w:rFonts w:cstheme="majorBidi"/>
          <w:color w:val="000000"/>
          <w:szCs w:val="24"/>
          <w:lang w:eastAsia="zh-CN"/>
        </w:rPr>
        <w:t>9.1 (</w:t>
      </w:r>
      <w:r w:rsidRPr="009D171E">
        <w:rPr>
          <w:rFonts w:hint="eastAsia"/>
          <w:lang w:val="fr-CH" w:eastAsia="zh-CN"/>
        </w:rPr>
        <w:t>9.1.2</w:t>
      </w:r>
      <w:r w:rsidRPr="009D171E">
        <w:rPr>
          <w:lang w:val="fr-CH" w:eastAsia="zh-CN"/>
        </w:rPr>
        <w:t>)</w:t>
      </w:r>
      <w:r w:rsidRPr="00FE63F3">
        <w:tab/>
      </w:r>
      <w:hyperlink w:anchor="RES_761" w:history="1">
        <w:r w:rsidRPr="002C0E7F">
          <w:t>Résolution </w:t>
        </w:r>
        <w:r w:rsidRPr="002C0E7F">
          <w:rPr>
            <w:b/>
            <w:bCs/>
          </w:rPr>
          <w:t>761 (CMR</w:t>
        </w:r>
        <w:r w:rsidRPr="002C0E7F">
          <w:rPr>
            <w:b/>
            <w:bCs/>
          </w:rPr>
          <w:noBreakHyphen/>
          <w:t>15)</w:t>
        </w:r>
      </w:hyperlink>
      <w:r w:rsidRPr="002C0E7F">
        <w:t xml:space="preserve"> </w:t>
      </w:r>
      <w:r w:rsidRPr="00FE63F3">
        <w:t xml:space="preserve">– </w:t>
      </w:r>
      <w:bookmarkStart w:id="5" w:name="_Toc450208811"/>
      <w:r w:rsidRPr="007D0DE8">
        <w:t xml:space="preserve">Compatibilité </w:t>
      </w:r>
      <w:r>
        <w:t xml:space="preserve">entre les Télécommunications mobiles internationales </w:t>
      </w:r>
      <w:r w:rsidRPr="007D0DE8">
        <w:t xml:space="preserve">et </w:t>
      </w:r>
      <w:r>
        <w:t xml:space="preserve">le service de radiodiffusion par satellite </w:t>
      </w:r>
      <w:r w:rsidRPr="007D0DE8">
        <w:t>(sonore) dans la bande de fréquences 1</w:t>
      </w:r>
      <w:r>
        <w:t> </w:t>
      </w:r>
      <w:r w:rsidRPr="007D0DE8">
        <w:t>452-1</w:t>
      </w:r>
      <w:r>
        <w:t> </w:t>
      </w:r>
      <w:r w:rsidRPr="007D0DE8">
        <w:t>492 MHz dans les Régions 1 et 3</w:t>
      </w:r>
    </w:p>
    <w:p w:rsidR="002F2834" w:rsidRPr="00115B90" w:rsidRDefault="002F2834" w:rsidP="00115B90">
      <w:pPr>
        <w:pStyle w:val="Headingb"/>
      </w:pPr>
      <w:r w:rsidRPr="00115B90">
        <w:t>Considérations générales</w:t>
      </w:r>
    </w:p>
    <w:p w:rsidR="002F2834" w:rsidRPr="006A1365" w:rsidRDefault="006A1365" w:rsidP="00115B90">
      <w:r w:rsidRPr="006A1365">
        <w:t>À la CMR-15, il a été décidé d'identifier la bande d</w:t>
      </w:r>
      <w:r>
        <w:t xml:space="preserve">e fréquences </w:t>
      </w:r>
      <w:r w:rsidR="002F2834" w:rsidRPr="006A1365">
        <w:t>1</w:t>
      </w:r>
      <w:r w:rsidR="0042498F">
        <w:t> </w:t>
      </w:r>
      <w:r w:rsidR="002F2834" w:rsidRPr="006A1365">
        <w:t>452-1</w:t>
      </w:r>
      <w:r w:rsidR="0042498F">
        <w:t> </w:t>
      </w:r>
      <w:r w:rsidR="002F2834" w:rsidRPr="006A1365">
        <w:t xml:space="preserve">492 MHz </w:t>
      </w:r>
      <w:r>
        <w:t xml:space="preserve">pour les télécommunications mobiles internationales (IMT) dans plus de 50 pays de la Région 1, en vertu du numéro </w:t>
      </w:r>
      <w:r>
        <w:rPr>
          <w:b/>
          <w:bCs/>
        </w:rPr>
        <w:t>5.346</w:t>
      </w:r>
      <w:r>
        <w:t>, et d</w:t>
      </w:r>
      <w:r w:rsidR="00115B90">
        <w:t>ans</w:t>
      </w:r>
      <w:r>
        <w:t xml:space="preserve"> la Région 3, en vertu du numéro </w:t>
      </w:r>
      <w:r>
        <w:rPr>
          <w:b/>
          <w:bCs/>
        </w:rPr>
        <w:t>5.3</w:t>
      </w:r>
      <w:r w:rsidR="0006442C">
        <w:rPr>
          <w:b/>
          <w:bCs/>
        </w:rPr>
        <w:t>46</w:t>
      </w:r>
      <w:r>
        <w:rPr>
          <w:b/>
          <w:bCs/>
        </w:rPr>
        <w:t>A</w:t>
      </w:r>
      <w:r>
        <w:t xml:space="preserve">. Dans la Région 2, la bande de fréquences </w:t>
      </w:r>
      <w:r w:rsidR="002F2834" w:rsidRPr="006A1365">
        <w:t>1</w:t>
      </w:r>
      <w:r w:rsidR="0042498F">
        <w:t> </w:t>
      </w:r>
      <w:r w:rsidR="002F2834" w:rsidRPr="006A1365">
        <w:t>452-1</w:t>
      </w:r>
      <w:r w:rsidR="0042498F">
        <w:t> </w:t>
      </w:r>
      <w:r w:rsidR="002F2834" w:rsidRPr="006A1365">
        <w:t xml:space="preserve">492 MHz </w:t>
      </w:r>
      <w:r w:rsidR="005B5467">
        <w:t xml:space="preserve">est identifiée </w:t>
      </w:r>
      <w:r>
        <w:t xml:space="preserve">pour les IMT </w:t>
      </w:r>
      <w:r w:rsidR="005B5467">
        <w:t xml:space="preserve">en vertu du numéro </w:t>
      </w:r>
      <w:r w:rsidR="002F2834" w:rsidRPr="006A1365">
        <w:rPr>
          <w:b/>
        </w:rPr>
        <w:t>5.341B</w:t>
      </w:r>
      <w:r w:rsidR="00D56BD3">
        <w:t>.</w:t>
      </w:r>
    </w:p>
    <w:p w:rsidR="00BB24E3" w:rsidRDefault="00CA03C9" w:rsidP="00115B90">
      <w:r w:rsidRPr="00CA03C9">
        <w:t xml:space="preserve">Outre l'attribution à titre primaire </w:t>
      </w:r>
      <w:r>
        <w:t>de</w:t>
      </w:r>
      <w:r w:rsidRPr="00CA03C9">
        <w:t xml:space="preserve"> la </w:t>
      </w:r>
      <w:r>
        <w:t>bande de fréquences 1</w:t>
      </w:r>
      <w:r w:rsidR="0042498F">
        <w:t> </w:t>
      </w:r>
      <w:r>
        <w:t>452-1</w:t>
      </w:r>
      <w:r w:rsidR="0042498F">
        <w:t> </w:t>
      </w:r>
      <w:r>
        <w:t>492 MHz</w:t>
      </w:r>
      <w:r w:rsidRPr="00CA03C9">
        <w:t xml:space="preserve"> au service mobile</w:t>
      </w:r>
      <w:r>
        <w:t xml:space="preserve">, cette bande est attribuée à titre primaire au service fixe, au service de radiodiffusion et au service de radiodiffusion par satellite (SRS) dans les trois Régions. Conformément au numéro </w:t>
      </w:r>
      <w:r>
        <w:rPr>
          <w:b/>
          <w:bCs/>
        </w:rPr>
        <w:t>5.345</w:t>
      </w:r>
      <w:r>
        <w:t xml:space="preserve">, l'utilisation de la bande </w:t>
      </w:r>
      <w:r w:rsidRPr="006A1365">
        <w:t>1</w:t>
      </w:r>
      <w:r w:rsidR="0042498F">
        <w:t> </w:t>
      </w:r>
      <w:r w:rsidRPr="006A1365">
        <w:t>452-1</w:t>
      </w:r>
      <w:r w:rsidR="0042498F">
        <w:t> </w:t>
      </w:r>
      <w:r w:rsidRPr="006A1365">
        <w:t>492 MHz</w:t>
      </w:r>
      <w:r>
        <w:t xml:space="preserve"> par le service de radiodiffusion par satellite et le service de radiodiffusion est limitée à la radiodiffusion audionumérique et est subordonnée aux dispositions </w:t>
      </w:r>
      <w:r w:rsidR="005102EE">
        <w:t xml:space="preserve">de la Résolution </w:t>
      </w:r>
      <w:r w:rsidR="005102EE">
        <w:rPr>
          <w:b/>
          <w:bCs/>
        </w:rPr>
        <w:t>528 (CAMR-92)</w:t>
      </w:r>
      <w:r w:rsidR="005102EE">
        <w:t>, révisée par la suite par la CMR-03 et la CMR-15.</w:t>
      </w:r>
      <w:r w:rsidR="00BB24E3">
        <w:t xml:space="preserve"> Les modalités de partage entre le SRS (sonore) et le service mobile sont actuellement régies par le numéro </w:t>
      </w:r>
      <w:r w:rsidR="00BB24E3" w:rsidRPr="00BB24E3">
        <w:rPr>
          <w:b/>
          <w:bCs/>
        </w:rPr>
        <w:t>9.11</w:t>
      </w:r>
      <w:r w:rsidR="00BB24E3">
        <w:t>. Toutefois, il n</w:t>
      </w:r>
      <w:r w:rsidR="00BB24E3" w:rsidRPr="00BB24E3">
        <w:t xml:space="preserve">'existe </w:t>
      </w:r>
      <w:r w:rsidR="00BB24E3">
        <w:t xml:space="preserve">actuellement, dans l'Article 21, </w:t>
      </w:r>
      <w:r w:rsidR="00BB24E3" w:rsidRPr="00BB24E3">
        <w:t xml:space="preserve">aucune limite de puissance surfacique pour la bande de fréquences 1 452-1 492 MHz pour protéger le </w:t>
      </w:r>
      <w:r w:rsidR="00BB24E3">
        <w:t>service mobile</w:t>
      </w:r>
      <w:r w:rsidR="00BB24E3" w:rsidRPr="00BB24E3">
        <w:t xml:space="preserve"> (pr</w:t>
      </w:r>
      <w:r w:rsidR="00BB24E3">
        <w:t>otection de la zone de service).</w:t>
      </w:r>
    </w:p>
    <w:p w:rsidR="0042498F" w:rsidRDefault="00BB24E3" w:rsidP="00115B90">
      <w:pPr>
        <w:rPr>
          <w:rFonts w:asciiTheme="majorBidi" w:hAnsiTheme="majorBidi" w:cstheme="majorBidi"/>
          <w:szCs w:val="24"/>
        </w:rPr>
      </w:pPr>
      <w:r>
        <w:t xml:space="preserve">La CMR-15 n'a pas été en mesure de parvenir à un accord concernant les résultats des études techniques et réglementaires menées sur le partage de la bande de fréquences </w:t>
      </w:r>
      <w:r w:rsidR="002F2834" w:rsidRPr="00482D1F">
        <w:t xml:space="preserve">1 452-1 492 MHz </w:t>
      </w:r>
      <w:r>
        <w:t xml:space="preserve">entre les IMT et le SRS pour les Régions 1 et 3, c'est pourquoi </w:t>
      </w:r>
      <w:r w:rsidR="00AA6BC4">
        <w:t xml:space="preserve">il a été décidé d'inscrire </w:t>
      </w:r>
      <w:r>
        <w:t xml:space="preserve">la </w:t>
      </w:r>
      <w:r w:rsidR="00832971">
        <w:t>q</w:t>
      </w:r>
      <w:r w:rsidR="0042498F">
        <w:t>uestion </w:t>
      </w:r>
      <w:r>
        <w:t xml:space="preserve">9.1.2 </w:t>
      </w:r>
      <w:r w:rsidR="00AA6BC4">
        <w:t>à l'ordre du jour de</w:t>
      </w:r>
      <w:r>
        <w:t xml:space="preserve"> la CMR-19, conformément à la </w:t>
      </w:r>
      <w:r w:rsidRPr="00AA6BC4">
        <w:t>Résolution</w:t>
      </w:r>
      <w:r w:rsidRPr="00BB24E3">
        <w:rPr>
          <w:b/>
          <w:bCs/>
        </w:rPr>
        <w:t xml:space="preserve"> 761 (CMR-15)</w:t>
      </w:r>
      <w:r w:rsidR="0042498F">
        <w:t>. Cette </w:t>
      </w:r>
      <w:r w:rsidR="00F000A0">
        <w:t>Résolution prescrit expressément de procéder</w:t>
      </w:r>
      <w:r w:rsidR="00F000A0">
        <w:rPr>
          <w:rFonts w:asciiTheme="majorBidi" w:hAnsiTheme="majorBidi" w:cstheme="majorBidi"/>
          <w:szCs w:val="24"/>
        </w:rPr>
        <w:t xml:space="preserve"> </w:t>
      </w:r>
      <w:r w:rsidR="00AA6BC4">
        <w:rPr>
          <w:rFonts w:asciiTheme="majorBidi" w:hAnsiTheme="majorBidi" w:cstheme="majorBidi"/>
          <w:szCs w:val="24"/>
        </w:rPr>
        <w:t>à des</w:t>
      </w:r>
      <w:r w:rsidR="00482D1F" w:rsidRPr="00482D1F">
        <w:rPr>
          <w:rFonts w:asciiTheme="majorBidi" w:hAnsiTheme="majorBidi" w:cstheme="majorBidi"/>
          <w:szCs w:val="24"/>
        </w:rPr>
        <w:t xml:space="preserve"> études </w:t>
      </w:r>
      <w:r w:rsidR="0042498F">
        <w:rPr>
          <w:rFonts w:asciiTheme="majorBidi" w:hAnsiTheme="majorBidi" w:cstheme="majorBidi"/>
          <w:szCs w:val="24"/>
        </w:rPr>
        <w:t xml:space="preserve">réglementaires et techniques </w:t>
      </w:r>
      <w:r w:rsidR="0042498F">
        <w:rPr>
          <w:rFonts w:asciiTheme="majorBidi" w:hAnsiTheme="majorBidi" w:cstheme="majorBidi"/>
          <w:szCs w:val="24"/>
        </w:rPr>
        <w:br w:type="page"/>
      </w:r>
    </w:p>
    <w:p w:rsidR="002F2834" w:rsidRPr="005B447E" w:rsidRDefault="0042498F" w:rsidP="00D64265">
      <w:r>
        <w:rPr>
          <w:rFonts w:asciiTheme="majorBidi" w:hAnsiTheme="majorBidi" w:cstheme="majorBidi"/>
          <w:szCs w:val="24"/>
        </w:rPr>
        <w:lastRenderedPageBreak/>
        <w:t>en </w:t>
      </w:r>
      <w:r w:rsidR="00482D1F" w:rsidRPr="00482D1F">
        <w:rPr>
          <w:rFonts w:asciiTheme="majorBidi" w:hAnsiTheme="majorBidi" w:cstheme="majorBidi"/>
          <w:szCs w:val="24"/>
        </w:rPr>
        <w:t>vue d'assurer la compatibilité entre les IMT et le SRS (sonore) dans la bande de fréquences</w:t>
      </w:r>
      <w:r w:rsidR="00D64265">
        <w:rPr>
          <w:rFonts w:asciiTheme="majorBidi" w:hAnsiTheme="majorBidi" w:cstheme="majorBidi"/>
          <w:szCs w:val="24"/>
        </w:rPr>
        <w:t xml:space="preserve"> </w:t>
      </w:r>
      <w:r w:rsidR="00482D1F" w:rsidRPr="00482D1F">
        <w:rPr>
          <w:rFonts w:asciiTheme="majorBidi" w:hAnsiTheme="majorBidi" w:cstheme="majorBidi"/>
          <w:szCs w:val="24"/>
        </w:rPr>
        <w:t>1 452</w:t>
      </w:r>
      <w:r w:rsidR="00482D1F" w:rsidRPr="00482D1F">
        <w:rPr>
          <w:rFonts w:asciiTheme="majorBidi" w:hAnsiTheme="majorBidi" w:cstheme="majorBidi"/>
          <w:szCs w:val="24"/>
        </w:rPr>
        <w:noBreakHyphen/>
        <w:t>1 492 MHz dans les Régions 1 et 3, compte ten</w:t>
      </w:r>
      <w:r>
        <w:rPr>
          <w:rFonts w:asciiTheme="majorBidi" w:hAnsiTheme="majorBidi" w:cstheme="majorBidi"/>
          <w:szCs w:val="24"/>
        </w:rPr>
        <w:t>u des besoins opérationnels des </w:t>
      </w:r>
      <w:r w:rsidR="00D64265">
        <w:rPr>
          <w:rFonts w:asciiTheme="majorBidi" w:hAnsiTheme="majorBidi" w:cstheme="majorBidi"/>
          <w:szCs w:val="24"/>
        </w:rPr>
        <w:t>IMT et du </w:t>
      </w:r>
      <w:r w:rsidR="00482D1F" w:rsidRPr="00482D1F">
        <w:rPr>
          <w:rFonts w:asciiTheme="majorBidi" w:hAnsiTheme="majorBidi" w:cstheme="majorBidi"/>
          <w:szCs w:val="24"/>
        </w:rPr>
        <w:t>SRS (sonore).</w:t>
      </w:r>
      <w:r w:rsidR="002F2834" w:rsidRPr="00482D1F">
        <w:t xml:space="preserve"> </w:t>
      </w:r>
      <w:r w:rsidR="00F000A0">
        <w:t xml:space="preserve">En outre, en vertu de la </w:t>
      </w:r>
      <w:r w:rsidR="00F000A0" w:rsidRPr="00AA6BC4">
        <w:t>Résolution</w:t>
      </w:r>
      <w:r w:rsidR="00F000A0" w:rsidRPr="00F000A0">
        <w:rPr>
          <w:b/>
          <w:bCs/>
        </w:rPr>
        <w:t xml:space="preserve"> 761 (CMR-15)</w:t>
      </w:r>
      <w:r w:rsidR="00F000A0">
        <w:t xml:space="preserve">, les États Membres de l'UIT en Région 1 sont invités à </w:t>
      </w:r>
      <w:r w:rsidR="00482D1F" w:rsidRPr="00482D1F">
        <w:t xml:space="preserve">utiliser les orientations obtenues dans le cadre des études de l'UIT-R afin de déterminer la nécessité d'une coordination bilatérale entre les systèmes IMT et </w:t>
      </w:r>
      <w:r w:rsidR="00F000A0">
        <w:t>les stations terriennes du SRS</w:t>
      </w:r>
      <w:r w:rsidR="00482D1F" w:rsidRPr="00482D1F">
        <w:rPr>
          <w:i/>
        </w:rPr>
        <w:t>,</w:t>
      </w:r>
      <w:r w:rsidR="00482D1F" w:rsidRPr="00482D1F">
        <w:t xml:space="preserve"> jusqu'à ce que la CMR-19 définisse les conditions réglementaires et techniques d</w:t>
      </w:r>
      <w:r w:rsidR="00F000A0">
        <w:t>e cette coordination bilatérale, et les États Membres en Région 3 sont invités</w:t>
      </w:r>
      <w:r w:rsidR="00482D1F" w:rsidRPr="00482D1F">
        <w:t xml:space="preserve"> à utiliser les orientations obtenues dans le cadre des études de l'UIT-R afin de déterminer la nécessité d'une coordination bilatérale pour protéger les stations terriennes du SRS, jusqu'à ce que la CMR-19 définisse les conditions réglementaires et techniques de cette coordination bilatérale</w:t>
      </w:r>
      <w:r w:rsidR="00482D1F">
        <w:t>.</w:t>
      </w:r>
      <w:r w:rsidR="002F2834" w:rsidRPr="00482D1F">
        <w:t xml:space="preserve"> </w:t>
      </w:r>
      <w:r w:rsidR="00F000A0" w:rsidRPr="00F000A0">
        <w:t xml:space="preserve">S'agissant de la </w:t>
      </w:r>
      <w:r w:rsidR="003262FF" w:rsidRPr="00F000A0">
        <w:t>Région </w:t>
      </w:r>
      <w:r w:rsidR="002F2834" w:rsidRPr="00F000A0">
        <w:t>2,</w:t>
      </w:r>
      <w:r w:rsidR="00F000A0" w:rsidRPr="00F000A0">
        <w:t xml:space="preserve"> </w:t>
      </w:r>
      <w:r w:rsidR="0026433C">
        <w:t>les</w:t>
      </w:r>
      <w:r w:rsidR="00F000A0" w:rsidRPr="00F000A0">
        <w:t xml:space="preserve"> pays de la Région</w:t>
      </w:r>
      <w:r w:rsidR="0026433C">
        <w:t xml:space="preserve"> souhaitent utiliser </w:t>
      </w:r>
      <w:r w:rsidR="00372568">
        <w:t>la bande 1</w:t>
      </w:r>
      <w:r>
        <w:t> </w:t>
      </w:r>
      <w:r w:rsidR="00372568">
        <w:t>452-1</w:t>
      </w:r>
      <w:r>
        <w:t> </w:t>
      </w:r>
      <w:r w:rsidR="00372568">
        <w:t xml:space="preserve">492 MHz </w:t>
      </w:r>
      <w:r w:rsidR="0026433C">
        <w:t>attribuée au</w:t>
      </w:r>
      <w:r w:rsidR="00372568">
        <w:t xml:space="preserve"> service mobile </w:t>
      </w:r>
      <w:r w:rsidR="0026433C">
        <w:t>pour des</w:t>
      </w:r>
      <w:r w:rsidR="00372568">
        <w:t xml:space="preserve"> applications</w:t>
      </w:r>
      <w:r w:rsidR="0026433C">
        <w:t xml:space="preserve"> allant au-delà des applications</w:t>
      </w:r>
      <w:r w:rsidR="00372568">
        <w:t xml:space="preserve"> IMT (voir par exemple le </w:t>
      </w:r>
      <w:r w:rsidR="00372568" w:rsidRPr="00AA6BC4">
        <w:t>numéro</w:t>
      </w:r>
      <w:r>
        <w:rPr>
          <w:b/>
          <w:bCs/>
        </w:rPr>
        <w:t> </w:t>
      </w:r>
      <w:r w:rsidR="00372568" w:rsidRPr="00372568">
        <w:rPr>
          <w:b/>
          <w:bCs/>
        </w:rPr>
        <w:t>5.343</w:t>
      </w:r>
      <w:r w:rsidR="00372568">
        <w:t xml:space="preserve">). </w:t>
      </w:r>
      <w:r w:rsidR="00372568" w:rsidRPr="00372568">
        <w:t>De plus, la plupart des pays de cette Région béné</w:t>
      </w:r>
      <w:r w:rsidR="00372568">
        <w:t xml:space="preserve">ficient, de longue date, </w:t>
      </w:r>
      <w:r w:rsidR="00372568" w:rsidRPr="00372568">
        <w:t xml:space="preserve">de moyens </w:t>
      </w:r>
      <w:r w:rsidR="00372568">
        <w:t>efficaces pour la</w:t>
      </w:r>
      <w:r w:rsidR="00372568" w:rsidRPr="00372568">
        <w:t xml:space="preserve"> coordination</w:t>
      </w:r>
      <w:r w:rsidR="00372568">
        <w:t xml:space="preserve"> des fréquences</w:t>
      </w:r>
      <w:r w:rsidR="00372568" w:rsidRPr="00372568">
        <w:t xml:space="preserve"> multilatérale et bilatérale </w:t>
      </w:r>
      <w:r w:rsidR="00372568">
        <w:t>avec les pays voisins, sans qu'ils n'aient besoin d'orientations particulières de</w:t>
      </w:r>
      <w:r w:rsidR="00AA6BC4">
        <w:t xml:space="preserve"> la part de</w:t>
      </w:r>
      <w:r w:rsidR="00372568">
        <w:t xml:space="preserve"> l</w:t>
      </w:r>
      <w:r w:rsidR="005B447E">
        <w:t>'UIT pour définir ces modalités</w:t>
      </w:r>
      <w:r w:rsidR="002F2834" w:rsidRPr="005B447E">
        <w:t>.</w:t>
      </w:r>
    </w:p>
    <w:p w:rsidR="002F2834" w:rsidRPr="00115B90" w:rsidRDefault="005B447E" w:rsidP="00115B90">
      <w:pPr>
        <w:pStyle w:val="Headingb"/>
      </w:pPr>
      <w:r w:rsidRPr="00115B90">
        <w:t>PROPOSITIONS INTERAMÉRICAINES</w:t>
      </w:r>
    </w:p>
    <w:p w:rsidR="00E75800" w:rsidRPr="00115B90" w:rsidRDefault="00250A01" w:rsidP="00115B90">
      <w:pPr>
        <w:pStyle w:val="Proposal"/>
      </w:pPr>
      <w:r w:rsidRPr="00115B90">
        <w:tab/>
        <w:t>IAP/11A21A2/1</w:t>
      </w:r>
    </w:p>
    <w:bookmarkEnd w:id="5"/>
    <w:p w:rsidR="00E75800" w:rsidRPr="00832971" w:rsidRDefault="002F2834" w:rsidP="00D56BD3">
      <w:r w:rsidRPr="00115B90">
        <w:tab/>
      </w:r>
      <w:r w:rsidR="005B447E" w:rsidRPr="005B447E">
        <w:t xml:space="preserve">Étant donné que la </w:t>
      </w:r>
      <w:r w:rsidR="00832971">
        <w:t>q</w:t>
      </w:r>
      <w:r w:rsidR="005B447E" w:rsidRPr="005B447E">
        <w:t xml:space="preserve">uestion 9.1.2 inscrite au point 9.1 de l'ordre du jour de la CMR-19 </w:t>
      </w:r>
      <w:r w:rsidR="00AA6BC4">
        <w:t>a trait</w:t>
      </w:r>
      <w:r w:rsidR="005B447E" w:rsidRPr="005B447E">
        <w:t xml:space="preserve"> aux Régions 1 et 3, il est proposé de n'apporter aucune modification en ce qui concerne la Région 2. </w:t>
      </w:r>
      <w:r w:rsidR="005B447E">
        <w:t xml:space="preserve">De plus, </w:t>
      </w:r>
      <w:r w:rsidR="00832971">
        <w:t xml:space="preserve">les éventuelles modifications apportées au Règlement des radiocommunications au titre de la question 9.1.2 inscrite à l'ordre du jour de la CMR-19 ne doivent pas avoir d'incidences sur les attributions existantes </w:t>
      </w:r>
      <w:r w:rsidR="00D56BD3">
        <w:t xml:space="preserve">de </w:t>
      </w:r>
      <w:r w:rsidR="00832971">
        <w:t>la bande de fréquences 1 452-1 492 MHz</w:t>
      </w:r>
      <w:r w:rsidR="00AA6BC4" w:rsidRPr="00AA6BC4">
        <w:t xml:space="preserve"> </w:t>
      </w:r>
      <w:r w:rsidR="00D56BD3">
        <w:t xml:space="preserve">aux services </w:t>
      </w:r>
      <w:r w:rsidR="0026433C">
        <w:t>dans la</w:t>
      </w:r>
      <w:r w:rsidR="00AA6BC4">
        <w:t xml:space="preserve"> Région 2</w:t>
      </w:r>
      <w:r w:rsidR="00832971">
        <w:t xml:space="preserve">, ni assujettir la Région 2 à </w:t>
      </w:r>
      <w:r w:rsidR="00AA6BC4">
        <w:t>d'éventuelle</w:t>
      </w:r>
      <w:r w:rsidR="0026433C">
        <w:t>s</w:t>
      </w:r>
      <w:r w:rsidR="00832971">
        <w:t xml:space="preserve"> disposition</w:t>
      </w:r>
      <w:r w:rsidR="00AA6BC4">
        <w:t>s</w:t>
      </w:r>
      <w:r w:rsidR="00832971">
        <w:t xml:space="preserve"> réglementaire</w:t>
      </w:r>
      <w:r w:rsidR="00AA6BC4">
        <w:t>s</w:t>
      </w:r>
      <w:r w:rsidR="00832971">
        <w:t xml:space="preserve"> ou de procédure modifiée</w:t>
      </w:r>
      <w:r w:rsidR="00AA6BC4">
        <w:t>s</w:t>
      </w:r>
      <w:r w:rsidR="00832971">
        <w:t>.</w:t>
      </w:r>
    </w:p>
    <w:p w:rsidR="00E75800" w:rsidRPr="00832971" w:rsidRDefault="00250A01" w:rsidP="00115B90">
      <w:pPr>
        <w:pStyle w:val="Reasons"/>
      </w:pPr>
      <w:r w:rsidRPr="00832971">
        <w:rPr>
          <w:b/>
        </w:rPr>
        <w:t>Motifs:</w:t>
      </w:r>
      <w:r w:rsidRPr="00832971">
        <w:tab/>
      </w:r>
      <w:r w:rsidR="00832971" w:rsidRPr="00832971">
        <w:t>La question 9.1.2 inscrite au point 9.1 de l'ordre du jour de la CMR-19</w:t>
      </w:r>
      <w:r w:rsidR="00832971">
        <w:t xml:space="preserve"> se limite aux études techniques et réglementaires concernant le service mobile (IMT) et le service de radiodiffusion par satellite (sonore) dans la bande 1</w:t>
      </w:r>
      <w:r w:rsidR="0042498F">
        <w:t> </w:t>
      </w:r>
      <w:r w:rsidR="00832971">
        <w:t>452-1</w:t>
      </w:r>
      <w:r w:rsidR="0042498F">
        <w:t> </w:t>
      </w:r>
      <w:r w:rsidR="00832971">
        <w:t>492 MHz, dans les Ré</w:t>
      </w:r>
      <w:r w:rsidR="002F2834" w:rsidRPr="00832971">
        <w:t>gions</w:t>
      </w:r>
      <w:r w:rsidR="00844CA4" w:rsidRPr="00832971">
        <w:t> </w:t>
      </w:r>
      <w:r w:rsidR="002F2834" w:rsidRPr="00832971">
        <w:t xml:space="preserve">1 </w:t>
      </w:r>
      <w:r w:rsidR="00844CA4" w:rsidRPr="00832971">
        <w:t>et </w:t>
      </w:r>
      <w:r w:rsidR="002F2834" w:rsidRPr="00832971">
        <w:t xml:space="preserve">3 </w:t>
      </w:r>
      <w:r w:rsidR="00832971">
        <w:t>uniquement</w:t>
      </w:r>
      <w:r w:rsidR="002F2834" w:rsidRPr="00832971">
        <w:t xml:space="preserve">. </w:t>
      </w:r>
      <w:r w:rsidR="00832971" w:rsidRPr="00832971">
        <w:t>Par conséquent, il n'est nullement justifié d'apporter des modifications au Règlement des radiocommunications</w:t>
      </w:r>
      <w:r w:rsidR="00AA6BC4">
        <w:t xml:space="preserve"> qui pourraient </w:t>
      </w:r>
      <w:r w:rsidR="00832971" w:rsidRPr="00832971">
        <w:t xml:space="preserve">avoir une </w:t>
      </w:r>
      <w:r w:rsidR="00832971">
        <w:t xml:space="preserve">incidence sur les services dans la bande </w:t>
      </w:r>
      <w:r w:rsidR="002F2834" w:rsidRPr="00832971">
        <w:t>1</w:t>
      </w:r>
      <w:r w:rsidR="00844CA4" w:rsidRPr="00832971">
        <w:t> </w:t>
      </w:r>
      <w:r w:rsidR="002F2834" w:rsidRPr="00832971">
        <w:t>452</w:t>
      </w:r>
      <w:r w:rsidR="00844CA4" w:rsidRPr="00832971">
        <w:noBreakHyphen/>
      </w:r>
      <w:r w:rsidR="002F2834" w:rsidRPr="00832971">
        <w:t>1</w:t>
      </w:r>
      <w:r w:rsidR="00844CA4" w:rsidRPr="00832971">
        <w:t> </w:t>
      </w:r>
      <w:r w:rsidR="002F2834" w:rsidRPr="00832971">
        <w:t>492</w:t>
      </w:r>
      <w:r w:rsidR="00844CA4" w:rsidRPr="00832971">
        <w:t> </w:t>
      </w:r>
      <w:r w:rsidR="002F2834" w:rsidRPr="00832971">
        <w:t xml:space="preserve">MHz </w:t>
      </w:r>
      <w:r w:rsidR="0026433C">
        <w:t>dans la</w:t>
      </w:r>
      <w:r w:rsidR="002F2834" w:rsidRPr="00832971">
        <w:t xml:space="preserve"> R</w:t>
      </w:r>
      <w:r w:rsidR="00844CA4" w:rsidRPr="00832971">
        <w:t>é</w:t>
      </w:r>
      <w:r w:rsidR="002F2834" w:rsidRPr="00832971">
        <w:t>gion</w:t>
      </w:r>
      <w:r w:rsidR="00844CA4" w:rsidRPr="00832971">
        <w:t> </w:t>
      </w:r>
      <w:r w:rsidR="002F2834" w:rsidRPr="00832971">
        <w:t xml:space="preserve">2 </w:t>
      </w:r>
      <w:r w:rsidR="00AA6BC4">
        <w:t>au titre de cette question</w:t>
      </w:r>
      <w:r w:rsidR="002F2834" w:rsidRPr="00832971">
        <w:t xml:space="preserve">. </w:t>
      </w:r>
      <w:r w:rsidR="00832971" w:rsidRPr="00832971">
        <w:t xml:space="preserve">Il est donc proposé de n'apporter aucune modification à l'Article 5 qui serait susceptible d'avoir une incidence sur les services </w:t>
      </w:r>
      <w:r w:rsidR="00832971">
        <w:t xml:space="preserve">dans la bande de fréquences </w:t>
      </w:r>
      <w:r w:rsidR="002F2834" w:rsidRPr="00832971">
        <w:t>1</w:t>
      </w:r>
      <w:r w:rsidR="00844CA4" w:rsidRPr="00832971">
        <w:t> </w:t>
      </w:r>
      <w:r w:rsidR="002F2834" w:rsidRPr="00832971">
        <w:t>452</w:t>
      </w:r>
      <w:r w:rsidR="00844CA4" w:rsidRPr="00832971">
        <w:noBreakHyphen/>
      </w:r>
      <w:r w:rsidR="002F2834" w:rsidRPr="00832971">
        <w:t>1</w:t>
      </w:r>
      <w:r w:rsidR="00844CA4" w:rsidRPr="00832971">
        <w:t> </w:t>
      </w:r>
      <w:r w:rsidR="002F2834" w:rsidRPr="00832971">
        <w:t>492</w:t>
      </w:r>
      <w:r w:rsidR="00844CA4" w:rsidRPr="00832971">
        <w:t> </w:t>
      </w:r>
      <w:r w:rsidR="002F2834" w:rsidRPr="00832971">
        <w:t>MHz</w:t>
      </w:r>
      <w:r w:rsidR="00AA6BC4" w:rsidRPr="00AA6BC4">
        <w:t xml:space="preserve"> </w:t>
      </w:r>
      <w:r w:rsidR="0026433C">
        <w:t>dans la</w:t>
      </w:r>
      <w:r w:rsidR="00AA6BC4">
        <w:t xml:space="preserve"> Région 2</w:t>
      </w:r>
      <w:r w:rsidR="002F2834" w:rsidRPr="00832971">
        <w:t>.</w:t>
      </w:r>
    </w:p>
    <w:p w:rsidR="007F3F42" w:rsidRDefault="00250A01" w:rsidP="00115B90">
      <w:pPr>
        <w:pStyle w:val="ArtNo"/>
        <w:spacing w:before="0"/>
      </w:pPr>
      <w:bookmarkStart w:id="6" w:name="_Toc455752914"/>
      <w:bookmarkStart w:id="7" w:name="_Toc455756153"/>
      <w:r>
        <w:lastRenderedPageBreak/>
        <w:t xml:space="preserve">ARTICLE </w:t>
      </w:r>
      <w:r>
        <w:rPr>
          <w:rStyle w:val="href"/>
          <w:color w:val="000000"/>
        </w:rPr>
        <w:t>5</w:t>
      </w:r>
      <w:bookmarkEnd w:id="6"/>
      <w:bookmarkEnd w:id="7"/>
    </w:p>
    <w:p w:rsidR="007F3F42" w:rsidRDefault="00250A01" w:rsidP="00115B90">
      <w:pPr>
        <w:pStyle w:val="Arttitle"/>
        <w:rPr>
          <w:lang w:val="fr-CH"/>
        </w:rPr>
      </w:pPr>
      <w:bookmarkStart w:id="8" w:name="_Toc455752915"/>
      <w:bookmarkStart w:id="9" w:name="_Toc455756154"/>
      <w:r>
        <w:rPr>
          <w:lang w:val="fr-CH"/>
        </w:rPr>
        <w:t>Attribution des bandes de fréquences</w:t>
      </w:r>
      <w:bookmarkEnd w:id="8"/>
      <w:bookmarkEnd w:id="9"/>
    </w:p>
    <w:p w:rsidR="00D73104" w:rsidRDefault="00250A01" w:rsidP="00115B90">
      <w:pPr>
        <w:pStyle w:val="Section1"/>
        <w:keepNext/>
        <w:rPr>
          <w:b w:val="0"/>
          <w:color w:val="000000"/>
        </w:rPr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5029A2">
        <w:rPr>
          <w:b w:val="0"/>
          <w:bCs/>
        </w:rPr>
        <w:t xml:space="preserve">(Voir le numéro </w:t>
      </w:r>
      <w:r w:rsidRPr="00260AE5">
        <w:t>2.1</w:t>
      </w:r>
      <w:r w:rsidRPr="005029A2">
        <w:rPr>
          <w:b w:val="0"/>
          <w:bCs/>
        </w:rPr>
        <w:t>)</w:t>
      </w:r>
      <w:r>
        <w:rPr>
          <w:b w:val="0"/>
          <w:color w:val="000000"/>
        </w:rPr>
        <w:br/>
      </w:r>
    </w:p>
    <w:p w:rsidR="00E75800" w:rsidRDefault="00250A01" w:rsidP="00115B90">
      <w:pPr>
        <w:pStyle w:val="Proposal"/>
      </w:pPr>
      <w:r>
        <w:rPr>
          <w:u w:val="single"/>
        </w:rPr>
        <w:t>NOC</w:t>
      </w:r>
      <w:r>
        <w:tab/>
        <w:t>IAP/11A21A2/2</w:t>
      </w:r>
    </w:p>
    <w:p w:rsidR="00CE5CFD" w:rsidRDefault="00CE5CFD" w:rsidP="00CE5CFD">
      <w:pPr>
        <w:pStyle w:val="Tabletitle"/>
        <w:spacing w:before="120"/>
        <w:rPr>
          <w:color w:val="000000"/>
        </w:rPr>
      </w:pPr>
      <w:r w:rsidRPr="009308EA">
        <w:rPr>
          <w:color w:val="000000"/>
          <w:lang w:val="fr-CH"/>
        </w:rPr>
        <w:t>1 300-1 525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119"/>
      </w:tblGrid>
      <w:tr w:rsidR="00CE5CFD" w:rsidRPr="0079631D" w:rsidTr="00881AF0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FD" w:rsidRPr="0079631D" w:rsidRDefault="00CE5CFD" w:rsidP="00881AF0">
            <w:pPr>
              <w:pStyle w:val="Tablehead"/>
            </w:pPr>
            <w:r w:rsidRPr="0079631D">
              <w:t>Attribution aux services</w:t>
            </w:r>
          </w:p>
        </w:tc>
      </w:tr>
      <w:tr w:rsidR="00CE5CFD" w:rsidTr="00CE5CFD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CFD" w:rsidRDefault="00CE5CFD" w:rsidP="00881AF0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CFD" w:rsidRDefault="00CE5CFD" w:rsidP="00881AF0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CFD" w:rsidRDefault="00CE5CFD" w:rsidP="00881AF0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CE5CFD" w:rsidTr="00CE5CFD"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CFD" w:rsidRDefault="00CE5CFD" w:rsidP="00881AF0">
            <w:pPr>
              <w:pStyle w:val="TableTextS5"/>
              <w:tabs>
                <w:tab w:val="clear" w:pos="567"/>
                <w:tab w:val="clear" w:pos="737"/>
                <w:tab w:val="clear" w:pos="2977"/>
                <w:tab w:val="clear" w:pos="3266"/>
                <w:tab w:val="left" w:pos="227"/>
              </w:tabs>
              <w:ind w:left="0" w:right="-113" w:firstLine="0"/>
              <w:rPr>
                <w:color w:val="000000"/>
                <w:spacing w:val="-2"/>
                <w:lang w:val="fr-CH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CFD" w:rsidRDefault="00CE5CFD" w:rsidP="00881AF0">
            <w:pPr>
              <w:pStyle w:val="TableTextS5"/>
              <w:rPr>
                <w:color w:val="000000"/>
              </w:rPr>
            </w:pPr>
            <w:r w:rsidRPr="0046453D">
              <w:rPr>
                <w:rStyle w:val="Tablefreq"/>
              </w:rPr>
              <w:t>1</w:t>
            </w:r>
            <w:r>
              <w:rPr>
                <w:rStyle w:val="Tablefreq"/>
              </w:rPr>
              <w:t> </w:t>
            </w:r>
            <w:r w:rsidRPr="0046453D">
              <w:rPr>
                <w:rStyle w:val="Tablefreq"/>
              </w:rPr>
              <w:t>452-1</w:t>
            </w:r>
            <w:r>
              <w:rPr>
                <w:rStyle w:val="Tablefreq"/>
              </w:rPr>
              <w:t> </w:t>
            </w:r>
            <w:r w:rsidRPr="0046453D">
              <w:rPr>
                <w:rStyle w:val="Tablefreq"/>
              </w:rPr>
              <w:t>492</w:t>
            </w:r>
          </w:p>
          <w:p w:rsidR="00CE5CFD" w:rsidRDefault="00CE5CFD" w:rsidP="00881AF0">
            <w:pPr>
              <w:pStyle w:val="TableTextS5"/>
              <w:tabs>
                <w:tab w:val="clear" w:pos="170"/>
                <w:tab w:val="clear" w:pos="737"/>
                <w:tab w:val="clear" w:pos="2977"/>
                <w:tab w:val="clear" w:pos="3266"/>
              </w:tabs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  <w:t>FIXE</w:t>
            </w:r>
          </w:p>
          <w:p w:rsidR="00CE5CFD" w:rsidRPr="00880E98" w:rsidRDefault="00CE5CFD" w:rsidP="00881AF0">
            <w:pPr>
              <w:pStyle w:val="TableTextS5"/>
              <w:tabs>
                <w:tab w:val="clear" w:pos="170"/>
                <w:tab w:val="clear" w:pos="737"/>
                <w:tab w:val="clear" w:pos="2977"/>
                <w:tab w:val="clear" w:pos="3266"/>
              </w:tabs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  <w:t xml:space="preserve">MOBILE  5.341B  </w:t>
            </w:r>
            <w:r w:rsidRPr="00880E98">
              <w:t>5.343</w:t>
            </w:r>
            <w:r>
              <w:t xml:space="preserve">  5.346A</w:t>
            </w:r>
          </w:p>
          <w:p w:rsidR="00CE5CFD" w:rsidRDefault="00CE5CFD" w:rsidP="00881AF0">
            <w:pPr>
              <w:pStyle w:val="TableTextS5"/>
              <w:tabs>
                <w:tab w:val="clear" w:pos="170"/>
                <w:tab w:val="clear" w:pos="737"/>
                <w:tab w:val="clear" w:pos="2977"/>
                <w:tab w:val="clear" w:pos="3266"/>
              </w:tabs>
              <w:ind w:left="567" w:hanging="567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  <w:t xml:space="preserve">RADIODIFFUSION  </w:t>
            </w:r>
          </w:p>
          <w:p w:rsidR="00CE5CFD" w:rsidRDefault="00CE5CFD" w:rsidP="00881AF0">
            <w:pPr>
              <w:pStyle w:val="TableTextS5"/>
              <w:tabs>
                <w:tab w:val="clear" w:pos="170"/>
                <w:tab w:val="clear" w:pos="737"/>
                <w:tab w:val="clear" w:pos="2977"/>
                <w:tab w:val="clear" w:pos="3266"/>
              </w:tabs>
              <w:ind w:left="567" w:hanging="567"/>
              <w:rPr>
                <w:color w:val="000000"/>
              </w:rPr>
            </w:pPr>
            <w:r>
              <w:rPr>
                <w:color w:val="000000"/>
                <w:lang w:val="fr-CH"/>
              </w:rPr>
              <w:tab/>
              <w:t>RADIODIFFUSION PAR SATELLITE  5.208B</w:t>
            </w:r>
          </w:p>
          <w:p w:rsidR="00CE5CFD" w:rsidRDefault="00CE5CFD" w:rsidP="00881AF0">
            <w:pPr>
              <w:pStyle w:val="TableTextS5"/>
              <w:tabs>
                <w:tab w:val="clear" w:pos="170"/>
                <w:tab w:val="clear" w:pos="737"/>
                <w:tab w:val="clear" w:pos="2977"/>
                <w:tab w:val="clear" w:pos="3266"/>
              </w:tabs>
              <w:ind w:left="567" w:hanging="567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br/>
            </w:r>
            <w:r>
              <w:rPr>
                <w:color w:val="000000"/>
                <w:lang w:val="fr-CH"/>
              </w:rPr>
              <w:br/>
            </w:r>
            <w:r>
              <w:rPr>
                <w:color w:val="000000"/>
                <w:lang w:val="fr-CH"/>
              </w:rPr>
              <w:br/>
            </w:r>
            <w:r w:rsidRPr="00E65847">
              <w:t>5.341</w:t>
            </w:r>
            <w:r>
              <w:rPr>
                <w:color w:val="000000"/>
              </w:rPr>
              <w:t xml:space="preserve">  </w:t>
            </w:r>
            <w:r w:rsidRPr="00E65847">
              <w:t xml:space="preserve">5.344  </w:t>
            </w:r>
            <w:r w:rsidRPr="00880E98">
              <w:t>5.345</w:t>
            </w:r>
          </w:p>
        </w:tc>
      </w:tr>
    </w:tbl>
    <w:p w:rsidR="00E75800" w:rsidRPr="00832971" w:rsidRDefault="00250A01" w:rsidP="00115B90">
      <w:pPr>
        <w:pStyle w:val="Reasons"/>
      </w:pPr>
      <w:r w:rsidRPr="00832971">
        <w:rPr>
          <w:b/>
        </w:rPr>
        <w:t>Motifs:</w:t>
      </w:r>
      <w:r w:rsidRPr="00832971">
        <w:tab/>
      </w:r>
      <w:r w:rsidR="00AA6BC4" w:rsidRPr="00832971">
        <w:t>La question 9.1.2 inscrite au point 9.1 de l'ordre du jour de la CMR-19</w:t>
      </w:r>
      <w:r w:rsidR="00AA6BC4">
        <w:t xml:space="preserve"> se limite aux études techniques et réglementaires concernant le service mobile (IMT) et le service de radiodiffusion par satellite (sonore) dans la bande 1</w:t>
      </w:r>
      <w:r w:rsidR="0042498F">
        <w:t> </w:t>
      </w:r>
      <w:r w:rsidR="00AA6BC4">
        <w:t>452-1</w:t>
      </w:r>
      <w:r w:rsidR="0042498F">
        <w:t> </w:t>
      </w:r>
      <w:r w:rsidR="00AA6BC4">
        <w:t>492 MHz, dans les Ré</w:t>
      </w:r>
      <w:r w:rsidR="00AA6BC4" w:rsidRPr="00832971">
        <w:t xml:space="preserve">gions 1 et 3 </w:t>
      </w:r>
      <w:r w:rsidR="00AA6BC4">
        <w:t>uniquement</w:t>
      </w:r>
      <w:r w:rsidR="00AA6BC4" w:rsidRPr="00832971">
        <w:t>. Par conséquent, il n'est nullement justifié d'apporter des modifications au Règlement des radiocommunications</w:t>
      </w:r>
      <w:r w:rsidR="00AA6BC4">
        <w:t xml:space="preserve"> qui pourraient </w:t>
      </w:r>
      <w:r w:rsidR="00AA6BC4" w:rsidRPr="00832971">
        <w:t xml:space="preserve">avoir une </w:t>
      </w:r>
      <w:r w:rsidR="00AA6BC4">
        <w:t xml:space="preserve">incidence sur les services dans la bande </w:t>
      </w:r>
      <w:r w:rsidR="00AA6BC4" w:rsidRPr="00832971">
        <w:t>1 452</w:t>
      </w:r>
      <w:r w:rsidR="00AA6BC4" w:rsidRPr="00832971">
        <w:noBreakHyphen/>
        <w:t xml:space="preserve">1 492 MHz </w:t>
      </w:r>
      <w:r w:rsidR="0026433C">
        <w:t>dans la</w:t>
      </w:r>
      <w:r w:rsidR="00AA6BC4" w:rsidRPr="00832971">
        <w:t xml:space="preserve"> Région 2 </w:t>
      </w:r>
      <w:r w:rsidR="00AA6BC4">
        <w:t>au titre de cette question</w:t>
      </w:r>
      <w:r w:rsidR="00AA6BC4" w:rsidRPr="00832971">
        <w:t>. Il est donc proposé de n'apporter aucun</w:t>
      </w:r>
      <w:bookmarkStart w:id="10" w:name="_GoBack"/>
      <w:bookmarkEnd w:id="10"/>
      <w:r w:rsidR="00AA6BC4" w:rsidRPr="00832971">
        <w:t xml:space="preserve">e modification à l'Article 5 qui serait susceptible d'avoir une incidence sur les services </w:t>
      </w:r>
      <w:r w:rsidR="00AA6BC4">
        <w:t xml:space="preserve">dans la bande de fréquences </w:t>
      </w:r>
      <w:r w:rsidR="00AA6BC4" w:rsidRPr="00832971">
        <w:t>1 452</w:t>
      </w:r>
      <w:r w:rsidR="00AA6BC4" w:rsidRPr="00832971">
        <w:noBreakHyphen/>
        <w:t>1 492 MHz</w:t>
      </w:r>
      <w:r w:rsidR="00AA6BC4" w:rsidRPr="00AA6BC4">
        <w:t xml:space="preserve"> </w:t>
      </w:r>
      <w:r w:rsidR="0026433C">
        <w:t>dans la</w:t>
      </w:r>
      <w:r w:rsidR="00AA6BC4">
        <w:t xml:space="preserve"> Région 2</w:t>
      </w:r>
      <w:r w:rsidR="00C145D7" w:rsidRPr="00832971">
        <w:t>.</w:t>
      </w:r>
      <w:r w:rsidR="00832971">
        <w:t xml:space="preserve"> La présente proposition ne concerne pas les Régions 1 et 3, c'est pourquoi les colonnes correspondantes du Tableau d'attribution des</w:t>
      </w:r>
      <w:r w:rsidR="00AA6BC4">
        <w:t xml:space="preserve"> bandes de</w:t>
      </w:r>
      <w:r w:rsidR="00832971">
        <w:t xml:space="preserve"> fréquences figurant dans l'Article 5 ne sont pas reproduites ci-dessus</w:t>
      </w:r>
      <w:r w:rsidR="008134AF" w:rsidRPr="00832971">
        <w:t>.</w:t>
      </w:r>
    </w:p>
    <w:p w:rsidR="008B3802" w:rsidRPr="00832971" w:rsidRDefault="008B3802" w:rsidP="00D56BD3"/>
    <w:p w:rsidR="008B3802" w:rsidRPr="00D56BD3" w:rsidRDefault="008B3802" w:rsidP="00D56BD3">
      <w:pPr>
        <w:jc w:val="center"/>
      </w:pPr>
      <w:r>
        <w:t>______________</w:t>
      </w:r>
    </w:p>
    <w:sectPr w:rsidR="008B3802" w:rsidRPr="00D56BD3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719" w:rsidRDefault="003F3719">
      <w:r>
        <w:separator/>
      </w:r>
    </w:p>
  </w:endnote>
  <w:endnote w:type="continuationSeparator" w:id="0">
    <w:p w:rsidR="003F3719" w:rsidRDefault="003F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6442C">
      <w:rPr>
        <w:noProof/>
        <w:lang w:val="en-US"/>
      </w:rPr>
      <w:t>P:\TRAD\F\LING\Barre\BR\457765.docx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E5CFD">
      <w:rPr>
        <w:noProof/>
      </w:rPr>
      <w:t>02.07.19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6442C">
      <w:rPr>
        <w:noProof/>
      </w:rPr>
      <w:t>28.06.19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3237A8" w:rsidRDefault="003237A8" w:rsidP="003237A8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E422B">
      <w:rPr>
        <w:lang w:val="en-US"/>
      </w:rPr>
      <w:t>P:\FRA\ITU-R\CONF-R\CMR19\000\011ADD21ADD02F.docx</w:t>
    </w:r>
    <w:r>
      <w:fldChar w:fldCharType="end"/>
    </w:r>
    <w:r w:rsidRPr="0006442C">
      <w:rPr>
        <w:lang w:val="en-US"/>
      </w:rPr>
      <w:t xml:space="preserve"> (457765)</w:t>
    </w:r>
    <w:r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3237A8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E422B">
      <w:rPr>
        <w:lang w:val="en-US"/>
      </w:rPr>
      <w:t>P:\FRA\ITU-R\CONF-R\CMR19\000\011ADD21ADD02F.docx</w:t>
    </w:r>
    <w:r>
      <w:fldChar w:fldCharType="end"/>
    </w:r>
    <w:r w:rsidR="003237A8" w:rsidRPr="0006442C">
      <w:rPr>
        <w:lang w:val="en-US"/>
      </w:rPr>
      <w:t xml:space="preserve"> (457765)</w:t>
    </w:r>
    <w:r w:rsidR="003237A8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719" w:rsidRDefault="003F3719">
      <w:r>
        <w:rPr>
          <w:b/>
        </w:rPr>
        <w:t>_______________</w:t>
      </w:r>
    </w:p>
  </w:footnote>
  <w:footnote w:type="continuationSeparator" w:id="0">
    <w:p w:rsidR="003F3719" w:rsidRDefault="003F3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64265">
      <w:rPr>
        <w:noProof/>
      </w:rPr>
      <w:t>3</w:t>
    </w:r>
    <w:r>
      <w:fldChar w:fldCharType="end"/>
    </w:r>
  </w:p>
  <w:p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11(Add.21)(Add.2)-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6442C"/>
    <w:rsid w:val="00080E2C"/>
    <w:rsid w:val="00081366"/>
    <w:rsid w:val="000863B3"/>
    <w:rsid w:val="000A4755"/>
    <w:rsid w:val="000A55AE"/>
    <w:rsid w:val="000B2E0C"/>
    <w:rsid w:val="000B3D0C"/>
    <w:rsid w:val="00115B90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50A01"/>
    <w:rsid w:val="0026433C"/>
    <w:rsid w:val="0026554E"/>
    <w:rsid w:val="002A4622"/>
    <w:rsid w:val="002A6F8F"/>
    <w:rsid w:val="002B17E5"/>
    <w:rsid w:val="002C0EBF"/>
    <w:rsid w:val="002C28A4"/>
    <w:rsid w:val="002D7E0A"/>
    <w:rsid w:val="002F2834"/>
    <w:rsid w:val="00315AFE"/>
    <w:rsid w:val="003237A8"/>
    <w:rsid w:val="003262FF"/>
    <w:rsid w:val="0034411E"/>
    <w:rsid w:val="003522C1"/>
    <w:rsid w:val="003606A6"/>
    <w:rsid w:val="0036650C"/>
    <w:rsid w:val="00372568"/>
    <w:rsid w:val="00393ACD"/>
    <w:rsid w:val="003A583E"/>
    <w:rsid w:val="003E112B"/>
    <w:rsid w:val="003E1D1C"/>
    <w:rsid w:val="003E7B05"/>
    <w:rsid w:val="003F3719"/>
    <w:rsid w:val="003F6F2D"/>
    <w:rsid w:val="0042498F"/>
    <w:rsid w:val="00466211"/>
    <w:rsid w:val="00482D1F"/>
    <w:rsid w:val="004834A9"/>
    <w:rsid w:val="004D01FC"/>
    <w:rsid w:val="004E28C3"/>
    <w:rsid w:val="004E422B"/>
    <w:rsid w:val="004F1F8E"/>
    <w:rsid w:val="005102EE"/>
    <w:rsid w:val="00512A32"/>
    <w:rsid w:val="005343DA"/>
    <w:rsid w:val="00560874"/>
    <w:rsid w:val="00586CF2"/>
    <w:rsid w:val="005A7C75"/>
    <w:rsid w:val="005B447E"/>
    <w:rsid w:val="005B5467"/>
    <w:rsid w:val="005C3768"/>
    <w:rsid w:val="005C6C3F"/>
    <w:rsid w:val="00613635"/>
    <w:rsid w:val="0062093D"/>
    <w:rsid w:val="00637ECF"/>
    <w:rsid w:val="00647B59"/>
    <w:rsid w:val="00690C7B"/>
    <w:rsid w:val="006A1365"/>
    <w:rsid w:val="006A4B45"/>
    <w:rsid w:val="006A765A"/>
    <w:rsid w:val="006D4724"/>
    <w:rsid w:val="006F5FA2"/>
    <w:rsid w:val="00701BAE"/>
    <w:rsid w:val="00721F04"/>
    <w:rsid w:val="00727642"/>
    <w:rsid w:val="00730E95"/>
    <w:rsid w:val="007426B9"/>
    <w:rsid w:val="00764342"/>
    <w:rsid w:val="00774362"/>
    <w:rsid w:val="00786598"/>
    <w:rsid w:val="00790C74"/>
    <w:rsid w:val="007A04E8"/>
    <w:rsid w:val="008134AF"/>
    <w:rsid w:val="00830086"/>
    <w:rsid w:val="00832971"/>
    <w:rsid w:val="00844CA4"/>
    <w:rsid w:val="00851625"/>
    <w:rsid w:val="00863C0A"/>
    <w:rsid w:val="008A3120"/>
    <w:rsid w:val="008A4B97"/>
    <w:rsid w:val="008B3802"/>
    <w:rsid w:val="008C5B8E"/>
    <w:rsid w:val="008C5DD5"/>
    <w:rsid w:val="008D41BE"/>
    <w:rsid w:val="008D58D3"/>
    <w:rsid w:val="008E3BC9"/>
    <w:rsid w:val="00923064"/>
    <w:rsid w:val="00930FFD"/>
    <w:rsid w:val="00936904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A6BC4"/>
    <w:rsid w:val="00AE36A0"/>
    <w:rsid w:val="00B00294"/>
    <w:rsid w:val="00B3749C"/>
    <w:rsid w:val="00B64FD0"/>
    <w:rsid w:val="00B907EB"/>
    <w:rsid w:val="00BA5BD0"/>
    <w:rsid w:val="00BB1D82"/>
    <w:rsid w:val="00BB24E3"/>
    <w:rsid w:val="00BD51C5"/>
    <w:rsid w:val="00BF26E7"/>
    <w:rsid w:val="00C145D7"/>
    <w:rsid w:val="00C53FCA"/>
    <w:rsid w:val="00C76BAF"/>
    <w:rsid w:val="00C814B9"/>
    <w:rsid w:val="00CA03C9"/>
    <w:rsid w:val="00CD516F"/>
    <w:rsid w:val="00CE5CFD"/>
    <w:rsid w:val="00D119A7"/>
    <w:rsid w:val="00D25FBA"/>
    <w:rsid w:val="00D32B28"/>
    <w:rsid w:val="00D42954"/>
    <w:rsid w:val="00D56BD3"/>
    <w:rsid w:val="00D64265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723A7"/>
    <w:rsid w:val="00E75800"/>
    <w:rsid w:val="00EA3F38"/>
    <w:rsid w:val="00EA5AB6"/>
    <w:rsid w:val="00EC7615"/>
    <w:rsid w:val="00ED16AA"/>
    <w:rsid w:val="00ED6B8D"/>
    <w:rsid w:val="00EE3D7B"/>
    <w:rsid w:val="00EF662E"/>
    <w:rsid w:val="00F000A0"/>
    <w:rsid w:val="00F10064"/>
    <w:rsid w:val="00F148F1"/>
    <w:rsid w:val="00F711A7"/>
    <w:rsid w:val="00F7261E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customStyle="1" w:styleId="TabletitleChar">
    <w:name w:val="Table_title Char"/>
    <w:basedOn w:val="DefaultParagraphFont"/>
    <w:link w:val="Tabletitle"/>
    <w:locked/>
    <w:rsid w:val="00CE5CFD"/>
    <w:rPr>
      <w:rFonts w:ascii="Times New Roman Bold" w:hAnsi="Times New Roman Bold"/>
      <w:b/>
      <w:lang w:val="fr-FR" w:eastAsia="en-US"/>
    </w:rPr>
  </w:style>
  <w:style w:type="character" w:customStyle="1" w:styleId="TableheadChar">
    <w:name w:val="Table_head Char"/>
    <w:basedOn w:val="DefaultParagraphFont"/>
    <w:link w:val="Tablehead"/>
    <w:locked/>
    <w:rsid w:val="00CE5CFD"/>
    <w:rPr>
      <w:rFonts w:ascii="Times New Roman" w:hAnsi="Times New Roman"/>
      <w:b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R16-WRC19-C-0011!A21-A2!MSW-F</DPM_x0020_File_x0020_name>
    <DPM_x0020_Author xmlns="32a1a8c5-2265-4ebc-b7a0-2071e2c5c9bb" xsi:nil="false">DPM</DPM_x0020_Author>
    <DPM_x0020_Version xmlns="32a1a8c5-2265-4ebc-b7a0-2071e2c5c9bb" xsi:nil="false">DPM_2019.05.14.1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D180768-4B55-4065-9A16-6B0D06ADAA3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1061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R16-WRC19-C-0011!A21-A2!MSW-F</vt:lpstr>
    </vt:vector>
  </TitlesOfParts>
  <Manager>Secrétariat général - Pool</Manager>
  <Company>Union internationale des télécommunications (UIT)</Company>
  <LinksUpToDate>false</LinksUpToDate>
  <CharactersWithSpaces>6674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R16-WRC19-C-0011!A21-A2!MSW-F</dc:title>
  <dc:subject>Conférence mondiale des radiocommunications - 2019</dc:subject>
  <dc:creator>Documents Proposals Manager (DPM)</dc:creator>
  <cp:keywords>DPM_v2019.5.15.1_prod</cp:keywords>
  <dc:description/>
  <cp:lastModifiedBy>Geneux, Aude</cp:lastModifiedBy>
  <cp:revision>10</cp:revision>
  <cp:lastPrinted>2019-06-28T13:24:00Z</cp:lastPrinted>
  <dcterms:created xsi:type="dcterms:W3CDTF">2019-07-02T11:05:00Z</dcterms:created>
  <dcterms:modified xsi:type="dcterms:W3CDTF">2019-07-04T09:31:00Z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