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bookmarkStart w:id="0" w:name="ditulogo"/>
            <w:bookmarkEnd w:id="0"/>
            <w:r>
              <w:rPr>
                <w:noProof/>
                <w:lang w:eastAsia="zh-CN"/>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 to</w:t>
            </w:r>
            <w:r>
              <w:rPr>
                <w:rFonts w:ascii="Verdana" w:hAnsi="Verdana"/>
                <w:b/>
                <w:sz w:val="20"/>
              </w:rPr>
              <w:br/>
              <w:t>Document 11(Add.21)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24 June 2019</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6A5107">
              <w:rPr>
                <w:rFonts w:ascii="Verdana" w:hAnsi="Verdana"/>
                <w:b/>
                <w:sz w:val="20"/>
              </w:rPr>
              <w:t>/Spanish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w:t>
            </w:r>
            <w:r w:rsidRPr="007F2180">
              <w:rPr>
                <w:lang w:val="en-GB"/>
              </w:rPr>
              <w:t xml:space="preserve"> item</w:t>
            </w:r>
            <w:r>
              <w:t xml:space="preserve"> 9.1(9.1.2)</w:t>
            </w:r>
          </w:p>
        </w:tc>
      </w:tr>
    </w:tbl>
    <w:bookmarkEnd w:id="6"/>
    <w:bookmarkEnd w:id="7"/>
    <w:p w:rsidR="005118F7" w:rsidRPr="00EC5386" w:rsidRDefault="00774712" w:rsidP="00167FA6">
      <w:pPr>
        <w:overflowPunct/>
        <w:autoSpaceDE/>
        <w:autoSpaceDN/>
        <w:adjustRightInd/>
        <w:textAlignment w:val="auto"/>
        <w:rPr>
          <w:lang w:val="en-US"/>
        </w:rPr>
      </w:pPr>
      <w:r w:rsidRPr="00656311">
        <w:rPr>
          <w:lang w:val="en-US"/>
        </w:rPr>
        <w:t>9</w:t>
      </w:r>
      <w:r w:rsidRPr="00656311">
        <w:rPr>
          <w:lang w:val="en-US"/>
        </w:rPr>
        <w:tab/>
        <w:t xml:space="preserve">to consider and approve the Report of the Director of the </w:t>
      </w:r>
      <w:proofErr w:type="spellStart"/>
      <w:r w:rsidRPr="00656311">
        <w:rPr>
          <w:lang w:val="en-US"/>
        </w:rPr>
        <w:t>Radiocommunication</w:t>
      </w:r>
      <w:proofErr w:type="spellEnd"/>
      <w:r w:rsidRPr="00656311">
        <w:rPr>
          <w:lang w:val="en-US"/>
        </w:rPr>
        <w:t xml:space="preserve"> Bureau, in accordance with Article 7 of the Convention:</w:t>
      </w:r>
    </w:p>
    <w:p w:rsidR="005118F7" w:rsidRPr="00EC5386" w:rsidRDefault="00774712" w:rsidP="00167FA6">
      <w:pPr>
        <w:overflowPunct/>
        <w:autoSpaceDE/>
        <w:autoSpaceDN/>
        <w:adjustRightInd/>
        <w:textAlignment w:val="auto"/>
        <w:rPr>
          <w:lang w:val="en-US"/>
        </w:rPr>
      </w:pPr>
      <w:r w:rsidRPr="00656311">
        <w:rPr>
          <w:lang w:val="en-US"/>
        </w:rPr>
        <w:t>9.1</w:t>
      </w:r>
      <w:r w:rsidRPr="00656311">
        <w:rPr>
          <w:lang w:val="en-US"/>
        </w:rPr>
        <w:tab/>
      </w:r>
      <w:proofErr w:type="gramStart"/>
      <w:r w:rsidRPr="00656311">
        <w:rPr>
          <w:lang w:val="en-US"/>
        </w:rPr>
        <w:t>on</w:t>
      </w:r>
      <w:proofErr w:type="gramEnd"/>
      <w:r w:rsidRPr="00656311">
        <w:rPr>
          <w:lang w:val="en-US"/>
        </w:rPr>
        <w:t xml:space="preserve"> the activities of the </w:t>
      </w:r>
      <w:proofErr w:type="spellStart"/>
      <w:r w:rsidRPr="00656311">
        <w:rPr>
          <w:lang w:val="en-US"/>
        </w:rPr>
        <w:t>Radiocommunication</w:t>
      </w:r>
      <w:proofErr w:type="spellEnd"/>
      <w:r w:rsidRPr="00656311">
        <w:rPr>
          <w:lang w:val="en-US"/>
        </w:rPr>
        <w:t xml:space="preserve"> Sector since WRC-15;</w:t>
      </w:r>
    </w:p>
    <w:p w:rsidR="005118F7" w:rsidRPr="005B1C49" w:rsidRDefault="00774712" w:rsidP="007D678C">
      <w:r>
        <w:rPr>
          <w:rFonts w:cstheme="majorBidi"/>
          <w:color w:val="000000"/>
          <w:szCs w:val="24"/>
          <w:lang w:eastAsia="zh-CN"/>
        </w:rPr>
        <w:t>9.1 (</w:t>
      </w:r>
      <w:r w:rsidRPr="00236E46">
        <w:rPr>
          <w:rFonts w:hint="eastAsia"/>
          <w:lang w:val="en-US" w:eastAsia="zh-CN"/>
        </w:rPr>
        <w:t>9.1.2</w:t>
      </w:r>
      <w:r>
        <w:rPr>
          <w:lang w:val="en-US" w:eastAsia="zh-CN"/>
        </w:rPr>
        <w:t xml:space="preserve">) </w:t>
      </w:r>
      <w:r>
        <w:rPr>
          <w:lang w:val="en-US"/>
        </w:rPr>
        <w:tab/>
      </w:r>
      <w:r w:rsidRPr="002B50A6">
        <w:rPr>
          <w:lang w:val="en-US"/>
        </w:rPr>
        <w:t xml:space="preserve">Resolution </w:t>
      </w:r>
      <w:r w:rsidRPr="002B50A6">
        <w:rPr>
          <w:b/>
          <w:bCs/>
          <w:lang w:val="en-US"/>
        </w:rPr>
        <w:t>761 (WRC-15)</w:t>
      </w:r>
      <w:r w:rsidRPr="002B50A6">
        <w:rPr>
          <w:lang w:val="en-US"/>
        </w:rPr>
        <w:t xml:space="preserve"> </w:t>
      </w:r>
      <w:r w:rsidRPr="002B50A6">
        <w:rPr>
          <w:b/>
          <w:bCs/>
          <w:lang w:val="en-US"/>
        </w:rPr>
        <w:t>-</w:t>
      </w:r>
      <w:r w:rsidRPr="002B50A6">
        <w:rPr>
          <w:lang w:val="en-US"/>
        </w:rPr>
        <w:t xml:space="preserve"> Compatibility of International Mobile Telecommunications and broadcasting-satellite service (sound) in the frequency band 1 452-1 492 MHz in Regions 1 and</w:t>
      </w:r>
      <w:r>
        <w:rPr>
          <w:lang w:val="en-US"/>
        </w:rPr>
        <w:t> </w:t>
      </w:r>
      <w:r w:rsidRPr="002B50A6">
        <w:rPr>
          <w:lang w:val="en-US"/>
        </w:rPr>
        <w:t>3</w:t>
      </w:r>
    </w:p>
    <w:p w:rsidR="00544E4A" w:rsidRPr="00544E4A" w:rsidRDefault="00544E4A" w:rsidP="00544E4A">
      <w:pPr>
        <w:pStyle w:val="Headingb"/>
        <w:rPr>
          <w:lang w:val="en-GB"/>
        </w:rPr>
      </w:pPr>
      <w:r w:rsidRPr="00544E4A">
        <w:rPr>
          <w:lang w:val="en-GB"/>
        </w:rPr>
        <w:t>Background</w:t>
      </w:r>
    </w:p>
    <w:p w:rsidR="00544E4A" w:rsidRPr="00544E4A" w:rsidRDefault="00544E4A" w:rsidP="00544E4A">
      <w:r w:rsidRPr="00544E4A">
        <w:t>At WRC-15, it was decided to identify the frequency band 1</w:t>
      </w:r>
      <w:r w:rsidR="00BB3C93">
        <w:t xml:space="preserve"> </w:t>
      </w:r>
      <w:r w:rsidRPr="00544E4A">
        <w:t>452-1</w:t>
      </w:r>
      <w:r w:rsidR="00BB3C93">
        <w:t xml:space="preserve"> </w:t>
      </w:r>
      <w:r w:rsidRPr="00544E4A">
        <w:t xml:space="preserve">492 MHz for International Mobile Telecommunications (IMT) in more than 50 countries in Region 1 via No. </w:t>
      </w:r>
      <w:r w:rsidRPr="00544E4A">
        <w:rPr>
          <w:b/>
        </w:rPr>
        <w:t>5.346</w:t>
      </w:r>
      <w:r w:rsidRPr="00544E4A">
        <w:t xml:space="preserve"> and in Region 3 via No. </w:t>
      </w:r>
      <w:r w:rsidRPr="00544E4A">
        <w:rPr>
          <w:b/>
        </w:rPr>
        <w:t>5.346A</w:t>
      </w:r>
      <w:r w:rsidRPr="00544E4A">
        <w:t>. In Region 2, the identification for IMT for the 1</w:t>
      </w:r>
      <w:r w:rsidR="00BB3C93">
        <w:t xml:space="preserve"> </w:t>
      </w:r>
      <w:r w:rsidRPr="00544E4A">
        <w:t>452-1</w:t>
      </w:r>
      <w:r w:rsidR="00BB3C93">
        <w:t xml:space="preserve"> </w:t>
      </w:r>
      <w:r w:rsidRPr="00544E4A">
        <w:t xml:space="preserve">492 MHz frequency band is provided via No. </w:t>
      </w:r>
      <w:r w:rsidRPr="00544E4A">
        <w:rPr>
          <w:b/>
        </w:rPr>
        <w:t>5.341B</w:t>
      </w:r>
      <w:r w:rsidRPr="00544E4A">
        <w:t xml:space="preserve">. </w:t>
      </w:r>
    </w:p>
    <w:p w:rsidR="00544E4A" w:rsidRPr="00544E4A" w:rsidRDefault="00544E4A" w:rsidP="00E524FC">
      <w:r w:rsidRPr="00544E4A">
        <w:t>In addition to the primary mobile service allocation in the 1</w:t>
      </w:r>
      <w:r w:rsidR="00BB3C93">
        <w:t xml:space="preserve"> </w:t>
      </w:r>
      <w:r w:rsidRPr="00544E4A">
        <w:t>452-1</w:t>
      </w:r>
      <w:r w:rsidR="00BB3C93">
        <w:t xml:space="preserve"> </w:t>
      </w:r>
      <w:r w:rsidRPr="00544E4A">
        <w:t>492 MHz frequency band, the band is allocated to the fixed, broadcasting, and broadcasting-satellite services (BSS) in all thr</w:t>
      </w:r>
      <w:r w:rsidR="00BB3C93">
        <w:t xml:space="preserve">ee Regions on a primary basis. </w:t>
      </w:r>
      <w:r w:rsidRPr="00544E4A">
        <w:t xml:space="preserve">In accordance with No. </w:t>
      </w:r>
      <w:r w:rsidRPr="00544E4A">
        <w:rPr>
          <w:b/>
        </w:rPr>
        <w:t>5.345</w:t>
      </w:r>
      <w:r w:rsidRPr="00544E4A">
        <w:t xml:space="preserve"> use of the frequency band 1 452-1</w:t>
      </w:r>
      <w:r w:rsidR="00E524FC">
        <w:t> </w:t>
      </w:r>
      <w:r w:rsidRPr="00544E4A">
        <w:t>492</w:t>
      </w:r>
      <w:r w:rsidR="00E524FC">
        <w:t> </w:t>
      </w:r>
      <w:r w:rsidRPr="00544E4A">
        <w:t xml:space="preserve">MHz by the broadcasting-satellite service, and by the broadcasting service, is limited to digital audio broadcasting and is subject to the provisions of Resolution </w:t>
      </w:r>
      <w:r w:rsidRPr="00544E4A">
        <w:rPr>
          <w:b/>
        </w:rPr>
        <w:t>528 (WARC-92)</w:t>
      </w:r>
      <w:r w:rsidRPr="00544E4A">
        <w:t>, subsequently</w:t>
      </w:r>
      <w:r w:rsidR="00BB3C93">
        <w:t xml:space="preserve"> revised by WRC-03 and WRC-15. </w:t>
      </w:r>
      <w:r w:rsidRPr="00544E4A">
        <w:t xml:space="preserve">The sharing conditions between BSS (sound) and the mobile service are currently governed by No. </w:t>
      </w:r>
      <w:r w:rsidRPr="00544E4A">
        <w:rPr>
          <w:b/>
        </w:rPr>
        <w:t>9.11</w:t>
      </w:r>
      <w:r w:rsidRPr="00544E4A">
        <w:t>. However, currently there is no power flux-density (</w:t>
      </w:r>
      <w:proofErr w:type="spellStart"/>
      <w:r w:rsidRPr="00544E4A">
        <w:t>pfd</w:t>
      </w:r>
      <w:proofErr w:type="spellEnd"/>
      <w:r w:rsidRPr="00544E4A">
        <w:t xml:space="preserve">) limit for the frequency band 1 452-1 492 MHz in Article 21 to protect the mobile service (service area protection). </w:t>
      </w:r>
    </w:p>
    <w:p w:rsidR="00544E4A" w:rsidRDefault="00544E4A" w:rsidP="00E524FC">
      <w:r w:rsidRPr="00544E4A">
        <w:t>WRC-15 could not come to agreement on the results of technical and regulatory studies carried out on sharing of the frequency band 1 452-1 492 MHz by IMT and BSS for Regions 1 and 3 and for</w:t>
      </w:r>
      <w:r w:rsidR="00BB3C93">
        <w:t xml:space="preserve"> this reason WRC-19 Issue 9.1.2</w:t>
      </w:r>
      <w:r w:rsidRPr="00544E4A">
        <w:t xml:space="preserve">, pursuant to Resolution </w:t>
      </w:r>
      <w:r w:rsidRPr="00544E4A">
        <w:rPr>
          <w:b/>
        </w:rPr>
        <w:t>761 (WRC-15)</w:t>
      </w:r>
      <w:r w:rsidRPr="00544E4A">
        <w:t>, was agr</w:t>
      </w:r>
      <w:r w:rsidR="00BB3C93">
        <w:t xml:space="preserve">eed. </w:t>
      </w:r>
      <w:r w:rsidRPr="00544E4A">
        <w:t>This resolution specifically calls for regulatory and technical studies with a view to ensuring the compatibility of IMT and BSS (sound) in the frequency band 1 452-1 492 MHz in Regions 1 and 3 taking into account only IMT and BSS (sound) operational</w:t>
      </w:r>
      <w:r w:rsidR="00BB3C93">
        <w:t xml:space="preserve"> requirements. </w:t>
      </w:r>
      <w:r w:rsidRPr="00544E4A">
        <w:t xml:space="preserve">Further, Resolution </w:t>
      </w:r>
      <w:r w:rsidRPr="00544E4A">
        <w:rPr>
          <w:b/>
        </w:rPr>
        <w:t>761 (WRC-15)</w:t>
      </w:r>
      <w:r w:rsidRPr="00544E4A">
        <w:t xml:space="preserve"> invites ITU Member States in Region </w:t>
      </w:r>
      <w:r w:rsidR="00BB3C93">
        <w:t>1, to use guidance from the ITU-</w:t>
      </w:r>
      <w:r w:rsidRPr="00544E4A">
        <w:t xml:space="preserve">R studies to </w:t>
      </w:r>
      <w:r w:rsidRPr="00544E4A">
        <w:lastRenderedPageBreak/>
        <w:t>determine the need for bilateral coordination between IMT systems and BSS earth stations until WRC 19 defines regulatory and technical conditions for this bilateral coordination and Member States in Region 3, to use guidance from ITU R studies to determine the need for bilateral coordination to prote</w:t>
      </w:r>
      <w:r w:rsidR="00BB3C93">
        <w:t>ct BSS earth stations until WRC-</w:t>
      </w:r>
      <w:r w:rsidRPr="00544E4A">
        <w:t>19 defines regulatory and technical conditions fo</w:t>
      </w:r>
      <w:r w:rsidR="00BB3C93">
        <w:t xml:space="preserve">r this bilateral coordination. </w:t>
      </w:r>
      <w:r w:rsidRPr="00544E4A">
        <w:t>With regard to Region 2, the interests of countries in the Region in the band 1</w:t>
      </w:r>
      <w:r w:rsidR="00BB3C93">
        <w:t xml:space="preserve"> </w:t>
      </w:r>
      <w:r w:rsidRPr="00544E4A">
        <w:t>452-1</w:t>
      </w:r>
      <w:r w:rsidR="00BB3C93">
        <w:t xml:space="preserve"> </w:t>
      </w:r>
      <w:r w:rsidRPr="00544E4A">
        <w:t>492 MHz by the mobile service extend beyond IMT applications (e.g. see No.</w:t>
      </w:r>
      <w:r w:rsidR="00E524FC">
        <w:t> </w:t>
      </w:r>
      <w:r w:rsidRPr="00544E4A">
        <w:rPr>
          <w:b/>
        </w:rPr>
        <w:t>5.343</w:t>
      </w:r>
      <w:r w:rsidR="00BB3C93">
        <w:t xml:space="preserve">). </w:t>
      </w:r>
      <w:r w:rsidRPr="00544E4A">
        <w:t xml:space="preserve">Also, most of the countries in the Region enjoy long and successful multilateral and bilateral frequency coordination arrangements with their </w:t>
      </w:r>
      <w:proofErr w:type="spellStart"/>
      <w:r w:rsidRPr="00544E4A">
        <w:t>neighbors</w:t>
      </w:r>
      <w:proofErr w:type="spellEnd"/>
      <w:r w:rsidRPr="00544E4A">
        <w:t xml:space="preserve"> without the need for specific guidance from the ITU on the conduct of such arrangements.</w:t>
      </w:r>
    </w:p>
    <w:p w:rsidR="00544E4A" w:rsidRPr="001E756C" w:rsidRDefault="000E10D1" w:rsidP="00544E4A">
      <w:pPr>
        <w:pStyle w:val="Headingb"/>
        <w:rPr>
          <w:lang w:val="en-GB"/>
        </w:rPr>
      </w:pPr>
      <w:r>
        <w:rPr>
          <w:lang w:val="en-GB"/>
        </w:rPr>
        <w:t>INTER-AMERICAN PROPOSALS</w:t>
      </w:r>
    </w:p>
    <w:p w:rsidR="00302111" w:rsidRDefault="00774712">
      <w:pPr>
        <w:pStyle w:val="Proposal"/>
      </w:pPr>
      <w:r>
        <w:tab/>
        <w:t>IAP/11A21A2/1</w:t>
      </w:r>
    </w:p>
    <w:p w:rsidR="00544E4A" w:rsidRPr="007E4D30" w:rsidRDefault="00774712" w:rsidP="00544E4A">
      <w:r>
        <w:tab/>
      </w:r>
      <w:r w:rsidR="00544E4A" w:rsidRPr="007E4D30">
        <w:t>Given that WRC-19 agenda item 9.1 issue 9.1.2 is a Regions 1 and 3 issue, no change is proposed for Region 2. Furthermore, any changes made to the Radio Regula</w:t>
      </w:r>
      <w:r w:rsidR="001A6172">
        <w:t xml:space="preserve">tions under WRC-19 issue 9.1.2 </w:t>
      </w:r>
      <w:r w:rsidR="00544E4A" w:rsidRPr="007E4D30">
        <w:t>must not impact the existing allocations to services in R</w:t>
      </w:r>
      <w:r w:rsidR="001A6172">
        <w:t>egion 2 in the frequency band 1 452-1 </w:t>
      </w:r>
      <w:r w:rsidR="00544E4A" w:rsidRPr="007E4D30">
        <w:t>492 MHz, nor subject Region 2 to any changed procedural or regulatory provisions.</w:t>
      </w:r>
    </w:p>
    <w:p w:rsidR="00302111" w:rsidRPr="00544E4A" w:rsidRDefault="00774712" w:rsidP="001A6172">
      <w:pPr>
        <w:pStyle w:val="Reasons"/>
      </w:pPr>
      <w:r w:rsidRPr="001A6172">
        <w:rPr>
          <w:b/>
          <w:bCs/>
        </w:rPr>
        <w:t>Reasons</w:t>
      </w:r>
      <w:r>
        <w:rPr>
          <w:b/>
        </w:rPr>
        <w:t>:</w:t>
      </w:r>
      <w:r>
        <w:tab/>
      </w:r>
      <w:r w:rsidR="00544E4A" w:rsidRPr="00544E4A">
        <w:t>WRC-19 agenda item 9.1 issue 9.1.2 is limited to technical and regulatory studies of the mobile (IMT) and broadcasting satellite (sound) services in the band 1</w:t>
      </w:r>
      <w:r w:rsidR="00D34A6A">
        <w:t xml:space="preserve"> </w:t>
      </w:r>
      <w:r w:rsidR="00544E4A" w:rsidRPr="00544E4A">
        <w:t>452-1</w:t>
      </w:r>
      <w:r w:rsidR="00D34A6A">
        <w:t xml:space="preserve"> </w:t>
      </w:r>
      <w:r w:rsidR="00544E4A" w:rsidRPr="00544E4A">
        <w:t>49</w:t>
      </w:r>
      <w:r w:rsidR="00D34A6A">
        <w:t xml:space="preserve">2 MHz in Regions 1 and 3 only. </w:t>
      </w:r>
      <w:r w:rsidR="00544E4A" w:rsidRPr="00544E4A">
        <w:t>Therefore, there is no basis for any changes to the Radio Regulations that would impact the services in the frequency band1</w:t>
      </w:r>
      <w:r w:rsidR="00D34A6A">
        <w:t xml:space="preserve"> </w:t>
      </w:r>
      <w:r w:rsidR="00544E4A" w:rsidRPr="00544E4A">
        <w:t>452-1</w:t>
      </w:r>
      <w:r w:rsidR="00D34A6A">
        <w:t xml:space="preserve"> </w:t>
      </w:r>
      <w:r w:rsidR="00544E4A" w:rsidRPr="00544E4A">
        <w:t>492 MHz</w:t>
      </w:r>
      <w:r w:rsidR="00D34A6A">
        <w:t xml:space="preserve"> in Region 2 under this issue. </w:t>
      </w:r>
      <w:r w:rsidR="00544E4A" w:rsidRPr="00544E4A">
        <w:t>Therefore, NOC is proposed with respect to any change to Article 5 that could impact Region 2 services in the frequency band 1</w:t>
      </w:r>
      <w:r w:rsidR="00D34A6A">
        <w:t xml:space="preserve"> </w:t>
      </w:r>
      <w:r w:rsidR="00544E4A" w:rsidRPr="00544E4A">
        <w:t>452-1</w:t>
      </w:r>
      <w:r w:rsidR="00D34A6A">
        <w:t xml:space="preserve"> </w:t>
      </w:r>
      <w:r w:rsidR="00544E4A" w:rsidRPr="00544E4A">
        <w:t xml:space="preserve">492 </w:t>
      </w:r>
      <w:proofErr w:type="spellStart"/>
      <w:r w:rsidR="00544E4A" w:rsidRPr="00544E4A">
        <w:t>MHz.</w:t>
      </w:r>
      <w:proofErr w:type="spellEnd"/>
    </w:p>
    <w:p w:rsidR="008B2E84" w:rsidRDefault="00774712" w:rsidP="00E524FC">
      <w:pPr>
        <w:pStyle w:val="ArtNo"/>
        <w:rPr>
          <w:lang w:val="en-AU"/>
        </w:rPr>
      </w:pPr>
      <w:bookmarkStart w:id="8" w:name="_Toc451865291"/>
      <w:r w:rsidRPr="006D07BF">
        <w:t>ARTICLE</w:t>
      </w:r>
      <w:r>
        <w:rPr>
          <w:lang w:val="en-AU"/>
        </w:rPr>
        <w:t xml:space="preserve"> </w:t>
      </w:r>
      <w:r>
        <w:rPr>
          <w:rStyle w:val="href"/>
          <w:rFonts w:eastAsiaTheme="majorEastAsia"/>
          <w:color w:val="000000"/>
          <w:lang w:val="en-AU"/>
        </w:rPr>
        <w:t>5</w:t>
      </w:r>
      <w:bookmarkEnd w:id="8"/>
    </w:p>
    <w:p w:rsidR="008B2E84" w:rsidRDefault="00774712" w:rsidP="008B2E84">
      <w:pPr>
        <w:pStyle w:val="Arttitle"/>
        <w:rPr>
          <w:lang w:val="en-US"/>
        </w:rPr>
      </w:pPr>
      <w:bookmarkStart w:id="9" w:name="_Toc327956583"/>
      <w:bookmarkStart w:id="10" w:name="_Toc451865292"/>
      <w:r w:rsidRPr="006D07BF">
        <w:t>Frequency</w:t>
      </w:r>
      <w:r>
        <w:t xml:space="preserve"> allocations</w:t>
      </w:r>
      <w:bookmarkEnd w:id="9"/>
      <w:bookmarkEnd w:id="10"/>
    </w:p>
    <w:p w:rsidR="008B2E84" w:rsidRPr="00B25B23" w:rsidRDefault="00774712" w:rsidP="008B2E84">
      <w:pPr>
        <w:pStyle w:val="Section1"/>
        <w:keepNext/>
      </w:pPr>
      <w:r w:rsidRPr="002618F4">
        <w:t>Section</w:t>
      </w:r>
      <w:r>
        <w:rPr>
          <w:lang w:val="en-AU"/>
        </w:rPr>
        <w:t xml:space="preserve"> IV – Table of Frequency </w:t>
      </w:r>
      <w:proofErr w:type="gramStart"/>
      <w:r>
        <w:rPr>
          <w:lang w:val="en-AU"/>
        </w:rPr>
        <w:t>Allocations</w:t>
      </w:r>
      <w:proofErr w:type="gramEnd"/>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302111" w:rsidRDefault="00774712" w:rsidP="00544E4A">
      <w:pPr>
        <w:pStyle w:val="Proposal"/>
      </w:pPr>
      <w:r>
        <w:rPr>
          <w:u w:val="single"/>
        </w:rPr>
        <w:t>NOC</w:t>
      </w:r>
      <w:r>
        <w:tab/>
        <w:t>IAP/11A21A2/2</w:t>
      </w:r>
    </w:p>
    <w:p w:rsidR="00B4508D" w:rsidRPr="002B657C" w:rsidRDefault="00774712" w:rsidP="003E393F">
      <w:pPr>
        <w:pStyle w:val="Tabletitle"/>
      </w:pPr>
      <w:r>
        <w:t>1</w:t>
      </w:r>
      <w:r w:rsidRPr="005B494F">
        <w:t> </w:t>
      </w:r>
      <w:r>
        <w:t>300-1</w:t>
      </w:r>
      <w:r w:rsidRPr="005B494F">
        <w:t> </w:t>
      </w:r>
      <w:r>
        <w:t xml:space="preserve">525 </w:t>
      </w:r>
      <w:r w:rsidRPr="002C6B39">
        <w:rPr>
          <w:lang w:val="en-US"/>
        </w:rPr>
        <w:t>MHz</w:t>
      </w:r>
    </w:p>
    <w:tbl>
      <w:tblPr>
        <w:tblW w:w="9299" w:type="dxa"/>
        <w:jc w:val="center"/>
        <w:tblLayout w:type="fixed"/>
        <w:tblCellMar>
          <w:left w:w="107" w:type="dxa"/>
          <w:right w:w="107" w:type="dxa"/>
        </w:tblCellMar>
        <w:tblLook w:val="04A0" w:firstRow="1" w:lastRow="0" w:firstColumn="1" w:lastColumn="0" w:noHBand="0" w:noVBand="1"/>
      </w:tblPr>
      <w:tblGrid>
        <w:gridCol w:w="3098"/>
        <w:gridCol w:w="12"/>
        <w:gridCol w:w="3087"/>
        <w:gridCol w:w="3102"/>
      </w:tblGrid>
      <w:tr w:rsidR="008B2E84" w:rsidTr="003E393F">
        <w:trPr>
          <w:cantSplit/>
          <w:jc w:val="center"/>
        </w:trPr>
        <w:tc>
          <w:tcPr>
            <w:tcW w:w="9299" w:type="dxa"/>
            <w:gridSpan w:val="4"/>
            <w:tcBorders>
              <w:top w:val="single" w:sz="4" w:space="0" w:color="auto"/>
              <w:left w:val="single" w:sz="4" w:space="0" w:color="auto"/>
              <w:bottom w:val="single" w:sz="4" w:space="0" w:color="auto"/>
              <w:right w:val="single" w:sz="4" w:space="0" w:color="auto"/>
            </w:tcBorders>
            <w:hideMark/>
          </w:tcPr>
          <w:p w:rsidR="008B2E84" w:rsidRPr="002B657C" w:rsidRDefault="00774712" w:rsidP="003E393F">
            <w:pPr>
              <w:pStyle w:val="Tablehead"/>
            </w:pPr>
            <w:r w:rsidRPr="002B657C">
              <w:t>Allocation to services</w:t>
            </w:r>
          </w:p>
        </w:tc>
      </w:tr>
      <w:tr w:rsidR="008B2E84" w:rsidTr="003E393F">
        <w:trPr>
          <w:cantSplit/>
          <w:jc w:val="center"/>
        </w:trPr>
        <w:tc>
          <w:tcPr>
            <w:tcW w:w="3098" w:type="dxa"/>
            <w:tcBorders>
              <w:top w:val="single" w:sz="4" w:space="0" w:color="auto"/>
              <w:left w:val="single" w:sz="4" w:space="0" w:color="auto"/>
              <w:bottom w:val="single" w:sz="4" w:space="0" w:color="auto"/>
              <w:right w:val="single" w:sz="4" w:space="0" w:color="auto"/>
            </w:tcBorders>
            <w:hideMark/>
          </w:tcPr>
          <w:p w:rsidR="008B2E84" w:rsidRPr="002B657C" w:rsidRDefault="00774712" w:rsidP="003E393F">
            <w:pPr>
              <w:pStyle w:val="Tablehead"/>
            </w:pPr>
            <w:r w:rsidRPr="002B657C">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8B2E84" w:rsidRPr="002B657C" w:rsidRDefault="00774712" w:rsidP="003E393F">
            <w:pPr>
              <w:pStyle w:val="Tablehead"/>
            </w:pPr>
            <w:r w:rsidRPr="002B657C">
              <w:t>Region 2</w:t>
            </w:r>
          </w:p>
        </w:tc>
        <w:tc>
          <w:tcPr>
            <w:tcW w:w="3102" w:type="dxa"/>
            <w:tcBorders>
              <w:top w:val="single" w:sz="4" w:space="0" w:color="auto"/>
              <w:left w:val="single" w:sz="4" w:space="0" w:color="auto"/>
              <w:bottom w:val="single" w:sz="4" w:space="0" w:color="auto"/>
              <w:right w:val="single" w:sz="4" w:space="0" w:color="auto"/>
            </w:tcBorders>
            <w:hideMark/>
          </w:tcPr>
          <w:p w:rsidR="008B2E84" w:rsidRPr="002B657C" w:rsidRDefault="00774712" w:rsidP="003E393F">
            <w:pPr>
              <w:pStyle w:val="Tablehead"/>
            </w:pPr>
            <w:r w:rsidRPr="002B657C">
              <w:t>Region 3</w:t>
            </w:r>
          </w:p>
        </w:tc>
      </w:tr>
      <w:tr w:rsidR="008B2E84" w:rsidTr="003E393F">
        <w:trPr>
          <w:cantSplit/>
          <w:trHeight w:val="2062"/>
          <w:jc w:val="center"/>
        </w:trPr>
        <w:tc>
          <w:tcPr>
            <w:tcW w:w="3110" w:type="dxa"/>
            <w:gridSpan w:val="2"/>
            <w:tcBorders>
              <w:top w:val="single" w:sz="4" w:space="0" w:color="auto"/>
              <w:left w:val="single" w:sz="4" w:space="0" w:color="auto"/>
              <w:bottom w:val="single" w:sz="4" w:space="0" w:color="auto"/>
              <w:right w:val="single" w:sz="4" w:space="0" w:color="auto"/>
            </w:tcBorders>
          </w:tcPr>
          <w:p w:rsidR="008B2E84" w:rsidRDefault="00706665" w:rsidP="003E393F">
            <w:pPr>
              <w:pStyle w:val="TableTextS5"/>
              <w:spacing w:line="220" w:lineRule="exact"/>
              <w:rPr>
                <w:color w:val="000000"/>
                <w:lang w:val="fr-FR"/>
              </w:rPr>
            </w:pPr>
          </w:p>
        </w:tc>
        <w:tc>
          <w:tcPr>
            <w:tcW w:w="6189" w:type="dxa"/>
            <w:gridSpan w:val="2"/>
            <w:tcBorders>
              <w:top w:val="single" w:sz="4" w:space="0" w:color="auto"/>
              <w:left w:val="single" w:sz="4" w:space="0" w:color="auto"/>
              <w:bottom w:val="single" w:sz="4" w:space="0" w:color="auto"/>
              <w:right w:val="single" w:sz="4" w:space="0" w:color="auto"/>
            </w:tcBorders>
          </w:tcPr>
          <w:p w:rsidR="008B2E84" w:rsidRPr="001205B8" w:rsidRDefault="00774712" w:rsidP="003E393F">
            <w:pPr>
              <w:pStyle w:val="TableTextS5"/>
              <w:spacing w:line="220" w:lineRule="exact"/>
              <w:rPr>
                <w:color w:val="000000"/>
              </w:rPr>
            </w:pPr>
            <w:r w:rsidRPr="001205B8">
              <w:rPr>
                <w:rStyle w:val="Tablefreq"/>
              </w:rPr>
              <w:t>1</w:t>
            </w:r>
            <w:r w:rsidRPr="001205B8">
              <w:t> </w:t>
            </w:r>
            <w:r w:rsidRPr="001205B8">
              <w:rPr>
                <w:rStyle w:val="Tablefreq"/>
              </w:rPr>
              <w:t>452-1</w:t>
            </w:r>
            <w:r w:rsidRPr="001205B8">
              <w:t> </w:t>
            </w:r>
            <w:r w:rsidRPr="001205B8">
              <w:rPr>
                <w:rStyle w:val="Tablefreq"/>
              </w:rPr>
              <w:t>492</w:t>
            </w:r>
          </w:p>
          <w:p w:rsidR="008B2E84" w:rsidRPr="001205B8" w:rsidRDefault="00774712" w:rsidP="003E393F">
            <w:pPr>
              <w:pStyle w:val="TableTextS5"/>
              <w:tabs>
                <w:tab w:val="clear" w:pos="170"/>
              </w:tabs>
              <w:rPr>
                <w:color w:val="000000"/>
              </w:rPr>
            </w:pPr>
            <w:r>
              <w:rPr>
                <w:color w:val="000000"/>
              </w:rPr>
              <w:tab/>
            </w:r>
            <w:r>
              <w:rPr>
                <w:color w:val="000000"/>
              </w:rPr>
              <w:tab/>
            </w:r>
            <w:r w:rsidRPr="001205B8">
              <w:rPr>
                <w:color w:val="000000"/>
              </w:rPr>
              <w:t>FIXED</w:t>
            </w:r>
          </w:p>
          <w:p w:rsidR="008B2E84" w:rsidRPr="001205B8" w:rsidRDefault="00774712" w:rsidP="003E393F">
            <w:pPr>
              <w:pStyle w:val="TableTextS5"/>
              <w:tabs>
                <w:tab w:val="clear" w:pos="170"/>
              </w:tabs>
              <w:rPr>
                <w:color w:val="000000"/>
              </w:rPr>
            </w:pPr>
            <w:r>
              <w:rPr>
                <w:color w:val="000000"/>
              </w:rPr>
              <w:tab/>
            </w:r>
            <w:r>
              <w:rPr>
                <w:color w:val="000000"/>
              </w:rPr>
              <w:tab/>
            </w:r>
            <w:r w:rsidRPr="001205B8">
              <w:rPr>
                <w:color w:val="000000"/>
              </w:rPr>
              <w:t xml:space="preserve">MOBILE  </w:t>
            </w:r>
            <w:r w:rsidRPr="002031F0">
              <w:rPr>
                <w:rStyle w:val="Artref"/>
              </w:rPr>
              <w:t>5.341B</w:t>
            </w:r>
            <w:r>
              <w:rPr>
                <w:color w:val="000000"/>
              </w:rPr>
              <w:t xml:space="preserve">  </w:t>
            </w:r>
            <w:r w:rsidRPr="001205B8">
              <w:rPr>
                <w:rStyle w:val="Artref"/>
                <w:color w:val="000000"/>
              </w:rPr>
              <w:t>5.343</w:t>
            </w:r>
            <w:r>
              <w:rPr>
                <w:color w:val="000000"/>
              </w:rPr>
              <w:t xml:space="preserve">  </w:t>
            </w:r>
            <w:r w:rsidRPr="002031F0">
              <w:rPr>
                <w:rStyle w:val="Artref"/>
              </w:rPr>
              <w:t>5.346A</w:t>
            </w:r>
            <w:r>
              <w:rPr>
                <w:color w:val="000000"/>
              </w:rPr>
              <w:t xml:space="preserve">  </w:t>
            </w:r>
          </w:p>
          <w:p w:rsidR="008B2E84" w:rsidRPr="001205B8" w:rsidRDefault="00774712" w:rsidP="003E393F">
            <w:pPr>
              <w:pStyle w:val="TableTextS5"/>
              <w:tabs>
                <w:tab w:val="clear" w:pos="170"/>
              </w:tabs>
              <w:rPr>
                <w:color w:val="000000"/>
              </w:rPr>
            </w:pPr>
            <w:r>
              <w:rPr>
                <w:color w:val="000000"/>
              </w:rPr>
              <w:tab/>
            </w:r>
            <w:r>
              <w:rPr>
                <w:color w:val="000000"/>
              </w:rPr>
              <w:tab/>
            </w:r>
            <w:r w:rsidRPr="001205B8">
              <w:rPr>
                <w:color w:val="000000"/>
              </w:rPr>
              <w:t xml:space="preserve">BROADCASTING  </w:t>
            </w:r>
          </w:p>
          <w:p w:rsidR="008B2E84" w:rsidRPr="001205B8" w:rsidRDefault="00774712" w:rsidP="003E393F">
            <w:pPr>
              <w:pStyle w:val="TableTextS5"/>
              <w:tabs>
                <w:tab w:val="clear" w:pos="170"/>
              </w:tabs>
              <w:rPr>
                <w:color w:val="000000"/>
              </w:rPr>
            </w:pPr>
            <w:r>
              <w:rPr>
                <w:color w:val="000000"/>
              </w:rPr>
              <w:tab/>
            </w:r>
            <w:r>
              <w:rPr>
                <w:color w:val="000000"/>
              </w:rPr>
              <w:tab/>
            </w:r>
            <w:r w:rsidRPr="001205B8">
              <w:rPr>
                <w:color w:val="000000"/>
              </w:rPr>
              <w:t xml:space="preserve">BROADCASTING-SATELLITE  </w:t>
            </w:r>
            <w:r w:rsidRPr="002031F0">
              <w:rPr>
                <w:rStyle w:val="Artref"/>
              </w:rPr>
              <w:t>5.208B</w:t>
            </w:r>
          </w:p>
          <w:p w:rsidR="008B2E84" w:rsidRDefault="00774712" w:rsidP="003E393F">
            <w:pPr>
              <w:pStyle w:val="TableTextS5"/>
              <w:tabs>
                <w:tab w:val="clear" w:pos="170"/>
              </w:tabs>
              <w:rPr>
                <w:color w:val="000000"/>
                <w:lang w:val="fr-FR"/>
              </w:rPr>
            </w:pPr>
            <w:r w:rsidRPr="001205B8">
              <w:rPr>
                <w:rStyle w:val="Artref"/>
                <w:color w:val="000000"/>
              </w:rPr>
              <w:br/>
            </w:r>
            <w:r w:rsidRPr="001205B8">
              <w:rPr>
                <w:rStyle w:val="Artref"/>
                <w:color w:val="000000"/>
              </w:rPr>
              <w:br/>
            </w:r>
            <w:r>
              <w:rPr>
                <w:rStyle w:val="Artref"/>
                <w:color w:val="000000"/>
              </w:rPr>
              <w:tab/>
            </w:r>
            <w:r w:rsidRPr="001205B8">
              <w:rPr>
                <w:rStyle w:val="Artref"/>
                <w:color w:val="000000"/>
              </w:rPr>
              <w:t>5.341</w:t>
            </w:r>
            <w:r w:rsidRPr="001205B8">
              <w:rPr>
                <w:color w:val="000000"/>
              </w:rPr>
              <w:t xml:space="preserve">  </w:t>
            </w:r>
            <w:r w:rsidRPr="001205B8">
              <w:rPr>
                <w:rStyle w:val="Artref"/>
                <w:color w:val="000000"/>
              </w:rPr>
              <w:t>5.344  5.345</w:t>
            </w:r>
          </w:p>
        </w:tc>
      </w:tr>
    </w:tbl>
    <w:p w:rsidR="00302111" w:rsidRDefault="00774712" w:rsidP="001A6172">
      <w:pPr>
        <w:pStyle w:val="Reasons"/>
      </w:pPr>
      <w:r>
        <w:rPr>
          <w:b/>
        </w:rPr>
        <w:t>Reasons:</w:t>
      </w:r>
      <w:r>
        <w:tab/>
      </w:r>
      <w:r w:rsidR="00544E4A" w:rsidRPr="00544E4A">
        <w:t>WRC-19 agenda item 9.1 issue 9.1.2 is limited to technical and regulatory studies of the mobile (IMT) and broadcasting satellite (sound) services in the band 1</w:t>
      </w:r>
      <w:r w:rsidR="001A6172">
        <w:t xml:space="preserve"> </w:t>
      </w:r>
      <w:r w:rsidR="00544E4A" w:rsidRPr="00544E4A">
        <w:t>452-1</w:t>
      </w:r>
      <w:r w:rsidR="001A6172">
        <w:t xml:space="preserve"> </w:t>
      </w:r>
      <w:r w:rsidR="00544E4A" w:rsidRPr="00544E4A">
        <w:t xml:space="preserve">492 MHz in Regions 1 </w:t>
      </w:r>
      <w:r w:rsidR="00544E4A" w:rsidRPr="00544E4A">
        <w:lastRenderedPageBreak/>
        <w:t>and 3 only. Therefore, there is no basis for any changes to the Radio Regulations that would impact the services in the frequency band1</w:t>
      </w:r>
      <w:r w:rsidR="001A6172">
        <w:t xml:space="preserve"> </w:t>
      </w:r>
      <w:r w:rsidR="00544E4A" w:rsidRPr="00544E4A">
        <w:t>452-1</w:t>
      </w:r>
      <w:r w:rsidR="001A6172">
        <w:t xml:space="preserve"> </w:t>
      </w:r>
      <w:r w:rsidR="00544E4A" w:rsidRPr="00544E4A">
        <w:t>492 MHz</w:t>
      </w:r>
      <w:r w:rsidR="001A6172">
        <w:t xml:space="preserve"> in Region 2 under this issue. </w:t>
      </w:r>
      <w:r w:rsidR="00544E4A" w:rsidRPr="00544E4A">
        <w:t>Therefore, NOC is proposed with respect to any change to Article 5 that could impact Region 2 services in the</w:t>
      </w:r>
      <w:r w:rsidR="001A6172">
        <w:t xml:space="preserve"> frequency band 1452-1492 </w:t>
      </w:r>
      <w:proofErr w:type="spellStart"/>
      <w:r w:rsidR="001A6172">
        <w:t>MHz.</w:t>
      </w:r>
      <w:proofErr w:type="spellEnd"/>
      <w:r w:rsidR="001A6172">
        <w:t xml:space="preserve"> </w:t>
      </w:r>
      <w:r w:rsidR="00544E4A" w:rsidRPr="00544E4A">
        <w:t>This proposal does not address Regions 1 and 3, so those columns of the Table of Frequency Allocations in Article 5, are thus not reproduced above.</w:t>
      </w:r>
    </w:p>
    <w:p w:rsidR="00544E4A" w:rsidRDefault="00544E4A" w:rsidP="001E756C">
      <w:bookmarkStart w:id="11" w:name="_GoBack"/>
      <w:bookmarkEnd w:id="11"/>
    </w:p>
    <w:p w:rsidR="00544E4A" w:rsidRPr="00544E4A" w:rsidRDefault="00544E4A" w:rsidP="003C5C56">
      <w:pPr>
        <w:jc w:val="center"/>
      </w:pPr>
      <w:r>
        <w:t>______________</w:t>
      </w:r>
    </w:p>
    <w:sectPr w:rsidR="00544E4A" w:rsidRPr="00544E4A">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473" w:rsidRDefault="00F06473">
      <w:r>
        <w:separator/>
      </w:r>
    </w:p>
  </w:endnote>
  <w:endnote w:type="continuationSeparator" w:id="0">
    <w:p w:rsidR="00F06473" w:rsidRDefault="00F0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06665">
      <w:rPr>
        <w:noProof/>
        <w:lang w:val="en-US"/>
      </w:rPr>
      <w:t>P:\ENG\ITU-R\CONF-R\CMR19\000\011ADD21ADD02E.docx</w:t>
    </w:r>
    <w:r>
      <w:fldChar w:fldCharType="end"/>
    </w:r>
    <w:r w:rsidRPr="0041348E">
      <w:rPr>
        <w:lang w:val="en-US"/>
      </w:rPr>
      <w:tab/>
    </w:r>
    <w:r>
      <w:fldChar w:fldCharType="begin"/>
    </w:r>
    <w:r>
      <w:instrText xml:space="preserve"> SAVEDATE \@ DD.MM.YY </w:instrText>
    </w:r>
    <w:r>
      <w:fldChar w:fldCharType="separate"/>
    </w:r>
    <w:r w:rsidR="00706665">
      <w:rPr>
        <w:noProof/>
      </w:rPr>
      <w:t>27.06.19</w:t>
    </w:r>
    <w:r>
      <w:fldChar w:fldCharType="end"/>
    </w:r>
    <w:r w:rsidRPr="0041348E">
      <w:rPr>
        <w:lang w:val="en-US"/>
      </w:rPr>
      <w:tab/>
    </w:r>
    <w:r>
      <w:fldChar w:fldCharType="begin"/>
    </w:r>
    <w:r>
      <w:instrText xml:space="preserve"> PRINTDATE \@ DD.MM.YY </w:instrText>
    </w:r>
    <w:r>
      <w:fldChar w:fldCharType="separate"/>
    </w:r>
    <w:r w:rsidR="00706665">
      <w:rPr>
        <w:noProof/>
      </w:rPr>
      <w:t>27.06.19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706665">
      <w:rPr>
        <w:lang w:val="en-US"/>
      </w:rPr>
      <w:t>P:\ENG\ITU-R\CONF-R\CMR19\000\011ADD21ADD02E.docx</w:t>
    </w:r>
    <w:r>
      <w:fldChar w:fldCharType="end"/>
    </w:r>
    <w:r w:rsidR="00BB3C93">
      <w:t xml:space="preserve"> (457765)</w:t>
    </w:r>
    <w:r w:rsidRPr="0041348E">
      <w:rPr>
        <w:lang w:val="en-US"/>
      </w:rPr>
      <w:tab/>
    </w:r>
    <w:r>
      <w:fldChar w:fldCharType="begin"/>
    </w:r>
    <w:r>
      <w:instrText xml:space="preserve"> SAVEDATE \@ DD.MM.YY </w:instrText>
    </w:r>
    <w:r>
      <w:fldChar w:fldCharType="separate"/>
    </w:r>
    <w:r w:rsidR="00706665">
      <w:t>27.06.19</w:t>
    </w:r>
    <w:r>
      <w:fldChar w:fldCharType="end"/>
    </w:r>
    <w:r w:rsidRPr="0041348E">
      <w:rPr>
        <w:lang w:val="en-US"/>
      </w:rPr>
      <w:tab/>
    </w:r>
    <w:r>
      <w:fldChar w:fldCharType="begin"/>
    </w:r>
    <w:r>
      <w:instrText xml:space="preserve"> PRINTDATE \@ DD.MM.YY </w:instrText>
    </w:r>
    <w:r>
      <w:fldChar w:fldCharType="separate"/>
    </w:r>
    <w:r w:rsidR="00706665">
      <w:t>27.06.19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706665">
      <w:rPr>
        <w:lang w:val="en-US"/>
      </w:rPr>
      <w:t>P:\ENG\ITU-R\CONF-R\CMR19\000\011ADD21ADD02E.docx</w:t>
    </w:r>
    <w:r>
      <w:fldChar w:fldCharType="end"/>
    </w:r>
    <w:r w:rsidR="00BB3C93">
      <w:t xml:space="preserve"> (457765)</w:t>
    </w:r>
    <w:r w:rsidRPr="0041348E">
      <w:rPr>
        <w:lang w:val="en-US"/>
      </w:rPr>
      <w:tab/>
    </w:r>
    <w:r>
      <w:fldChar w:fldCharType="begin"/>
    </w:r>
    <w:r>
      <w:instrText xml:space="preserve"> SAVEDATE \@ DD.MM.YY </w:instrText>
    </w:r>
    <w:r>
      <w:fldChar w:fldCharType="separate"/>
    </w:r>
    <w:r w:rsidR="00706665">
      <w:t>27.06.19</w:t>
    </w:r>
    <w:r>
      <w:fldChar w:fldCharType="end"/>
    </w:r>
    <w:r w:rsidRPr="0041348E">
      <w:rPr>
        <w:lang w:val="en-US"/>
      </w:rPr>
      <w:tab/>
    </w:r>
    <w:r>
      <w:fldChar w:fldCharType="begin"/>
    </w:r>
    <w:r>
      <w:instrText xml:space="preserve"> PRINTDATE \@ DD.MM.YY </w:instrText>
    </w:r>
    <w:r>
      <w:fldChar w:fldCharType="separate"/>
    </w:r>
    <w:r w:rsidR="00706665">
      <w:t>27.06.19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473" w:rsidRDefault="00F06473">
      <w:r>
        <w:rPr>
          <w:b/>
        </w:rPr>
        <w:t>_______________</w:t>
      </w:r>
    </w:p>
  </w:footnote>
  <w:footnote w:type="continuationSeparator" w:id="0">
    <w:p w:rsidR="00F06473" w:rsidRDefault="00F06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706665">
      <w:rPr>
        <w:noProof/>
      </w:rPr>
      <w:t>3</w:t>
    </w:r>
    <w:r>
      <w:fldChar w:fldCharType="end"/>
    </w:r>
  </w:p>
  <w:p w:rsidR="00A066F1" w:rsidRPr="00A066F1" w:rsidRDefault="00187BD9" w:rsidP="00241FA2">
    <w:pPr>
      <w:pStyle w:val="Header"/>
    </w:pPr>
    <w:r>
      <w:t>CMR1</w:t>
    </w:r>
    <w:r w:rsidR="00202756">
      <w:t>9</w:t>
    </w:r>
    <w:r w:rsidR="00A066F1">
      <w:t>/</w:t>
    </w:r>
    <w:bookmarkStart w:id="12" w:name="OLE_LINK1"/>
    <w:bookmarkStart w:id="13" w:name="OLE_LINK2"/>
    <w:bookmarkStart w:id="14" w:name="OLE_LINK3"/>
    <w:r w:rsidR="00EB55C6">
      <w:t>11(Add.21</w:t>
    </w:r>
    <w:proofErr w:type="gramStart"/>
    <w:r w:rsidR="00EB55C6">
      <w:t>)(</w:t>
    </w:r>
    <w:proofErr w:type="gramEnd"/>
    <w:r w:rsidR="00EB55C6">
      <w:t>Add.2)</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10D1"/>
    <w:rsid w:val="000E463E"/>
    <w:rsid w:val="000F73FF"/>
    <w:rsid w:val="00114CF7"/>
    <w:rsid w:val="00116C7A"/>
    <w:rsid w:val="00123B68"/>
    <w:rsid w:val="00126F2E"/>
    <w:rsid w:val="00146F6F"/>
    <w:rsid w:val="00187BD9"/>
    <w:rsid w:val="00190B55"/>
    <w:rsid w:val="001A6172"/>
    <w:rsid w:val="001C3B5F"/>
    <w:rsid w:val="001D058F"/>
    <w:rsid w:val="001E756C"/>
    <w:rsid w:val="002009EA"/>
    <w:rsid w:val="00202756"/>
    <w:rsid w:val="00202CA0"/>
    <w:rsid w:val="00216B6D"/>
    <w:rsid w:val="00241FA2"/>
    <w:rsid w:val="00271316"/>
    <w:rsid w:val="002B349C"/>
    <w:rsid w:val="002D58BE"/>
    <w:rsid w:val="00302111"/>
    <w:rsid w:val="00361B37"/>
    <w:rsid w:val="00377BD3"/>
    <w:rsid w:val="00384088"/>
    <w:rsid w:val="003852CE"/>
    <w:rsid w:val="0039169B"/>
    <w:rsid w:val="003A0CD6"/>
    <w:rsid w:val="003A7F8C"/>
    <w:rsid w:val="003B2284"/>
    <w:rsid w:val="003B532E"/>
    <w:rsid w:val="003B56CF"/>
    <w:rsid w:val="003C5C56"/>
    <w:rsid w:val="003D0F8B"/>
    <w:rsid w:val="003E0DB6"/>
    <w:rsid w:val="0041348E"/>
    <w:rsid w:val="00420873"/>
    <w:rsid w:val="00492075"/>
    <w:rsid w:val="004969AD"/>
    <w:rsid w:val="004A26C4"/>
    <w:rsid w:val="004B13CB"/>
    <w:rsid w:val="004D26EA"/>
    <w:rsid w:val="004D2BFB"/>
    <w:rsid w:val="004D5D5C"/>
    <w:rsid w:val="004F3DC0"/>
    <w:rsid w:val="0050139F"/>
    <w:rsid w:val="00544E4A"/>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5107"/>
    <w:rsid w:val="006A6E9B"/>
    <w:rsid w:val="006B7C2A"/>
    <w:rsid w:val="006C23DA"/>
    <w:rsid w:val="006E3D45"/>
    <w:rsid w:val="0070607A"/>
    <w:rsid w:val="00706665"/>
    <w:rsid w:val="007149F9"/>
    <w:rsid w:val="00733A30"/>
    <w:rsid w:val="00745AEE"/>
    <w:rsid w:val="00750F10"/>
    <w:rsid w:val="007742CA"/>
    <w:rsid w:val="00774712"/>
    <w:rsid w:val="00790D70"/>
    <w:rsid w:val="007A6F1F"/>
    <w:rsid w:val="007D5320"/>
    <w:rsid w:val="007F218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B40888"/>
    <w:rsid w:val="00B5069A"/>
    <w:rsid w:val="00B639E9"/>
    <w:rsid w:val="00B817CD"/>
    <w:rsid w:val="00B81A7D"/>
    <w:rsid w:val="00B94AD0"/>
    <w:rsid w:val="00BB3A95"/>
    <w:rsid w:val="00BB3C93"/>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34A6A"/>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24FC"/>
    <w:rsid w:val="00E55816"/>
    <w:rsid w:val="00E55AEF"/>
    <w:rsid w:val="00E976C1"/>
    <w:rsid w:val="00EA12E5"/>
    <w:rsid w:val="00EB55C6"/>
    <w:rsid w:val="00EC5A93"/>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7094">
      <w:bodyDiv w:val="1"/>
      <w:marLeft w:val="0"/>
      <w:marRight w:val="0"/>
      <w:marTop w:val="0"/>
      <w:marBottom w:val="0"/>
      <w:divBdr>
        <w:top w:val="none" w:sz="0" w:space="0" w:color="auto"/>
        <w:left w:val="none" w:sz="0" w:space="0" w:color="auto"/>
        <w:bottom w:val="none" w:sz="0" w:space="0" w:color="auto"/>
        <w:right w:val="none" w:sz="0" w:space="0" w:color="auto"/>
      </w:divBdr>
    </w:div>
    <w:div w:id="16466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R16-WRC19-C-0011!A21-A2!MSW-E</DPM_x0020_File_x0020_name>
    <DPM_x0020_Author xmlns="32a1a8c5-2265-4ebc-b7a0-2071e2c5c9bb" xsi:nil="false">DPM</DPM_x0020_Author>
    <DPM_x0020_Version xmlns="32a1a8c5-2265-4ebc-b7a0-2071e2c5c9bb" xsi:nil="false">DPM_2019.05.14.1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63C67-AB0B-46DB-A236-B15A3C3AB6A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29063011-2564-4747-8AE1-28859430DA10}">
  <ds:schemaRefs>
    <ds:schemaRef ds:uri="http://purl.org/dc/terms/"/>
    <ds:schemaRef ds:uri="996b2e75-67fd-4955-a3b0-5ab9934cb50b"/>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32a1a8c5-2265-4ebc-b7a0-2071e2c5c9b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FB084A-FB31-42B9-8E46-C1AD64443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843</Words>
  <Characters>4350</Characters>
  <Application>Microsoft Office Word</Application>
  <DocSecurity>0</DocSecurity>
  <Lines>97</Lines>
  <Paragraphs>36</Paragraphs>
  <ScaleCrop>false</ScaleCrop>
  <HeadingPairs>
    <vt:vector size="2" baseType="variant">
      <vt:variant>
        <vt:lpstr>Title</vt:lpstr>
      </vt:variant>
      <vt:variant>
        <vt:i4>1</vt:i4>
      </vt:variant>
    </vt:vector>
  </HeadingPairs>
  <TitlesOfParts>
    <vt:vector size="1" baseType="lpstr">
      <vt:lpstr>R16-WRC19-C-0011!A21-A2!MSW-E</vt:lpstr>
    </vt:vector>
  </TitlesOfParts>
  <Manager>General Secretariat - Pool</Manager>
  <Company>International Telecommunication Union (ITU)</Company>
  <LinksUpToDate>false</LinksUpToDate>
  <CharactersWithSpaces>5187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R16-WRC19-C-0011!A21-A2!MSW-E</dc:title>
  <dc:subject>World Radiocommunication Conference - 2019</dc:subject>
  <dc:creator>Documents Proposals Manager (DPM)</dc:creator>
  <cp:keywords>DPM_v2019.5.15.1_prod</cp:keywords>
  <dc:description>Uploaded on 2015.07.06</dc:description>
  <cp:lastModifiedBy>Scott, Sarah</cp:lastModifiedBy>
  <cp:revision>6</cp:revision>
  <cp:lastPrinted>2019-06-27T13:44:00Z</cp:lastPrinted>
  <dcterms:created xsi:type="dcterms:W3CDTF">2019-06-26T13:01:00Z</dcterms:created>
  <dcterms:modified xsi:type="dcterms:W3CDTF">2019-06-27T13:44:00Z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