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C43A6F" w14:paraId="6021AD16" w14:textId="77777777" w:rsidTr="00716486">
        <w:trPr>
          <w:cantSplit/>
        </w:trPr>
        <w:tc>
          <w:tcPr>
            <w:tcW w:w="6804" w:type="dxa"/>
          </w:tcPr>
          <w:p w14:paraId="47E79661" w14:textId="77777777" w:rsidR="0090121B" w:rsidRPr="00C43A6F" w:rsidRDefault="005D46FB" w:rsidP="00C44E9E">
            <w:pPr>
              <w:spacing w:before="400" w:after="48" w:line="240" w:lineRule="atLeast"/>
              <w:rPr>
                <w:rFonts w:ascii="Verdana" w:hAnsi="Verdana"/>
                <w:position w:val="6"/>
              </w:rPr>
            </w:pPr>
            <w:r w:rsidRPr="00C43A6F">
              <w:rPr>
                <w:rFonts w:ascii="Verdana" w:hAnsi="Verdana" w:cs="Times"/>
                <w:b/>
                <w:position w:val="6"/>
                <w:sz w:val="20"/>
              </w:rPr>
              <w:t>Conferencia Mundial de Radiocomunicaciones (CMR-1</w:t>
            </w:r>
            <w:r w:rsidR="00C44E9E" w:rsidRPr="00C43A6F">
              <w:rPr>
                <w:rFonts w:ascii="Verdana" w:hAnsi="Verdana" w:cs="Times"/>
                <w:b/>
                <w:position w:val="6"/>
                <w:sz w:val="20"/>
              </w:rPr>
              <w:t>9</w:t>
            </w:r>
            <w:r w:rsidRPr="00C43A6F">
              <w:rPr>
                <w:rFonts w:ascii="Verdana" w:hAnsi="Verdana" w:cs="Times"/>
                <w:b/>
                <w:position w:val="6"/>
                <w:sz w:val="20"/>
              </w:rPr>
              <w:t>)</w:t>
            </w:r>
            <w:r w:rsidRPr="00C43A6F">
              <w:rPr>
                <w:rFonts w:ascii="Verdana" w:hAnsi="Verdana" w:cs="Times"/>
                <w:b/>
                <w:position w:val="6"/>
                <w:sz w:val="20"/>
              </w:rPr>
              <w:br/>
            </w:r>
            <w:r w:rsidR="006124AD" w:rsidRPr="00C43A6F">
              <w:rPr>
                <w:rFonts w:ascii="Verdana" w:hAnsi="Verdana"/>
                <w:b/>
                <w:bCs/>
                <w:position w:val="6"/>
                <w:sz w:val="17"/>
                <w:szCs w:val="17"/>
              </w:rPr>
              <w:t>Sharm el-Sheikh (Egipto)</w:t>
            </w:r>
            <w:r w:rsidRPr="00C43A6F">
              <w:rPr>
                <w:rFonts w:ascii="Verdana" w:hAnsi="Verdana"/>
                <w:b/>
                <w:bCs/>
                <w:position w:val="6"/>
                <w:sz w:val="17"/>
                <w:szCs w:val="17"/>
              </w:rPr>
              <w:t>, 2</w:t>
            </w:r>
            <w:r w:rsidR="00C44E9E" w:rsidRPr="00C43A6F">
              <w:rPr>
                <w:rFonts w:ascii="Verdana" w:hAnsi="Verdana"/>
                <w:b/>
                <w:bCs/>
                <w:position w:val="6"/>
                <w:sz w:val="17"/>
                <w:szCs w:val="17"/>
              </w:rPr>
              <w:t xml:space="preserve">8 de octubre </w:t>
            </w:r>
            <w:r w:rsidR="00DE1C31" w:rsidRPr="00C43A6F">
              <w:rPr>
                <w:rFonts w:ascii="Verdana" w:hAnsi="Verdana"/>
                <w:b/>
                <w:bCs/>
                <w:position w:val="6"/>
                <w:sz w:val="17"/>
                <w:szCs w:val="17"/>
              </w:rPr>
              <w:t>–</w:t>
            </w:r>
            <w:r w:rsidR="00C44E9E" w:rsidRPr="00C43A6F">
              <w:rPr>
                <w:rFonts w:ascii="Verdana" w:hAnsi="Verdana"/>
                <w:b/>
                <w:bCs/>
                <w:position w:val="6"/>
                <w:sz w:val="17"/>
                <w:szCs w:val="17"/>
              </w:rPr>
              <w:t xml:space="preserve"> </w:t>
            </w:r>
            <w:r w:rsidRPr="00C43A6F">
              <w:rPr>
                <w:rFonts w:ascii="Verdana" w:hAnsi="Verdana"/>
                <w:b/>
                <w:bCs/>
                <w:position w:val="6"/>
                <w:sz w:val="17"/>
                <w:szCs w:val="17"/>
              </w:rPr>
              <w:t>2</w:t>
            </w:r>
            <w:r w:rsidR="00C44E9E" w:rsidRPr="00C43A6F">
              <w:rPr>
                <w:rFonts w:ascii="Verdana" w:hAnsi="Verdana"/>
                <w:b/>
                <w:bCs/>
                <w:position w:val="6"/>
                <w:sz w:val="17"/>
                <w:szCs w:val="17"/>
              </w:rPr>
              <w:t>2</w:t>
            </w:r>
            <w:r w:rsidRPr="00C43A6F">
              <w:rPr>
                <w:rFonts w:ascii="Verdana" w:hAnsi="Verdana"/>
                <w:b/>
                <w:bCs/>
                <w:position w:val="6"/>
                <w:sz w:val="17"/>
                <w:szCs w:val="17"/>
              </w:rPr>
              <w:t xml:space="preserve"> de noviembre de 201</w:t>
            </w:r>
            <w:r w:rsidR="00C44E9E" w:rsidRPr="00C43A6F">
              <w:rPr>
                <w:rFonts w:ascii="Verdana" w:hAnsi="Verdana"/>
                <w:b/>
                <w:bCs/>
                <w:position w:val="6"/>
                <w:sz w:val="17"/>
                <w:szCs w:val="17"/>
              </w:rPr>
              <w:t>9</w:t>
            </w:r>
          </w:p>
        </w:tc>
        <w:tc>
          <w:tcPr>
            <w:tcW w:w="3227" w:type="dxa"/>
          </w:tcPr>
          <w:p w14:paraId="1A80F41D" w14:textId="77777777" w:rsidR="0090121B" w:rsidRPr="00C43A6F" w:rsidRDefault="00DA71A3" w:rsidP="00CE7431">
            <w:pPr>
              <w:spacing w:before="0" w:line="240" w:lineRule="atLeast"/>
              <w:jc w:val="right"/>
            </w:pPr>
            <w:bookmarkStart w:id="0" w:name="ditulogo"/>
            <w:bookmarkEnd w:id="0"/>
            <w:r w:rsidRPr="00C43A6F">
              <w:rPr>
                <w:rFonts w:ascii="Verdana" w:hAnsi="Verdana"/>
                <w:b/>
                <w:bCs/>
                <w:noProof/>
                <w:szCs w:val="24"/>
                <w:lang w:eastAsia="zh-CN"/>
              </w:rPr>
              <w:drawing>
                <wp:inline distT="0" distB="0" distL="0" distR="0" wp14:anchorId="27F38C2F" wp14:editId="4555A5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43A6F" w14:paraId="3E30CBC0" w14:textId="77777777" w:rsidTr="00716486">
        <w:trPr>
          <w:cantSplit/>
        </w:trPr>
        <w:tc>
          <w:tcPr>
            <w:tcW w:w="6804" w:type="dxa"/>
            <w:tcBorders>
              <w:bottom w:val="single" w:sz="12" w:space="0" w:color="auto"/>
            </w:tcBorders>
          </w:tcPr>
          <w:p w14:paraId="06FA19CF" w14:textId="77777777" w:rsidR="0090121B" w:rsidRPr="00C43A6F"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43BCD47E" w14:textId="77777777" w:rsidR="0090121B" w:rsidRPr="00C43A6F" w:rsidRDefault="0090121B" w:rsidP="0090121B">
            <w:pPr>
              <w:spacing w:before="0" w:line="240" w:lineRule="atLeast"/>
              <w:rPr>
                <w:rFonts w:ascii="Verdana" w:hAnsi="Verdana"/>
                <w:szCs w:val="24"/>
              </w:rPr>
            </w:pPr>
          </w:p>
        </w:tc>
      </w:tr>
      <w:tr w:rsidR="0090121B" w:rsidRPr="00C43A6F" w14:paraId="03856298" w14:textId="77777777" w:rsidTr="00716486">
        <w:trPr>
          <w:cantSplit/>
        </w:trPr>
        <w:tc>
          <w:tcPr>
            <w:tcW w:w="6804" w:type="dxa"/>
            <w:tcBorders>
              <w:top w:val="single" w:sz="12" w:space="0" w:color="auto"/>
            </w:tcBorders>
          </w:tcPr>
          <w:p w14:paraId="710566C1" w14:textId="77777777" w:rsidR="0090121B" w:rsidRPr="00C43A6F"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7743EA6E" w14:textId="77777777" w:rsidR="0090121B" w:rsidRPr="00C43A6F" w:rsidRDefault="0090121B" w:rsidP="0090121B">
            <w:pPr>
              <w:spacing w:before="0" w:line="240" w:lineRule="atLeast"/>
              <w:rPr>
                <w:rFonts w:ascii="Verdana" w:hAnsi="Verdana"/>
                <w:sz w:val="20"/>
              </w:rPr>
            </w:pPr>
          </w:p>
        </w:tc>
      </w:tr>
      <w:tr w:rsidR="0090121B" w:rsidRPr="00C43A6F" w14:paraId="578AA1B1" w14:textId="77777777" w:rsidTr="00716486">
        <w:trPr>
          <w:cantSplit/>
        </w:trPr>
        <w:tc>
          <w:tcPr>
            <w:tcW w:w="6804" w:type="dxa"/>
          </w:tcPr>
          <w:p w14:paraId="2F241299" w14:textId="77777777" w:rsidR="0090121B" w:rsidRPr="00C43A6F" w:rsidRDefault="001E7D42" w:rsidP="00EA77F0">
            <w:pPr>
              <w:pStyle w:val="Committee"/>
              <w:framePr w:hSpace="0" w:wrap="auto" w:hAnchor="text" w:yAlign="inline"/>
              <w:rPr>
                <w:lang w:val="es-ES_tradnl"/>
              </w:rPr>
            </w:pPr>
            <w:r w:rsidRPr="00C43A6F">
              <w:rPr>
                <w:lang w:val="es-ES_tradnl"/>
              </w:rPr>
              <w:t>SESIÓN PLENARIA</w:t>
            </w:r>
          </w:p>
        </w:tc>
        <w:tc>
          <w:tcPr>
            <w:tcW w:w="3227" w:type="dxa"/>
          </w:tcPr>
          <w:p w14:paraId="15EA45F6" w14:textId="77777777" w:rsidR="0090121B" w:rsidRPr="00C43A6F" w:rsidRDefault="00AE658F" w:rsidP="0045384C">
            <w:pPr>
              <w:spacing w:before="0"/>
              <w:rPr>
                <w:rFonts w:ascii="Verdana" w:hAnsi="Verdana"/>
                <w:sz w:val="20"/>
              </w:rPr>
            </w:pPr>
            <w:r w:rsidRPr="00C43A6F">
              <w:rPr>
                <w:rFonts w:ascii="Verdana" w:hAnsi="Verdana"/>
                <w:b/>
                <w:sz w:val="20"/>
              </w:rPr>
              <w:t>Addéndum 7 al</w:t>
            </w:r>
            <w:r w:rsidRPr="00C43A6F">
              <w:rPr>
                <w:rFonts w:ascii="Verdana" w:hAnsi="Verdana"/>
                <w:b/>
                <w:sz w:val="20"/>
              </w:rPr>
              <w:br/>
              <w:t>Documento 11(Add.19)</w:t>
            </w:r>
            <w:r w:rsidR="0090121B" w:rsidRPr="00C43A6F">
              <w:rPr>
                <w:rFonts w:ascii="Verdana" w:hAnsi="Verdana"/>
                <w:b/>
                <w:sz w:val="20"/>
              </w:rPr>
              <w:t>-</w:t>
            </w:r>
            <w:r w:rsidRPr="00C43A6F">
              <w:rPr>
                <w:rFonts w:ascii="Verdana" w:hAnsi="Verdana"/>
                <w:b/>
                <w:sz w:val="20"/>
              </w:rPr>
              <w:t>S</w:t>
            </w:r>
          </w:p>
        </w:tc>
      </w:tr>
      <w:bookmarkEnd w:id="1"/>
      <w:tr w:rsidR="000A5B9A" w:rsidRPr="00C43A6F" w14:paraId="58C2847D" w14:textId="77777777" w:rsidTr="00716486">
        <w:trPr>
          <w:cantSplit/>
        </w:trPr>
        <w:tc>
          <w:tcPr>
            <w:tcW w:w="6804" w:type="dxa"/>
          </w:tcPr>
          <w:p w14:paraId="7C69ED65" w14:textId="77777777" w:rsidR="000A5B9A" w:rsidRPr="00C43A6F" w:rsidRDefault="000A5B9A" w:rsidP="0045384C">
            <w:pPr>
              <w:spacing w:before="0" w:after="48"/>
              <w:rPr>
                <w:rFonts w:ascii="Verdana" w:hAnsi="Verdana"/>
                <w:b/>
                <w:smallCaps/>
                <w:sz w:val="20"/>
              </w:rPr>
            </w:pPr>
          </w:p>
        </w:tc>
        <w:tc>
          <w:tcPr>
            <w:tcW w:w="3227" w:type="dxa"/>
          </w:tcPr>
          <w:p w14:paraId="06C543B1" w14:textId="77777777" w:rsidR="000A5B9A" w:rsidRPr="00C43A6F" w:rsidRDefault="000A5B9A" w:rsidP="0045384C">
            <w:pPr>
              <w:spacing w:before="0"/>
              <w:rPr>
                <w:rFonts w:ascii="Verdana" w:hAnsi="Verdana"/>
                <w:b/>
                <w:sz w:val="20"/>
              </w:rPr>
            </w:pPr>
            <w:r w:rsidRPr="00C43A6F">
              <w:rPr>
                <w:rFonts w:ascii="Verdana" w:hAnsi="Verdana"/>
                <w:b/>
                <w:sz w:val="20"/>
              </w:rPr>
              <w:t>18 de septiembre de 2019</w:t>
            </w:r>
          </w:p>
        </w:tc>
      </w:tr>
      <w:tr w:rsidR="000A5B9A" w:rsidRPr="00C43A6F" w14:paraId="1E37263C" w14:textId="77777777" w:rsidTr="00716486">
        <w:trPr>
          <w:cantSplit/>
        </w:trPr>
        <w:tc>
          <w:tcPr>
            <w:tcW w:w="6804" w:type="dxa"/>
          </w:tcPr>
          <w:p w14:paraId="3961892D" w14:textId="77777777" w:rsidR="000A5B9A" w:rsidRPr="00C43A6F" w:rsidRDefault="000A5B9A" w:rsidP="0045384C">
            <w:pPr>
              <w:spacing w:before="0" w:after="48"/>
              <w:rPr>
                <w:rFonts w:ascii="Verdana" w:hAnsi="Verdana"/>
                <w:b/>
                <w:smallCaps/>
                <w:sz w:val="20"/>
              </w:rPr>
            </w:pPr>
          </w:p>
        </w:tc>
        <w:tc>
          <w:tcPr>
            <w:tcW w:w="3227" w:type="dxa"/>
          </w:tcPr>
          <w:p w14:paraId="6DD84E0C" w14:textId="0B3F5142" w:rsidR="000A5B9A" w:rsidRPr="00C43A6F" w:rsidRDefault="000A5B9A" w:rsidP="0045384C">
            <w:pPr>
              <w:spacing w:before="0"/>
              <w:rPr>
                <w:rFonts w:ascii="Verdana" w:hAnsi="Verdana"/>
                <w:b/>
                <w:sz w:val="20"/>
              </w:rPr>
            </w:pPr>
            <w:r w:rsidRPr="00C43A6F">
              <w:rPr>
                <w:rFonts w:ascii="Verdana" w:hAnsi="Verdana"/>
                <w:b/>
                <w:sz w:val="20"/>
              </w:rPr>
              <w:t>Original: inglés</w:t>
            </w:r>
            <w:r w:rsidR="004D3D17" w:rsidRPr="00C43A6F">
              <w:rPr>
                <w:rFonts w:ascii="Verdana" w:hAnsi="Verdana"/>
                <w:b/>
                <w:sz w:val="20"/>
              </w:rPr>
              <w:t>/español</w:t>
            </w:r>
          </w:p>
        </w:tc>
      </w:tr>
      <w:tr w:rsidR="000A5B9A" w:rsidRPr="00C43A6F" w14:paraId="788D4493" w14:textId="77777777" w:rsidTr="006744FC">
        <w:trPr>
          <w:cantSplit/>
        </w:trPr>
        <w:tc>
          <w:tcPr>
            <w:tcW w:w="10031" w:type="dxa"/>
            <w:gridSpan w:val="2"/>
          </w:tcPr>
          <w:p w14:paraId="44C299A6" w14:textId="77777777" w:rsidR="000A5B9A" w:rsidRPr="00C43A6F" w:rsidRDefault="000A5B9A" w:rsidP="0045384C">
            <w:pPr>
              <w:spacing w:before="0"/>
              <w:rPr>
                <w:rFonts w:ascii="Verdana" w:hAnsi="Verdana"/>
                <w:b/>
                <w:sz w:val="20"/>
              </w:rPr>
            </w:pPr>
          </w:p>
        </w:tc>
      </w:tr>
      <w:tr w:rsidR="000A5B9A" w:rsidRPr="00C43A6F" w14:paraId="5908AF6A" w14:textId="77777777" w:rsidTr="0050008E">
        <w:trPr>
          <w:cantSplit/>
        </w:trPr>
        <w:tc>
          <w:tcPr>
            <w:tcW w:w="10031" w:type="dxa"/>
            <w:gridSpan w:val="2"/>
          </w:tcPr>
          <w:p w14:paraId="5E8CC259" w14:textId="77777777" w:rsidR="000A5B9A" w:rsidRPr="00C43A6F" w:rsidRDefault="000A5B9A" w:rsidP="000A5B9A">
            <w:pPr>
              <w:pStyle w:val="Source"/>
            </w:pPr>
            <w:bookmarkStart w:id="2" w:name="dsource" w:colFirst="0" w:colLast="0"/>
            <w:r w:rsidRPr="00C43A6F">
              <w:t>Estados Miembros de la Comisión Interamericana de Telecomunicaciones (CITEL)</w:t>
            </w:r>
          </w:p>
        </w:tc>
      </w:tr>
      <w:tr w:rsidR="000A5B9A" w:rsidRPr="00C43A6F" w14:paraId="1D5999C5" w14:textId="77777777" w:rsidTr="0050008E">
        <w:trPr>
          <w:cantSplit/>
        </w:trPr>
        <w:tc>
          <w:tcPr>
            <w:tcW w:w="10031" w:type="dxa"/>
            <w:gridSpan w:val="2"/>
          </w:tcPr>
          <w:p w14:paraId="3D3E629B" w14:textId="31FCFB85" w:rsidR="000A5B9A" w:rsidRPr="00C43A6F" w:rsidRDefault="004D3D17" w:rsidP="000A5B9A">
            <w:pPr>
              <w:pStyle w:val="Title1"/>
            </w:pPr>
            <w:bookmarkStart w:id="3" w:name="dtitle1" w:colFirst="0" w:colLast="0"/>
            <w:bookmarkEnd w:id="2"/>
            <w:r w:rsidRPr="00C43A6F">
              <w:t>Propuestas para los trabajos de la Conferencia</w:t>
            </w:r>
          </w:p>
        </w:tc>
      </w:tr>
      <w:tr w:rsidR="000A5B9A" w:rsidRPr="00C43A6F" w14:paraId="1859D474" w14:textId="77777777" w:rsidTr="0050008E">
        <w:trPr>
          <w:cantSplit/>
        </w:trPr>
        <w:tc>
          <w:tcPr>
            <w:tcW w:w="10031" w:type="dxa"/>
            <w:gridSpan w:val="2"/>
          </w:tcPr>
          <w:p w14:paraId="116CDCA8" w14:textId="77777777" w:rsidR="000A5B9A" w:rsidRPr="00C43A6F" w:rsidRDefault="000A5B9A" w:rsidP="000A5B9A">
            <w:pPr>
              <w:pStyle w:val="Title2"/>
            </w:pPr>
            <w:bookmarkStart w:id="4" w:name="dtitle2" w:colFirst="0" w:colLast="0"/>
            <w:bookmarkEnd w:id="3"/>
          </w:p>
        </w:tc>
      </w:tr>
      <w:tr w:rsidR="000A5B9A" w:rsidRPr="00C43A6F" w14:paraId="0877F15C" w14:textId="77777777" w:rsidTr="0050008E">
        <w:trPr>
          <w:cantSplit/>
        </w:trPr>
        <w:tc>
          <w:tcPr>
            <w:tcW w:w="10031" w:type="dxa"/>
            <w:gridSpan w:val="2"/>
          </w:tcPr>
          <w:p w14:paraId="49381B31" w14:textId="77777777" w:rsidR="000A5B9A" w:rsidRPr="00C43A6F" w:rsidRDefault="000A5B9A" w:rsidP="000A5B9A">
            <w:pPr>
              <w:pStyle w:val="Agendaitem"/>
            </w:pPr>
            <w:bookmarkStart w:id="5" w:name="dtitle3" w:colFirst="0" w:colLast="0"/>
            <w:bookmarkEnd w:id="4"/>
            <w:r w:rsidRPr="00C43A6F">
              <w:t>Punto 7(G) del orden del día</w:t>
            </w:r>
          </w:p>
        </w:tc>
      </w:tr>
    </w:tbl>
    <w:bookmarkEnd w:id="5"/>
    <w:p w14:paraId="7C72FFA1" w14:textId="7B172134" w:rsidR="001C0E40" w:rsidRPr="00C43A6F" w:rsidRDefault="00D25209" w:rsidP="003A37B0">
      <w:r w:rsidRPr="00C43A6F">
        <w:t>7</w:t>
      </w:r>
      <w:r w:rsidRPr="00C43A6F">
        <w:tab/>
        <w:t xml:space="preserve">considerar posibles modificaciones y otras opciones para responder a lo dispuesto en la Resolución 86 (Rev. Marrakech, 2002) de la Conferencia de Plenipotenciarios: </w:t>
      </w:r>
      <w:r w:rsidR="004D3D17" w:rsidRPr="00C43A6F">
        <w:t>«</w:t>
      </w:r>
      <w:r w:rsidRPr="00C43A6F">
        <w:t>Procedimientos de publicación anticipada, de coordinación, de notificación y de inscripción de asignaciones de frecuencias de redes de satélite</w:t>
      </w:r>
      <w:r w:rsidR="004D3D17" w:rsidRPr="00C43A6F">
        <w:t>»</w:t>
      </w:r>
      <w:r w:rsidRPr="00C43A6F">
        <w:t xml:space="preserve"> de conformidad con la Resolución </w:t>
      </w:r>
      <w:r w:rsidRPr="00C43A6F">
        <w:rPr>
          <w:b/>
          <w:bCs/>
        </w:rPr>
        <w:t>86 (Rev.CMR-07</w:t>
      </w:r>
      <w:r w:rsidRPr="00C43A6F">
        <w:rPr>
          <w:b/>
        </w:rPr>
        <w:t xml:space="preserve">) </w:t>
      </w:r>
      <w:r w:rsidRPr="00C43A6F">
        <w:rPr>
          <w:bCs/>
        </w:rPr>
        <w:t>para facilitar el uso racional, eficiente y económico de las radiofrecuencias y órbitas asociadas, incluida la órbita de los satélites geoestacionarios</w:t>
      </w:r>
      <w:r w:rsidRPr="00C43A6F">
        <w:t>;</w:t>
      </w:r>
    </w:p>
    <w:p w14:paraId="62C5BFF1" w14:textId="77FC2913" w:rsidR="001C0E40" w:rsidRPr="00C43A6F" w:rsidRDefault="00D25209" w:rsidP="008B6E95">
      <w:r w:rsidRPr="00C43A6F">
        <w:t>7(G)</w:t>
      </w:r>
      <w:r w:rsidRPr="00C43A6F">
        <w:tab/>
        <w:t>Tema G – Actualización de la situación de referencia para las redes de las Regiones 1 y</w:t>
      </w:r>
      <w:r w:rsidR="00276A63" w:rsidRPr="00C43A6F">
        <w:t> </w:t>
      </w:r>
      <w:r w:rsidRPr="00C43A6F">
        <w:t xml:space="preserve">3 con arreglo a los Apéndices </w:t>
      </w:r>
      <w:r w:rsidRPr="00C43A6F">
        <w:rPr>
          <w:b/>
          <w:bCs/>
        </w:rPr>
        <w:t>30</w:t>
      </w:r>
      <w:r w:rsidRPr="00C43A6F">
        <w:t xml:space="preserve"> y </w:t>
      </w:r>
      <w:r w:rsidRPr="00C43A6F">
        <w:rPr>
          <w:b/>
          <w:bCs/>
        </w:rPr>
        <w:t>30A</w:t>
      </w:r>
      <w:r w:rsidRPr="00C43A6F">
        <w:t xml:space="preserve"> del RR cuando las asignaciones inscritas a título provisional se convierten en asignaciones inscritas definitivas</w:t>
      </w:r>
    </w:p>
    <w:p w14:paraId="0731ED26" w14:textId="280116B3" w:rsidR="000605BF" w:rsidRPr="00C43A6F" w:rsidRDefault="000605BF" w:rsidP="00276A63">
      <w:pPr>
        <w:pStyle w:val="Headingb"/>
      </w:pPr>
      <w:r w:rsidRPr="00C43A6F">
        <w:t>Antecedentes</w:t>
      </w:r>
    </w:p>
    <w:p w14:paraId="21637C69" w14:textId="0E41556D" w:rsidR="000605BF" w:rsidRPr="00C43A6F" w:rsidRDefault="000605BF" w:rsidP="000605BF">
      <w:r w:rsidRPr="00C43A6F">
        <w:t>En el §</w:t>
      </w:r>
      <w:r w:rsidR="00454321" w:rsidRPr="00C43A6F">
        <w:t> </w:t>
      </w:r>
      <w:r w:rsidRPr="00C43A6F">
        <w:t xml:space="preserve">4.1.18 de los Apéndices </w:t>
      </w:r>
      <w:r w:rsidRPr="00C43A6F">
        <w:rPr>
          <w:b/>
        </w:rPr>
        <w:t>30</w:t>
      </w:r>
      <w:r w:rsidRPr="00C43A6F">
        <w:t xml:space="preserve"> y </w:t>
      </w:r>
      <w:r w:rsidRPr="00C43A6F">
        <w:rPr>
          <w:b/>
        </w:rPr>
        <w:t>30A</w:t>
      </w:r>
      <w:r w:rsidRPr="00C43A6F">
        <w:t xml:space="preserve"> del Reglamento de Radiocomunicaciones se prescribe que, en el caso de una inscripción en la Lista con requisitos de coordinación pendientes, esta inscripción será provisional y que la inscripción en la Lista sólo dejará de ser provisional y se convertirá en definitiva cuando se informe a la Oficina de que la nueva asignación que figura en la Lista de las Regiones 1 y 3 se ha utilizado, junto con la asignación que suscitó el desacuerdo, durante por lo menos cuatro meses, sin que se haya formulado reclamación alguna por interferencias perjudiciales. Cuando la inscripción provisional se convierte en definitiva, se actualiza la situación de referencia de la red interferida. Esto podría afectar gravemente la situación referencial de la red interferida. Hay una disposición similar pero diferente aplicable en la Región</w:t>
      </w:r>
      <w:r w:rsidR="00276A63" w:rsidRPr="00C43A6F">
        <w:t> </w:t>
      </w:r>
      <w:r w:rsidRPr="00C43A6F">
        <w:t xml:space="preserve">2, el § </w:t>
      </w:r>
      <w:r w:rsidRPr="00C43A6F">
        <w:rPr>
          <w:bCs/>
        </w:rPr>
        <w:t>4.2.21A</w:t>
      </w:r>
      <w:r w:rsidRPr="00C43A6F">
        <w:t xml:space="preserve"> de los Apéndices </w:t>
      </w:r>
      <w:r w:rsidRPr="00C43A6F">
        <w:rPr>
          <w:b/>
        </w:rPr>
        <w:t>30</w:t>
      </w:r>
      <w:r w:rsidRPr="00C43A6F">
        <w:t xml:space="preserve"> y </w:t>
      </w:r>
      <w:r w:rsidRPr="00C43A6F">
        <w:rPr>
          <w:b/>
        </w:rPr>
        <w:t>30A</w:t>
      </w:r>
      <w:r w:rsidR="00454321" w:rsidRPr="00C43A6F">
        <w:t xml:space="preserve"> </w:t>
      </w:r>
      <w:r w:rsidR="00454321" w:rsidRPr="00C43A6F">
        <w:t>del RR</w:t>
      </w:r>
      <w:r w:rsidRPr="00C43A6F">
        <w:t>. Las disposiciones en la Región 2 son aplicables a un subconjunto de servicios mucho más pequeño sin incidencia posible en la situación referencial de la red interferida.</w:t>
      </w:r>
    </w:p>
    <w:p w14:paraId="00A88511" w14:textId="1D158008" w:rsidR="000605BF" w:rsidRPr="00C43A6F" w:rsidRDefault="000605BF" w:rsidP="000605BF">
      <w:r w:rsidRPr="00C43A6F">
        <w:t xml:space="preserve">En los preparativos de la CMR-15 no hubo tiempo suficiente para que esa cuestión se planteara y figurara en el </w:t>
      </w:r>
      <w:r w:rsidR="00454321" w:rsidRPr="00C43A6F">
        <w:t xml:space="preserve">Informe </w:t>
      </w:r>
      <w:r w:rsidRPr="00C43A6F">
        <w:t xml:space="preserve">de la Reunión Preparatoria de la Conferencia (RPC). Posteriormente, la cuestión se señaló a la atención de la reunión RRB-70 en octubre de 2015 (Documento RRB-70/10), y se solicitó la elaboración de una Regla de Procedimiento (RdP) para determinar la práctica idónea por la que debía regirse la Oficina. No obstante, en la RRB-70 se consideró que dicha RdP </w:t>
      </w:r>
      <w:r w:rsidRPr="00C43A6F">
        <w:lastRenderedPageBreak/>
        <w:t>conllevaría modificar el Reglamento de Radiocomunicaciones, quedando, en consecuencia, fuera del ámbito de competencia de la RRB.</w:t>
      </w:r>
    </w:p>
    <w:p w14:paraId="5C058423" w14:textId="7AC40669" w:rsidR="000605BF" w:rsidRPr="00C43A6F" w:rsidRDefault="000605BF" w:rsidP="000605BF">
      <w:r w:rsidRPr="00C43A6F">
        <w:t xml:space="preserve">Tras esta decisión, se presentó una contribución tardía a la CMR-15, la cual está facultada para modificar el Reglamento de Radiocomunicaciones, </w:t>
      </w:r>
      <w:r w:rsidR="00454321" w:rsidRPr="00C43A6F">
        <w:t>Documento CMR</w:t>
      </w:r>
      <w:r w:rsidRPr="00C43A6F">
        <w:t xml:space="preserve">-15/169. Dado que esta propuesta fue formulada directamente a la Conferencia sin estudios previos, la CMR-15 decidió que </w:t>
      </w:r>
    </w:p>
    <w:p w14:paraId="71A862B7" w14:textId="695167DB" w:rsidR="000605BF" w:rsidRPr="00C43A6F" w:rsidRDefault="000605BF" w:rsidP="000605BF">
      <w:r w:rsidRPr="00C43A6F">
        <w:rPr>
          <w:i/>
          <w:cs/>
        </w:rPr>
        <w:t>«</w:t>
      </w:r>
      <w:r w:rsidRPr="00C43A6F">
        <w:rPr>
          <w:i/>
        </w:rPr>
        <w:t>...se estimó que era necesario realizar más estudios sobre la cuestión si había que cambiar esta práctica actual. En consecuencia, se invita al UIT-R a que estudie la cuestión, en el marco del punto 7 permanente del orden del día, con miras a encontrar una solución técnica y reglamentaria adecuada a este asunto.</w:t>
      </w:r>
      <w:r w:rsidRPr="00C43A6F">
        <w:rPr>
          <w:iCs/>
        </w:rPr>
        <w:t>»</w:t>
      </w:r>
    </w:p>
    <w:p w14:paraId="57617583" w14:textId="70CD09FF" w:rsidR="00363A65" w:rsidRPr="00C43A6F" w:rsidRDefault="000605BF" w:rsidP="002C1A52">
      <w:r w:rsidRPr="00C43A6F">
        <w:t>El Tema G responde a estas actividades antes de la última Conferencia y durante esta, así como a la decisión de la CMR-15.</w:t>
      </w:r>
      <w:bookmarkStart w:id="6" w:name="_GoBack"/>
      <w:bookmarkEnd w:id="6"/>
    </w:p>
    <w:p w14:paraId="50E6112F" w14:textId="77777777" w:rsidR="008750A8" w:rsidRPr="00C43A6F" w:rsidRDefault="008750A8" w:rsidP="00454321">
      <w:r w:rsidRPr="00C43A6F">
        <w:br w:type="page"/>
      </w:r>
    </w:p>
    <w:p w14:paraId="252E15D0" w14:textId="77777777" w:rsidR="00B063AE" w:rsidRPr="00C43A6F" w:rsidRDefault="00D25209" w:rsidP="00AE332B">
      <w:pPr>
        <w:pStyle w:val="AppendixNo"/>
        <w:rPr>
          <w:vertAlign w:val="superscript"/>
        </w:rPr>
      </w:pPr>
      <w:r w:rsidRPr="00C43A6F">
        <w:lastRenderedPageBreak/>
        <w:t xml:space="preserve">APÉNDICE </w:t>
      </w:r>
      <w:r w:rsidRPr="00C43A6F">
        <w:rPr>
          <w:rStyle w:val="href"/>
          <w:color w:val="000000"/>
        </w:rPr>
        <w:t xml:space="preserve">30 </w:t>
      </w:r>
      <w:r w:rsidRPr="00C43A6F">
        <w:t>(</w:t>
      </w:r>
      <w:r w:rsidRPr="00C43A6F">
        <w:rPr>
          <w:caps w:val="0"/>
        </w:rPr>
        <w:t>REV</w:t>
      </w:r>
      <w:r w:rsidRPr="00C43A6F">
        <w:t>.CMR-15)</w:t>
      </w:r>
      <w:r w:rsidRPr="00C43A6F">
        <w:rPr>
          <w:rStyle w:val="FootnoteReference"/>
          <w:color w:val="000000"/>
        </w:rPr>
        <w:footnoteReference w:customMarkFollows="1" w:id="1"/>
        <w:t>*</w:t>
      </w:r>
    </w:p>
    <w:p w14:paraId="740788F4" w14:textId="77777777" w:rsidR="00B063AE" w:rsidRPr="00C43A6F" w:rsidRDefault="00D25209" w:rsidP="00AE332B">
      <w:pPr>
        <w:pStyle w:val="Appendixtitle"/>
        <w:rPr>
          <w:b w:val="0"/>
          <w:bCs/>
          <w:sz w:val="16"/>
        </w:rPr>
      </w:pPr>
      <w:r w:rsidRPr="00C43A6F">
        <w:t>Disposiciones aplicables a todos los servicios y Planes y Lista</w:t>
      </w:r>
      <w:r w:rsidRPr="00C43A6F">
        <w:rPr>
          <w:rStyle w:val="FootnoteReference"/>
          <w:b w:val="0"/>
          <w:bCs/>
          <w:color w:val="000000"/>
        </w:rPr>
        <w:footnoteReference w:customMarkFollows="1" w:id="2"/>
        <w:t>1</w:t>
      </w:r>
      <w:r w:rsidRPr="00C43A6F">
        <w:t xml:space="preserve"> asociados</w:t>
      </w:r>
      <w:r w:rsidRPr="00C43A6F">
        <w:br/>
        <w:t>para el servicio de radiodifusión por satélite en las bandas de</w:t>
      </w:r>
      <w:r w:rsidRPr="00C43A6F">
        <w:br/>
        <w:t>frecuencias 11,7</w:t>
      </w:r>
      <w:r w:rsidRPr="00C43A6F">
        <w:noBreakHyphen/>
        <w:t>12,2 GHz (en la Región 3), 11,7-12,5 GHz</w:t>
      </w:r>
      <w:r w:rsidRPr="00C43A6F">
        <w:br/>
        <w:t>            (en la Región 1) y 12,2</w:t>
      </w:r>
      <w:r w:rsidRPr="00C43A6F">
        <w:noBreakHyphen/>
        <w:t>12,7 GHz (en la Región 2)</w:t>
      </w:r>
      <w:r w:rsidRPr="00C43A6F">
        <w:rPr>
          <w:b w:val="0"/>
          <w:bCs/>
          <w:sz w:val="16"/>
        </w:rPr>
        <w:t>     </w:t>
      </w:r>
      <w:r w:rsidRPr="00C43A6F">
        <w:rPr>
          <w:rFonts w:ascii="Times New Roman"/>
          <w:b w:val="0"/>
          <w:bCs/>
          <w:sz w:val="16"/>
        </w:rPr>
        <w:t>(CMR</w:t>
      </w:r>
      <w:r w:rsidRPr="00C43A6F">
        <w:rPr>
          <w:rFonts w:ascii="Times New Roman"/>
          <w:b w:val="0"/>
          <w:bCs/>
          <w:sz w:val="16"/>
        </w:rPr>
        <w:noBreakHyphen/>
        <w:t>03)</w:t>
      </w:r>
    </w:p>
    <w:p w14:paraId="601DE1EA" w14:textId="77777777" w:rsidR="00072F25" w:rsidRPr="00C43A6F" w:rsidRDefault="00D25209">
      <w:pPr>
        <w:pStyle w:val="Proposal"/>
      </w:pPr>
      <w:r w:rsidRPr="00C43A6F">
        <w:rPr>
          <w:u w:val="single"/>
        </w:rPr>
        <w:t>NOC</w:t>
      </w:r>
      <w:r w:rsidRPr="00C43A6F">
        <w:tab/>
        <w:t>IAP/11A19A7/1</w:t>
      </w:r>
    </w:p>
    <w:p w14:paraId="7570AFC9" w14:textId="77777777" w:rsidR="00B063AE" w:rsidRPr="00C43A6F" w:rsidRDefault="00D25209" w:rsidP="00AE332B">
      <w:pPr>
        <w:pStyle w:val="AppArtNo"/>
      </w:pPr>
      <w:r w:rsidRPr="00C43A6F">
        <w:t>                  ARTÍCULO 4</w:t>
      </w:r>
      <w:r w:rsidRPr="00C43A6F">
        <w:rPr>
          <w:sz w:val="16"/>
        </w:rPr>
        <w:t>     (Rev.CMR</w:t>
      </w:r>
      <w:r w:rsidRPr="00C43A6F">
        <w:rPr>
          <w:sz w:val="16"/>
        </w:rPr>
        <w:noBreakHyphen/>
        <w:t>15)</w:t>
      </w:r>
    </w:p>
    <w:p w14:paraId="7F14B3CB" w14:textId="77777777" w:rsidR="00B063AE" w:rsidRPr="00C43A6F" w:rsidRDefault="00D25209" w:rsidP="00AE332B">
      <w:pPr>
        <w:pStyle w:val="AppArttitle"/>
      </w:pPr>
      <w:r w:rsidRPr="00C43A6F">
        <w:t>Procedimientos para las modificaciones del Plan de la Región 2</w:t>
      </w:r>
      <w:r w:rsidRPr="00C43A6F">
        <w:br/>
        <w:t>o para los usos adicionales en las Regiones 1 y 3</w:t>
      </w:r>
      <w:r w:rsidRPr="00C43A6F">
        <w:rPr>
          <w:rStyle w:val="FootnoteReference"/>
          <w:b w:val="0"/>
          <w:bCs/>
          <w:color w:val="000000"/>
        </w:rPr>
        <w:footnoteReference w:customMarkFollows="1" w:id="3"/>
        <w:t>3</w:t>
      </w:r>
    </w:p>
    <w:p w14:paraId="584263A9" w14:textId="333DC11B" w:rsidR="00072F25" w:rsidRPr="00C43A6F" w:rsidRDefault="00D25209">
      <w:pPr>
        <w:pStyle w:val="Reasons"/>
      </w:pPr>
      <w:r w:rsidRPr="00C43A6F">
        <w:rPr>
          <w:b/>
        </w:rPr>
        <w:t>Motivos</w:t>
      </w:r>
      <w:r w:rsidRPr="00C43A6F">
        <w:rPr>
          <w:bCs/>
        </w:rPr>
        <w:t>:</w:t>
      </w:r>
      <w:r w:rsidRPr="00C43A6F">
        <w:rPr>
          <w:bCs/>
        </w:rPr>
        <w:tab/>
      </w:r>
      <w:r w:rsidR="000605BF" w:rsidRPr="00C43A6F">
        <w:t xml:space="preserve">Dado que </w:t>
      </w:r>
      <w:r w:rsidR="00AE332B" w:rsidRPr="00C43A6F">
        <w:t xml:space="preserve">el tema </w:t>
      </w:r>
      <w:r w:rsidR="000605BF" w:rsidRPr="00C43A6F">
        <w:t xml:space="preserve">G del </w:t>
      </w:r>
      <w:r w:rsidR="00AE332B" w:rsidRPr="00C43A6F">
        <w:t xml:space="preserve">punto </w:t>
      </w:r>
      <w:r w:rsidR="000605BF" w:rsidRPr="00C43A6F">
        <w:t xml:space="preserve">7 </w:t>
      </w:r>
      <w:r w:rsidR="00AE332B" w:rsidRPr="00C43A6F">
        <w:t xml:space="preserve">del orden del día </w:t>
      </w:r>
      <w:r w:rsidR="000605BF" w:rsidRPr="00C43A6F">
        <w:t xml:space="preserve">de la CMR-19 atañe únicamente para las Regiones 1 y 3, se propone no cambio para la Región 2. Por tal motivo, cualquier modificación que se efectúe en el Reglamento de Radiocomunicaciones bajo </w:t>
      </w:r>
      <w:r w:rsidR="00AE332B" w:rsidRPr="00C43A6F">
        <w:t>el tema G del punto 7 del orden del día de la CMR-19</w:t>
      </w:r>
      <w:r w:rsidR="000605BF" w:rsidRPr="00C43A6F">
        <w:t xml:space="preserve"> no deberá impactar en los procedimientos y descripciones descritas para la Región 2 en el Apéndice </w:t>
      </w:r>
      <w:r w:rsidR="000605BF" w:rsidRPr="00C43A6F">
        <w:rPr>
          <w:b/>
          <w:bCs/>
        </w:rPr>
        <w:t>30</w:t>
      </w:r>
      <w:r w:rsidR="000605BF" w:rsidRPr="00C43A6F">
        <w:t>.</w:t>
      </w:r>
    </w:p>
    <w:p w14:paraId="05F64069" w14:textId="77777777" w:rsidR="00B063AE" w:rsidRPr="00C43A6F" w:rsidRDefault="00D25209" w:rsidP="004440CD">
      <w:pPr>
        <w:pStyle w:val="AppendixNo"/>
        <w:rPr>
          <w:rStyle w:val="FootnoteReference"/>
        </w:rPr>
      </w:pPr>
      <w:r w:rsidRPr="00C43A6F">
        <w:lastRenderedPageBreak/>
        <w:t xml:space="preserve">APÉNDICE </w:t>
      </w:r>
      <w:r w:rsidRPr="00C43A6F">
        <w:rPr>
          <w:rStyle w:val="href"/>
          <w:color w:val="000000"/>
        </w:rPr>
        <w:t xml:space="preserve">30A </w:t>
      </w:r>
      <w:r w:rsidRPr="00C43A6F">
        <w:t>(</w:t>
      </w:r>
      <w:r w:rsidRPr="00C43A6F">
        <w:rPr>
          <w:caps w:val="0"/>
        </w:rPr>
        <w:t>REV</w:t>
      </w:r>
      <w:r w:rsidRPr="00C43A6F">
        <w:t>.CMR-15)</w:t>
      </w:r>
      <w:r w:rsidRPr="00C43A6F">
        <w:rPr>
          <w:rStyle w:val="FootnoteReference"/>
        </w:rPr>
        <w:footnoteReference w:customMarkFollows="1" w:id="4"/>
        <w:t>*</w:t>
      </w:r>
    </w:p>
    <w:p w14:paraId="5311B2D7" w14:textId="77777777" w:rsidR="00B063AE" w:rsidRPr="00C43A6F" w:rsidRDefault="00D25209" w:rsidP="004440CD">
      <w:pPr>
        <w:pStyle w:val="Appendixtitle"/>
        <w:rPr>
          <w:rFonts w:asciiTheme="majorBidi" w:hAnsiTheme="majorBidi" w:cstheme="majorBidi"/>
          <w:b w:val="0"/>
          <w:bCs/>
          <w:szCs w:val="28"/>
        </w:rPr>
      </w:pPr>
      <w:r w:rsidRPr="00C43A6F">
        <w:t>Disposiciones y Planes asociados y Lista</w:t>
      </w:r>
      <w:r w:rsidRPr="00C43A6F">
        <w:rPr>
          <w:rStyle w:val="FootnoteReference"/>
          <w:b w:val="0"/>
          <w:bCs/>
          <w:color w:val="000000"/>
        </w:rPr>
        <w:footnoteReference w:customMarkFollows="1" w:id="5"/>
        <w:t>1</w:t>
      </w:r>
      <w:r w:rsidRPr="00C43A6F">
        <w:t xml:space="preserve"> para los enlaces de conexión del</w:t>
      </w:r>
      <w:r w:rsidRPr="00C43A6F">
        <w:br/>
        <w:t>servicio de radiodifusión por satélite (11,7</w:t>
      </w:r>
      <w:r w:rsidRPr="00C43A6F">
        <w:noBreakHyphen/>
        <w:t>12,5 GHz en la Región 1,</w:t>
      </w:r>
      <w:r w:rsidRPr="00C43A6F">
        <w:br/>
        <w:t>12,2</w:t>
      </w:r>
      <w:r w:rsidRPr="00C43A6F">
        <w:noBreakHyphen/>
        <w:t>12,7 GHz en la Región 2 y 11,7</w:t>
      </w:r>
      <w:r w:rsidRPr="00C43A6F">
        <w:noBreakHyphen/>
        <w:t>12,2 GHz en la Región 3) en</w:t>
      </w:r>
      <w:r w:rsidRPr="00C43A6F">
        <w:br/>
        <w:t>las bandas de frecuencias 14,5-14,8 GHz</w:t>
      </w:r>
      <w:r w:rsidRPr="00C43A6F">
        <w:rPr>
          <w:rStyle w:val="FootnoteReference"/>
          <w:color w:val="000000"/>
        </w:rPr>
        <w:footnoteReference w:customMarkFollows="1" w:id="6"/>
        <w:t>2</w:t>
      </w:r>
      <w:r w:rsidRPr="00C43A6F">
        <w:t xml:space="preserve"> y 17,3</w:t>
      </w:r>
      <w:r w:rsidRPr="00C43A6F">
        <w:noBreakHyphen/>
        <w:t>18,1 GHz en</w:t>
      </w:r>
      <w:r w:rsidRPr="00C43A6F">
        <w:br/>
        <w:t>las Regiones 1 y 3, y 17,3</w:t>
      </w:r>
      <w:r w:rsidRPr="00C43A6F">
        <w:noBreakHyphen/>
        <w:t>17,8 GHz en la Región 2</w:t>
      </w:r>
      <w:r w:rsidRPr="00C43A6F">
        <w:rPr>
          <w:b w:val="0"/>
          <w:bCs/>
          <w:sz w:val="20"/>
        </w:rPr>
        <w:t>     </w:t>
      </w:r>
      <w:r w:rsidRPr="00C43A6F">
        <w:rPr>
          <w:rFonts w:asciiTheme="majorBidi" w:hAnsiTheme="majorBidi" w:cstheme="majorBidi"/>
          <w:b w:val="0"/>
          <w:bCs/>
          <w:sz w:val="16"/>
        </w:rPr>
        <w:t>(CMR</w:t>
      </w:r>
      <w:r w:rsidRPr="00C43A6F">
        <w:rPr>
          <w:rFonts w:asciiTheme="majorBidi" w:hAnsiTheme="majorBidi" w:cstheme="majorBidi"/>
          <w:b w:val="0"/>
          <w:bCs/>
          <w:sz w:val="16"/>
        </w:rPr>
        <w:noBreakHyphen/>
        <w:t>03)</w:t>
      </w:r>
    </w:p>
    <w:p w14:paraId="6906D2DF" w14:textId="77777777" w:rsidR="00072F25" w:rsidRPr="00C43A6F" w:rsidRDefault="00D25209">
      <w:pPr>
        <w:pStyle w:val="Proposal"/>
      </w:pPr>
      <w:r w:rsidRPr="00C43A6F">
        <w:rPr>
          <w:u w:val="single"/>
        </w:rPr>
        <w:t>NOC</w:t>
      </w:r>
      <w:r w:rsidRPr="00C43A6F">
        <w:tab/>
        <w:t>IAP/11A19A7/2</w:t>
      </w:r>
    </w:p>
    <w:p w14:paraId="45D49D03" w14:textId="77777777" w:rsidR="00B063AE" w:rsidRPr="00C43A6F" w:rsidRDefault="00D25209" w:rsidP="004440CD">
      <w:pPr>
        <w:pStyle w:val="AppArtNo"/>
      </w:pPr>
      <w:r w:rsidRPr="00C43A6F">
        <w:t>                   ARTÍCULO 4</w:t>
      </w:r>
      <w:r w:rsidRPr="00C43A6F">
        <w:rPr>
          <w:sz w:val="16"/>
        </w:rPr>
        <w:t>     (</w:t>
      </w:r>
      <w:r w:rsidRPr="00C43A6F">
        <w:rPr>
          <w:caps w:val="0"/>
          <w:sz w:val="16"/>
        </w:rPr>
        <w:t>REV.</w:t>
      </w:r>
      <w:r w:rsidRPr="00C43A6F">
        <w:rPr>
          <w:sz w:val="16"/>
        </w:rPr>
        <w:t>CMR</w:t>
      </w:r>
      <w:r w:rsidRPr="00C43A6F">
        <w:rPr>
          <w:sz w:val="16"/>
        </w:rPr>
        <w:noBreakHyphen/>
        <w:t>15)</w:t>
      </w:r>
    </w:p>
    <w:p w14:paraId="08985A6E" w14:textId="77777777" w:rsidR="00B063AE" w:rsidRPr="00C43A6F" w:rsidRDefault="00D25209" w:rsidP="004440CD">
      <w:pPr>
        <w:pStyle w:val="AppArttitle"/>
      </w:pPr>
      <w:r w:rsidRPr="00C43A6F">
        <w:t>Procedimientos para las modificaciones del Plan para los enlaces</w:t>
      </w:r>
      <w:r w:rsidRPr="00C43A6F">
        <w:br/>
        <w:t>de conexión en la Región 2 o para los usos adicionales</w:t>
      </w:r>
      <w:r w:rsidRPr="00C43A6F">
        <w:br/>
        <w:t>en las Regiones 1 y 3</w:t>
      </w:r>
    </w:p>
    <w:p w14:paraId="57D1D55F" w14:textId="5C53EBE0" w:rsidR="00072F25" w:rsidRPr="00C43A6F" w:rsidRDefault="00D25209">
      <w:pPr>
        <w:pStyle w:val="Reasons"/>
      </w:pPr>
      <w:r w:rsidRPr="00C43A6F">
        <w:rPr>
          <w:b/>
        </w:rPr>
        <w:t>Motivos</w:t>
      </w:r>
      <w:r w:rsidRPr="00C43A6F">
        <w:rPr>
          <w:bCs/>
        </w:rPr>
        <w:t>:</w:t>
      </w:r>
      <w:r w:rsidRPr="00C43A6F">
        <w:rPr>
          <w:bCs/>
        </w:rPr>
        <w:tab/>
      </w:r>
      <w:r w:rsidR="00D941D8" w:rsidRPr="00C43A6F">
        <w:t xml:space="preserve">Dado que </w:t>
      </w:r>
      <w:r w:rsidR="00112322" w:rsidRPr="00C43A6F">
        <w:t xml:space="preserve">el tema G del punto 7 del orden del día de la CMR-19 </w:t>
      </w:r>
      <w:r w:rsidR="00D941D8" w:rsidRPr="00C43A6F">
        <w:t xml:space="preserve">atañe únicamente para las Regiones 1 y 3, se propone no cambio para la Región 2. Por tal motivo, cualquier modificación que se efectúe en el Reglamento de Radiocomunicaciones bajo </w:t>
      </w:r>
      <w:r w:rsidR="00112322" w:rsidRPr="00C43A6F">
        <w:t>el tema G del punto 7 del orden del día de la CMR-19</w:t>
      </w:r>
      <w:r w:rsidR="00D941D8" w:rsidRPr="00C43A6F">
        <w:t xml:space="preserve"> no deberá impactar en los procedimientos y descripciones descritas para la Región 2 en el Apéndice </w:t>
      </w:r>
      <w:r w:rsidR="00D941D8" w:rsidRPr="00C43A6F">
        <w:rPr>
          <w:b/>
          <w:bCs/>
        </w:rPr>
        <w:t>30A</w:t>
      </w:r>
      <w:r w:rsidR="00D941D8" w:rsidRPr="00C43A6F">
        <w:t>.</w:t>
      </w:r>
    </w:p>
    <w:p w14:paraId="0C5582AD" w14:textId="77777777" w:rsidR="00D941D8" w:rsidRPr="00C43A6F" w:rsidRDefault="00D941D8">
      <w:pPr>
        <w:jc w:val="center"/>
      </w:pPr>
      <w:r w:rsidRPr="00C43A6F">
        <w:t>______________</w:t>
      </w:r>
    </w:p>
    <w:sectPr w:rsidR="00D941D8" w:rsidRPr="00C43A6F">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FF358" w14:textId="77777777" w:rsidR="00FD03C4" w:rsidRDefault="00FD03C4">
      <w:r>
        <w:separator/>
      </w:r>
    </w:p>
  </w:endnote>
  <w:endnote w:type="continuationSeparator" w:id="0">
    <w:p w14:paraId="36D2E7F7"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411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18F3CB" w14:textId="116A050E"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16486">
      <w:rPr>
        <w:noProof/>
      </w:rPr>
      <w:t>27.09.19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6461D" w14:textId="172C37F4" w:rsidR="0077084A" w:rsidRDefault="00276A63" w:rsidP="00276A63">
    <w:pPr>
      <w:pStyle w:val="Footer"/>
      <w:rPr>
        <w:lang w:val="en-US"/>
      </w:rPr>
    </w:pPr>
    <w:r>
      <w:fldChar w:fldCharType="begin"/>
    </w:r>
    <w:r w:rsidRPr="00276A63">
      <w:rPr>
        <w:lang w:val="en-US"/>
      </w:rPr>
      <w:instrText xml:space="preserve"> FILENAME \p  \* MERGEFORMAT </w:instrText>
    </w:r>
    <w:r>
      <w:fldChar w:fldCharType="separate"/>
    </w:r>
    <w:r w:rsidRPr="00276A63">
      <w:rPr>
        <w:lang w:val="en-US"/>
      </w:rPr>
      <w:t>P:\ESP\ITU-R\CONF-R\CMR19\000\011ADD19ADD07S.docx</w:t>
    </w:r>
    <w:r>
      <w:fldChar w:fldCharType="end"/>
    </w:r>
    <w:r>
      <w:rPr>
        <w:lang w:val="en-US"/>
      </w:rPr>
      <w:t xml:space="preserve"> (460815)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1968" w14:textId="0EB2537D" w:rsidR="0077084A" w:rsidRDefault="00276A63" w:rsidP="00276A63">
    <w:pPr>
      <w:pStyle w:val="Footer"/>
      <w:rPr>
        <w:lang w:val="en-US"/>
      </w:rPr>
    </w:pPr>
    <w:r>
      <w:fldChar w:fldCharType="begin"/>
    </w:r>
    <w:r w:rsidRPr="00276A63">
      <w:rPr>
        <w:lang w:val="en-US"/>
      </w:rPr>
      <w:instrText xml:space="preserve"> FILENAME \p  \* MERGEFORMAT </w:instrText>
    </w:r>
    <w:r>
      <w:fldChar w:fldCharType="separate"/>
    </w:r>
    <w:r w:rsidRPr="00276A63">
      <w:rPr>
        <w:lang w:val="en-US"/>
      </w:rPr>
      <w:t>P:\ESP\ITU-R\CONF-R\CMR19\000\011ADD19ADD07S.docx</w:t>
    </w:r>
    <w:r>
      <w:fldChar w:fldCharType="end"/>
    </w:r>
    <w:r>
      <w:rPr>
        <w:lang w:val="en-US"/>
      </w:rPr>
      <w:t xml:space="preserve"> (460815)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7B225" w14:textId="77777777" w:rsidR="00FD03C4" w:rsidRDefault="00FD03C4">
      <w:r>
        <w:rPr>
          <w:b/>
        </w:rPr>
        <w:t>_______________</w:t>
      </w:r>
    </w:p>
  </w:footnote>
  <w:footnote w:type="continuationSeparator" w:id="0">
    <w:p w14:paraId="6E07D5C1" w14:textId="77777777" w:rsidR="00FD03C4" w:rsidRDefault="00FD03C4">
      <w:r>
        <w:continuationSeparator/>
      </w:r>
    </w:p>
  </w:footnote>
  <w:footnote w:id="1">
    <w:p w14:paraId="702B1557" w14:textId="77777777" w:rsidR="00453441" w:rsidRPr="001B0C91" w:rsidRDefault="00D25209"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3FDE9FDE" w14:textId="77777777" w:rsidR="00453441" w:rsidRDefault="00D25209"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5AA7EBD4" w14:textId="77777777" w:rsidR="00453441" w:rsidRPr="00605F62" w:rsidRDefault="00D25209"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770EF83B" w14:textId="77777777" w:rsidR="00453441" w:rsidRPr="001B0C91" w:rsidRDefault="00D25209"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1455F5EF" w14:textId="77777777" w:rsidR="00453441" w:rsidRPr="001B0C91" w:rsidRDefault="00D25209" w:rsidP="00B063AE">
      <w:pPr>
        <w:pStyle w:val="FootnoteText"/>
        <w:rPr>
          <w:sz w:val="16"/>
        </w:rPr>
      </w:pPr>
      <w:r w:rsidRPr="001B0C91">
        <w:rPr>
          <w:rStyle w:val="FootnoteReference"/>
        </w:rPr>
        <w:t>3</w:t>
      </w:r>
      <w:r w:rsidRPr="001B0C91">
        <w:tab/>
      </w:r>
      <w:r w:rsidRPr="001B0C91">
        <w:rPr>
          <w:szCs w:val="24"/>
        </w:rPr>
        <w:t xml:space="preserve">Se aplican las disposiciones de la Resolución </w:t>
      </w:r>
      <w:r w:rsidRPr="001B0C91">
        <w:rPr>
          <w:b/>
          <w:bCs/>
          <w:szCs w:val="24"/>
        </w:rPr>
        <w:t>49 (Rev.CMR</w:t>
      </w:r>
      <w:r w:rsidRPr="001B0C91">
        <w:rPr>
          <w:b/>
          <w:bCs/>
          <w:szCs w:val="24"/>
        </w:rPr>
        <w:noBreakHyphen/>
        <w:t>15)</w:t>
      </w:r>
      <w:r w:rsidRPr="001B0C91">
        <w:rPr>
          <w:szCs w:val="24"/>
        </w:rPr>
        <w:t>.</w:t>
      </w:r>
      <w:r w:rsidRPr="001B0C91">
        <w:rPr>
          <w:sz w:val="16"/>
        </w:rPr>
        <w:t>     (CMR-15)</w:t>
      </w:r>
    </w:p>
  </w:footnote>
  <w:footnote w:id="4">
    <w:p w14:paraId="40C88719" w14:textId="77777777" w:rsidR="00453441" w:rsidRPr="001B0C91" w:rsidRDefault="00D25209" w:rsidP="00B063AE">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5">
    <w:p w14:paraId="67F3A98A" w14:textId="77777777" w:rsidR="00453441" w:rsidRPr="00D9062E" w:rsidRDefault="00D25209" w:rsidP="00B063AE">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09BBFCB6" w14:textId="77777777" w:rsidR="00453441" w:rsidRPr="00D9062E" w:rsidRDefault="00D25209" w:rsidP="00D9062E">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6">
    <w:p w14:paraId="0BDA82F9" w14:textId="77777777" w:rsidR="00453441" w:rsidRPr="001B0C91" w:rsidRDefault="00D25209" w:rsidP="00B063AE">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58DF4E6A" w14:textId="77777777" w:rsidR="00453441" w:rsidRPr="001B0C91" w:rsidRDefault="00D25209" w:rsidP="00B063AE">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681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389A1E3" w14:textId="77777777" w:rsidR="0077084A" w:rsidRDefault="008750A8" w:rsidP="00C44E9E">
    <w:pPr>
      <w:pStyle w:val="Header"/>
      <w:rPr>
        <w:lang w:val="en-US"/>
      </w:rPr>
    </w:pPr>
    <w:r>
      <w:rPr>
        <w:lang w:val="en-US"/>
      </w:rPr>
      <w:t>CMR1</w:t>
    </w:r>
    <w:r w:rsidR="00C44E9E">
      <w:rPr>
        <w:lang w:val="en-US"/>
      </w:rPr>
      <w:t>9</w:t>
    </w:r>
    <w:r>
      <w:rPr>
        <w:lang w:val="en-US"/>
      </w:rPr>
      <w:t>/</w:t>
    </w:r>
    <w:r w:rsidR="00702F3D">
      <w:t>11(Add.19)(Add.7)-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05BF"/>
    <w:rsid w:val="00072F25"/>
    <w:rsid w:val="00087AE8"/>
    <w:rsid w:val="000A5B9A"/>
    <w:rsid w:val="000E5BF9"/>
    <w:rsid w:val="000F0E6D"/>
    <w:rsid w:val="00112322"/>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76A63"/>
    <w:rsid w:val="00294CD7"/>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440CD"/>
    <w:rsid w:val="0045384C"/>
    <w:rsid w:val="00454321"/>
    <w:rsid w:val="00454553"/>
    <w:rsid w:val="00472A86"/>
    <w:rsid w:val="004B124A"/>
    <w:rsid w:val="004B3095"/>
    <w:rsid w:val="004D2C7C"/>
    <w:rsid w:val="004D3D17"/>
    <w:rsid w:val="005133B5"/>
    <w:rsid w:val="00524392"/>
    <w:rsid w:val="00532097"/>
    <w:rsid w:val="0058350F"/>
    <w:rsid w:val="00583C7E"/>
    <w:rsid w:val="0059098E"/>
    <w:rsid w:val="005D46FB"/>
    <w:rsid w:val="005F2605"/>
    <w:rsid w:val="005F3B0E"/>
    <w:rsid w:val="005F504D"/>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16486"/>
    <w:rsid w:val="007354E9"/>
    <w:rsid w:val="0074579D"/>
    <w:rsid w:val="00765578"/>
    <w:rsid w:val="00766333"/>
    <w:rsid w:val="0077084A"/>
    <w:rsid w:val="007952C7"/>
    <w:rsid w:val="007C0B95"/>
    <w:rsid w:val="007C2317"/>
    <w:rsid w:val="007D330A"/>
    <w:rsid w:val="00866AE6"/>
    <w:rsid w:val="008750A8"/>
    <w:rsid w:val="008E5AF2"/>
    <w:rsid w:val="0090121B"/>
    <w:rsid w:val="009144C9"/>
    <w:rsid w:val="0094091F"/>
    <w:rsid w:val="00962171"/>
    <w:rsid w:val="00973754"/>
    <w:rsid w:val="009C0BED"/>
    <w:rsid w:val="009E11EC"/>
    <w:rsid w:val="00A021CC"/>
    <w:rsid w:val="00A118DB"/>
    <w:rsid w:val="00A4450C"/>
    <w:rsid w:val="00AA5E6C"/>
    <w:rsid w:val="00AE0D5F"/>
    <w:rsid w:val="00AE332B"/>
    <w:rsid w:val="00AE5677"/>
    <w:rsid w:val="00AE658F"/>
    <w:rsid w:val="00AF2F78"/>
    <w:rsid w:val="00B239FA"/>
    <w:rsid w:val="00B47331"/>
    <w:rsid w:val="00B52D55"/>
    <w:rsid w:val="00B8288C"/>
    <w:rsid w:val="00B86034"/>
    <w:rsid w:val="00BE2E80"/>
    <w:rsid w:val="00BE5EDD"/>
    <w:rsid w:val="00BE6A1F"/>
    <w:rsid w:val="00C126C4"/>
    <w:rsid w:val="00C43A6F"/>
    <w:rsid w:val="00C44E9E"/>
    <w:rsid w:val="00C63EB5"/>
    <w:rsid w:val="00C87DA7"/>
    <w:rsid w:val="00C9242B"/>
    <w:rsid w:val="00CC01E0"/>
    <w:rsid w:val="00CD5FEE"/>
    <w:rsid w:val="00CE60D2"/>
    <w:rsid w:val="00CE64CA"/>
    <w:rsid w:val="00CE7431"/>
    <w:rsid w:val="00D0288A"/>
    <w:rsid w:val="00D25209"/>
    <w:rsid w:val="00D72A5D"/>
    <w:rsid w:val="00D941D8"/>
    <w:rsid w:val="00DA71A3"/>
    <w:rsid w:val="00DC629B"/>
    <w:rsid w:val="00DE1C31"/>
    <w:rsid w:val="00E05BFF"/>
    <w:rsid w:val="00E262F1"/>
    <w:rsid w:val="00E3176A"/>
    <w:rsid w:val="00E54754"/>
    <w:rsid w:val="00E56BD3"/>
    <w:rsid w:val="00E71D14"/>
    <w:rsid w:val="00EA77F0"/>
    <w:rsid w:val="00EB7FCE"/>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7E15E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rsid w:val="00B54C73"/>
    <w:rPr>
      <w:rFonts w:ascii="Times New Roman" w:hAnsi="Times New Roman"/>
      <w:sz w:val="24"/>
      <w:lang w:val="es-ES_tradnl" w:eastAsia="en-US"/>
    </w:rPr>
  </w:style>
  <w:style w:type="paragraph" w:styleId="BalloonText">
    <w:name w:val="Balloon Text"/>
    <w:basedOn w:val="Normal"/>
    <w:link w:val="BalloonTextChar"/>
    <w:semiHidden/>
    <w:unhideWhenUsed/>
    <w:rsid w:val="00294CD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94CD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R16-WRC19-C-0011!A19-A7!MSW-S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A891C-DF42-4C10-B655-19B4A18FD98A}">
  <ds:schemaRefs>
    <ds:schemaRef ds:uri="http://schemas.microsoft.com/sharepoint/v3/contenttype/forms"/>
  </ds:schemaRefs>
</ds:datastoreItem>
</file>

<file path=customXml/itemProps3.xml><?xml version="1.0" encoding="utf-8"?>
<ds:datastoreItem xmlns:ds="http://schemas.openxmlformats.org/officeDocument/2006/customXml" ds:itemID="{0D40BB39-228D-45AA-9BC7-78EC7D28C8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AE315DA9-32BE-44E0-B3BB-2F2653F9F8D6}">
  <ds:schemaRefs>
    <ds:schemaRef ds:uri="http://schemas.microsoft.com/sharepoint/events"/>
  </ds:schemaRefs>
</ds:datastoreItem>
</file>

<file path=customXml/itemProps5.xml><?xml version="1.0" encoding="utf-8"?>
<ds:datastoreItem xmlns:ds="http://schemas.openxmlformats.org/officeDocument/2006/customXml" ds:itemID="{63E9F18F-2890-4EEF-8C3B-93949C40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876</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R16-WRC19-C-0011!A19-A7!MSW-S</vt:lpstr>
    </vt:vector>
  </TitlesOfParts>
  <Manager>Secretaría General - Pool</Manager>
  <Company>Unión Internacional de Telecomunicaciones (UIT)</Company>
  <LinksUpToDate>false</LinksUpToDate>
  <CharactersWithSpaces>5444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R16-WRC19-C-0011!A19-A7!MSW-S</dc:title>
  <dc:subject>Conferencia Mundial de Radiocomunicaciones - 2019</dc:subject>
  <dc:creator>Documents Proposals Manager (DPM)</dc:creator>
  <cp:keywords>DPM_v2019.9.25.1_prod</cp:keywords>
  <dc:description/>
  <cp:lastModifiedBy>Spanish</cp:lastModifiedBy>
  <cp:revision>18</cp:revision>
  <cp:lastPrinted>2003-02-19T20:20:00Z</cp:lastPrinted>
  <dcterms:created xsi:type="dcterms:W3CDTF">2019-09-27T12:16:00Z</dcterms:created>
  <dcterms:modified xsi:type="dcterms:W3CDTF">2019-10-04T06:43:00Z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