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2A6F8F" w14:paraId="0DDF84CB" w14:textId="77777777" w:rsidTr="00E0568C">
        <w:trPr>
          <w:cantSplit/>
        </w:trPr>
        <w:tc>
          <w:tcPr>
            <w:tcW w:w="6804" w:type="dxa"/>
          </w:tcPr>
          <w:p w14:paraId="52D3F1F0" w14:textId="77777777" w:rsidR="00BB1D82" w:rsidRPr="00930FFD" w:rsidRDefault="00851625" w:rsidP="00E0568C">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227" w:type="dxa"/>
          </w:tcPr>
          <w:p w14:paraId="27F5703C" w14:textId="77777777" w:rsidR="00BB1D82" w:rsidRPr="002A6F8F" w:rsidRDefault="000A55AE" w:rsidP="00E0568C">
            <w:pPr>
              <w:spacing w:before="0"/>
              <w:jc w:val="right"/>
              <w:rPr>
                <w:lang w:val="en-US"/>
              </w:rPr>
            </w:pPr>
            <w:r>
              <w:rPr>
                <w:rFonts w:ascii="Verdana" w:hAnsi="Verdana"/>
                <w:b/>
                <w:bCs/>
                <w:noProof/>
                <w:lang w:val="en-GB" w:eastAsia="zh-CN"/>
              </w:rPr>
              <w:drawing>
                <wp:inline distT="0" distB="0" distL="0" distR="0" wp14:anchorId="181FC78B" wp14:editId="1636D26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2F875214" w14:textId="77777777" w:rsidTr="00E0568C">
        <w:trPr>
          <w:cantSplit/>
        </w:trPr>
        <w:tc>
          <w:tcPr>
            <w:tcW w:w="6804" w:type="dxa"/>
            <w:tcBorders>
              <w:bottom w:val="single" w:sz="12" w:space="0" w:color="auto"/>
            </w:tcBorders>
          </w:tcPr>
          <w:p w14:paraId="52F60ECD" w14:textId="77777777" w:rsidR="00BB1D82" w:rsidRPr="002A6F8F" w:rsidRDefault="00BB1D82" w:rsidP="00E0568C">
            <w:pPr>
              <w:spacing w:before="0" w:after="48"/>
              <w:rPr>
                <w:b/>
                <w:smallCaps/>
                <w:szCs w:val="24"/>
                <w:lang w:val="en-US"/>
              </w:rPr>
            </w:pPr>
            <w:bookmarkStart w:id="1" w:name="dhead"/>
          </w:p>
        </w:tc>
        <w:tc>
          <w:tcPr>
            <w:tcW w:w="3227" w:type="dxa"/>
            <w:tcBorders>
              <w:bottom w:val="single" w:sz="12" w:space="0" w:color="auto"/>
            </w:tcBorders>
          </w:tcPr>
          <w:p w14:paraId="44A2AB02" w14:textId="77777777" w:rsidR="00BB1D82" w:rsidRPr="002A6F8F" w:rsidRDefault="00BB1D82" w:rsidP="00E0568C">
            <w:pPr>
              <w:spacing w:before="0"/>
              <w:rPr>
                <w:rFonts w:ascii="Verdana" w:hAnsi="Verdana"/>
                <w:szCs w:val="24"/>
                <w:lang w:val="en-US"/>
              </w:rPr>
            </w:pPr>
          </w:p>
        </w:tc>
      </w:tr>
      <w:tr w:rsidR="00BB1D82" w:rsidRPr="002A6F8F" w14:paraId="3B76314B" w14:textId="77777777" w:rsidTr="00E0568C">
        <w:trPr>
          <w:cantSplit/>
        </w:trPr>
        <w:tc>
          <w:tcPr>
            <w:tcW w:w="6804" w:type="dxa"/>
            <w:tcBorders>
              <w:top w:val="single" w:sz="12" w:space="0" w:color="auto"/>
            </w:tcBorders>
          </w:tcPr>
          <w:p w14:paraId="7564A7BF" w14:textId="77777777" w:rsidR="00BB1D82" w:rsidRPr="002A6F8F" w:rsidRDefault="00BB1D82" w:rsidP="00E0568C">
            <w:pPr>
              <w:spacing w:before="0" w:after="48"/>
              <w:rPr>
                <w:rFonts w:ascii="Verdana" w:hAnsi="Verdana"/>
                <w:b/>
                <w:smallCaps/>
                <w:sz w:val="20"/>
                <w:lang w:val="en-US"/>
              </w:rPr>
            </w:pPr>
          </w:p>
        </w:tc>
        <w:tc>
          <w:tcPr>
            <w:tcW w:w="3227" w:type="dxa"/>
            <w:tcBorders>
              <w:top w:val="single" w:sz="12" w:space="0" w:color="auto"/>
            </w:tcBorders>
          </w:tcPr>
          <w:p w14:paraId="31844C77" w14:textId="77777777" w:rsidR="00BB1D82" w:rsidRPr="002A6F8F" w:rsidRDefault="00BB1D82" w:rsidP="00E0568C">
            <w:pPr>
              <w:spacing w:before="0"/>
              <w:rPr>
                <w:rFonts w:ascii="Verdana" w:hAnsi="Verdana"/>
                <w:sz w:val="20"/>
                <w:lang w:val="en-US"/>
              </w:rPr>
            </w:pPr>
          </w:p>
        </w:tc>
      </w:tr>
      <w:tr w:rsidR="00BB1D82" w:rsidRPr="002A6F8F" w14:paraId="336CFD33" w14:textId="77777777" w:rsidTr="00E0568C">
        <w:trPr>
          <w:cantSplit/>
        </w:trPr>
        <w:tc>
          <w:tcPr>
            <w:tcW w:w="6804" w:type="dxa"/>
          </w:tcPr>
          <w:p w14:paraId="404DEFB3" w14:textId="77777777" w:rsidR="00BB1D82" w:rsidRPr="00930FFD" w:rsidRDefault="006D4724" w:rsidP="00E0568C">
            <w:pPr>
              <w:spacing w:before="0"/>
              <w:rPr>
                <w:rFonts w:ascii="Verdana" w:hAnsi="Verdana"/>
                <w:b/>
                <w:sz w:val="20"/>
                <w:lang w:val="en-US"/>
              </w:rPr>
            </w:pPr>
            <w:r w:rsidRPr="00930FFD">
              <w:rPr>
                <w:rFonts w:ascii="Verdana" w:hAnsi="Verdana"/>
                <w:b/>
                <w:sz w:val="20"/>
                <w:lang w:val="en-US"/>
              </w:rPr>
              <w:t>SÉANCE PLÉNIÈRE</w:t>
            </w:r>
          </w:p>
        </w:tc>
        <w:tc>
          <w:tcPr>
            <w:tcW w:w="3227" w:type="dxa"/>
          </w:tcPr>
          <w:p w14:paraId="08F17D9F" w14:textId="7DCFDDA0" w:rsidR="00BB1D82" w:rsidRPr="004A4238" w:rsidRDefault="006D4724" w:rsidP="00E0568C">
            <w:pPr>
              <w:spacing w:before="0"/>
              <w:rPr>
                <w:rFonts w:ascii="Verdana" w:hAnsi="Verdana"/>
                <w:sz w:val="20"/>
              </w:rPr>
            </w:pPr>
            <w:r w:rsidRPr="004A4238">
              <w:rPr>
                <w:rFonts w:ascii="Verdana" w:hAnsi="Verdana"/>
                <w:b/>
                <w:sz w:val="20"/>
              </w:rPr>
              <w:t xml:space="preserve">Addendum 7 </w:t>
            </w:r>
            <w:r w:rsidR="004A4238" w:rsidRPr="004A4238">
              <w:rPr>
                <w:rFonts w:ascii="Verdana" w:hAnsi="Verdana"/>
                <w:b/>
                <w:sz w:val="20"/>
              </w:rPr>
              <w:t>d</w:t>
            </w:r>
            <w:r w:rsidRPr="004A4238">
              <w:rPr>
                <w:rFonts w:ascii="Verdana" w:hAnsi="Verdana"/>
                <w:b/>
                <w:sz w:val="20"/>
              </w:rPr>
              <w:t>u</w:t>
            </w:r>
            <w:r w:rsidRPr="004A4238">
              <w:rPr>
                <w:rFonts w:ascii="Verdana" w:hAnsi="Verdana"/>
                <w:b/>
                <w:sz w:val="20"/>
              </w:rPr>
              <w:br/>
              <w:t>Document 11(Add.19)</w:t>
            </w:r>
            <w:r w:rsidR="00BB1D82" w:rsidRPr="004A4238">
              <w:rPr>
                <w:rFonts w:ascii="Verdana" w:hAnsi="Verdana"/>
                <w:b/>
                <w:sz w:val="20"/>
              </w:rPr>
              <w:t>-</w:t>
            </w:r>
            <w:r w:rsidRPr="004A4238">
              <w:rPr>
                <w:rFonts w:ascii="Verdana" w:hAnsi="Verdana"/>
                <w:b/>
                <w:sz w:val="20"/>
              </w:rPr>
              <w:t>F</w:t>
            </w:r>
          </w:p>
        </w:tc>
      </w:tr>
      <w:bookmarkEnd w:id="1"/>
      <w:tr w:rsidR="00690C7B" w:rsidRPr="002A6F8F" w14:paraId="0BD6C806" w14:textId="77777777" w:rsidTr="00E0568C">
        <w:trPr>
          <w:cantSplit/>
        </w:trPr>
        <w:tc>
          <w:tcPr>
            <w:tcW w:w="6804" w:type="dxa"/>
          </w:tcPr>
          <w:p w14:paraId="773A6F75" w14:textId="77777777" w:rsidR="00690C7B" w:rsidRPr="004A4238" w:rsidRDefault="00690C7B" w:rsidP="00E0568C">
            <w:pPr>
              <w:spacing w:before="0"/>
              <w:rPr>
                <w:rFonts w:ascii="Verdana" w:hAnsi="Verdana"/>
                <w:b/>
                <w:sz w:val="20"/>
              </w:rPr>
            </w:pPr>
          </w:p>
        </w:tc>
        <w:tc>
          <w:tcPr>
            <w:tcW w:w="3227" w:type="dxa"/>
          </w:tcPr>
          <w:p w14:paraId="17D2C4DB" w14:textId="77777777" w:rsidR="00690C7B" w:rsidRPr="002A6F8F" w:rsidRDefault="00690C7B" w:rsidP="00E0568C">
            <w:pPr>
              <w:spacing w:before="0"/>
              <w:rPr>
                <w:rFonts w:ascii="Verdana" w:hAnsi="Verdana"/>
                <w:b/>
                <w:sz w:val="20"/>
                <w:lang w:val="en-US"/>
              </w:rPr>
            </w:pPr>
            <w:r w:rsidRPr="002A6F8F">
              <w:rPr>
                <w:rFonts w:ascii="Verdana" w:hAnsi="Verdana"/>
                <w:b/>
                <w:sz w:val="20"/>
                <w:lang w:val="en-US"/>
              </w:rPr>
              <w:t>18 septembre 2019</w:t>
            </w:r>
          </w:p>
        </w:tc>
      </w:tr>
      <w:tr w:rsidR="00690C7B" w:rsidRPr="002A6F8F" w14:paraId="53F78954" w14:textId="77777777" w:rsidTr="00E0568C">
        <w:trPr>
          <w:cantSplit/>
        </w:trPr>
        <w:tc>
          <w:tcPr>
            <w:tcW w:w="6804" w:type="dxa"/>
          </w:tcPr>
          <w:p w14:paraId="49C44613" w14:textId="77777777" w:rsidR="00690C7B" w:rsidRPr="002A6F8F" w:rsidRDefault="00690C7B" w:rsidP="00E0568C">
            <w:pPr>
              <w:spacing w:before="0" w:after="48"/>
              <w:rPr>
                <w:rFonts w:ascii="Verdana" w:hAnsi="Verdana"/>
                <w:b/>
                <w:smallCaps/>
                <w:sz w:val="20"/>
                <w:lang w:val="en-US"/>
              </w:rPr>
            </w:pPr>
          </w:p>
        </w:tc>
        <w:tc>
          <w:tcPr>
            <w:tcW w:w="3227" w:type="dxa"/>
          </w:tcPr>
          <w:p w14:paraId="09C13414" w14:textId="33F7433F" w:rsidR="00690C7B" w:rsidRPr="002A6F8F" w:rsidRDefault="00690C7B" w:rsidP="00E0568C">
            <w:pPr>
              <w:spacing w:before="0"/>
              <w:rPr>
                <w:rFonts w:ascii="Verdana" w:hAnsi="Verdana"/>
                <w:b/>
                <w:sz w:val="20"/>
                <w:lang w:val="en-US"/>
              </w:rPr>
            </w:pPr>
            <w:r w:rsidRPr="002A6F8F">
              <w:rPr>
                <w:rFonts w:ascii="Verdana" w:hAnsi="Verdana"/>
                <w:b/>
                <w:sz w:val="20"/>
                <w:lang w:val="en-US"/>
              </w:rPr>
              <w:t>Original: anglais</w:t>
            </w:r>
            <w:r w:rsidR="00EC5C74">
              <w:rPr>
                <w:rFonts w:ascii="Verdana" w:hAnsi="Verdana"/>
                <w:b/>
                <w:sz w:val="20"/>
                <w:lang w:val="en-US"/>
              </w:rPr>
              <w:t>/espagnol</w:t>
            </w:r>
          </w:p>
        </w:tc>
      </w:tr>
      <w:tr w:rsidR="00690C7B" w:rsidRPr="002A6F8F" w14:paraId="200A23A1" w14:textId="77777777" w:rsidTr="00C11970">
        <w:trPr>
          <w:cantSplit/>
        </w:trPr>
        <w:tc>
          <w:tcPr>
            <w:tcW w:w="10031" w:type="dxa"/>
            <w:gridSpan w:val="2"/>
          </w:tcPr>
          <w:p w14:paraId="5A5C3FD8" w14:textId="77777777" w:rsidR="00690C7B" w:rsidRPr="002A6F8F" w:rsidRDefault="00690C7B" w:rsidP="00E0568C">
            <w:pPr>
              <w:spacing w:before="0"/>
              <w:rPr>
                <w:rFonts w:ascii="Verdana" w:hAnsi="Verdana"/>
                <w:b/>
                <w:sz w:val="20"/>
                <w:lang w:val="en-US"/>
              </w:rPr>
            </w:pPr>
          </w:p>
        </w:tc>
      </w:tr>
      <w:tr w:rsidR="00690C7B" w:rsidRPr="002A6F8F" w14:paraId="2F663AC4" w14:textId="77777777" w:rsidTr="0050008E">
        <w:trPr>
          <w:cantSplit/>
        </w:trPr>
        <w:tc>
          <w:tcPr>
            <w:tcW w:w="10031" w:type="dxa"/>
            <w:gridSpan w:val="2"/>
          </w:tcPr>
          <w:p w14:paraId="40058904" w14:textId="77777777" w:rsidR="00690C7B" w:rsidRPr="004A4238" w:rsidRDefault="00690C7B" w:rsidP="00E0568C">
            <w:pPr>
              <w:pStyle w:val="Source"/>
            </w:pPr>
            <w:bookmarkStart w:id="2" w:name="dsource" w:colFirst="0" w:colLast="0"/>
            <w:r w:rsidRPr="004A4238">
              <w:t>États Membres de la Commission interaméricaine des télécommunications (CITEL)</w:t>
            </w:r>
          </w:p>
        </w:tc>
      </w:tr>
      <w:tr w:rsidR="00690C7B" w:rsidRPr="002A6F8F" w14:paraId="32AEC527" w14:textId="77777777" w:rsidTr="0050008E">
        <w:trPr>
          <w:cantSplit/>
        </w:trPr>
        <w:tc>
          <w:tcPr>
            <w:tcW w:w="10031" w:type="dxa"/>
            <w:gridSpan w:val="2"/>
          </w:tcPr>
          <w:p w14:paraId="7FE942A6" w14:textId="7F87D234" w:rsidR="00EC5C74" w:rsidRPr="004A4238" w:rsidRDefault="00EC5C74" w:rsidP="00E0568C">
            <w:pPr>
              <w:pStyle w:val="Title1"/>
            </w:pPr>
            <w:bookmarkStart w:id="3" w:name="dtitle1" w:colFirst="0" w:colLast="0"/>
            <w:bookmarkEnd w:id="2"/>
            <w:r w:rsidRPr="004A4238">
              <w:t>PROPOSITIONS POUR LES TRAVAUX DE LA CONFÉRENCE</w:t>
            </w:r>
          </w:p>
        </w:tc>
      </w:tr>
      <w:tr w:rsidR="00690C7B" w:rsidRPr="002A6F8F" w14:paraId="050FF3DA" w14:textId="77777777" w:rsidTr="0050008E">
        <w:trPr>
          <w:cantSplit/>
        </w:trPr>
        <w:tc>
          <w:tcPr>
            <w:tcW w:w="10031" w:type="dxa"/>
            <w:gridSpan w:val="2"/>
          </w:tcPr>
          <w:p w14:paraId="75CE43E7" w14:textId="77777777" w:rsidR="00690C7B" w:rsidRPr="004A4238" w:rsidRDefault="00690C7B" w:rsidP="00E0568C">
            <w:pPr>
              <w:pStyle w:val="Title2"/>
            </w:pPr>
            <w:bookmarkStart w:id="4" w:name="dtitle2" w:colFirst="0" w:colLast="0"/>
            <w:bookmarkEnd w:id="3"/>
          </w:p>
        </w:tc>
      </w:tr>
      <w:tr w:rsidR="00690C7B" w14:paraId="41CD9CD0" w14:textId="77777777" w:rsidTr="0050008E">
        <w:trPr>
          <w:cantSplit/>
        </w:trPr>
        <w:tc>
          <w:tcPr>
            <w:tcW w:w="10031" w:type="dxa"/>
            <w:gridSpan w:val="2"/>
          </w:tcPr>
          <w:p w14:paraId="500A9A48" w14:textId="77777777" w:rsidR="00690C7B" w:rsidRDefault="00690C7B" w:rsidP="00E0568C">
            <w:pPr>
              <w:pStyle w:val="Agendaitem"/>
            </w:pPr>
            <w:bookmarkStart w:id="5" w:name="dtitle3" w:colFirst="0" w:colLast="0"/>
            <w:bookmarkEnd w:id="4"/>
            <w:r w:rsidRPr="006D4724">
              <w:t>Point 7(G) de l'ordre du jour</w:t>
            </w:r>
          </w:p>
        </w:tc>
      </w:tr>
    </w:tbl>
    <w:bookmarkEnd w:id="5"/>
    <w:p w14:paraId="0805BD8B" w14:textId="1D8D65C4" w:rsidR="001C0E40" w:rsidRPr="00404314" w:rsidRDefault="00883301" w:rsidP="00E0568C">
      <w:r w:rsidRPr="009B46DD">
        <w:t>7</w:t>
      </w:r>
      <w:r w:rsidRPr="009B46DD">
        <w:tab/>
        <w:t xml:space="preserve">examiner d'éventuels changements à apporter, et d'autres options à mettre en oeuvre, en application de la Résolution 86 (Rév. Marrakech, 2002) de la Conférence de plénipotentiaires, intitulée </w:t>
      </w:r>
      <w:r w:rsidR="0095157B">
        <w:t>«</w:t>
      </w:r>
      <w:r w:rsidRPr="009B46DD">
        <w:t>Procédures de publication anticipée, de coordination, de notification et d'inscription des assignations de fréquence relatives aux réseaux à satellite</w:t>
      </w:r>
      <w:r w:rsidR="0095157B">
        <w:t>»</w:t>
      </w:r>
      <w:r w:rsidRPr="009B46DD">
        <w:t>,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5F453923" w14:textId="2EB2EDB7" w:rsidR="001C0E40" w:rsidRPr="00404314" w:rsidRDefault="00883301" w:rsidP="00E0568C">
      <w:r w:rsidRPr="009B46DD">
        <w:t>7</w:t>
      </w:r>
      <w:r>
        <w:t>(G)</w:t>
      </w:r>
      <w:r w:rsidRPr="009B46DD">
        <w:tab/>
      </w:r>
      <w:r w:rsidRPr="00557A23">
        <w:t xml:space="preserve">Question G – </w:t>
      </w:r>
      <w:r w:rsidRPr="00F0464B">
        <w:t>Mise à jour de la situation de référence pour les réseaux des Régions 1 et</w:t>
      </w:r>
      <w:r w:rsidR="0095157B">
        <w:t> </w:t>
      </w:r>
      <w:r w:rsidRPr="00F0464B">
        <w:t xml:space="preserve">3 relevant des Appendices </w:t>
      </w:r>
      <w:r w:rsidRPr="00F0464B">
        <w:rPr>
          <w:b/>
          <w:bCs/>
        </w:rPr>
        <w:t>30</w:t>
      </w:r>
      <w:r w:rsidRPr="00F0464B">
        <w:t xml:space="preserve"> et </w:t>
      </w:r>
      <w:r w:rsidRPr="00F0464B">
        <w:rPr>
          <w:b/>
          <w:bCs/>
        </w:rPr>
        <w:t>30A</w:t>
      </w:r>
      <w:r w:rsidRPr="00F0464B">
        <w:t xml:space="preserve"> du RR lorsque des assignations inscrites à titre provisoire sont converties en assignations inscrites de manière définitive.</w:t>
      </w:r>
    </w:p>
    <w:p w14:paraId="7DADE407" w14:textId="50EC7499" w:rsidR="003A583E" w:rsidRPr="004A4238" w:rsidRDefault="00DC3D96" w:rsidP="00E0568C">
      <w:pPr>
        <w:pStyle w:val="Headingb"/>
      </w:pPr>
      <w:r>
        <w:t>Généralités</w:t>
      </w:r>
    </w:p>
    <w:p w14:paraId="41E64F53" w14:textId="3BDD77F0" w:rsidR="00EC5C74" w:rsidRPr="00431F96" w:rsidRDefault="00DC3D96" w:rsidP="00E0568C">
      <w:r>
        <w:rPr>
          <w:lang w:val="fr-CH"/>
        </w:rPr>
        <w:t>Le</w:t>
      </w:r>
      <w:r w:rsidR="00EC5C74" w:rsidRPr="00EC5C74">
        <w:rPr>
          <w:lang w:val="fr-CH"/>
        </w:rPr>
        <w:t xml:space="preserve"> § 4.1.18 des Appendices </w:t>
      </w:r>
      <w:r w:rsidR="00EC5C74" w:rsidRPr="00EC5C74">
        <w:rPr>
          <w:b/>
          <w:bCs/>
          <w:lang w:val="fr-CH"/>
        </w:rPr>
        <w:t>30</w:t>
      </w:r>
      <w:r w:rsidR="00EC5C74" w:rsidRPr="00EC5C74">
        <w:rPr>
          <w:lang w:val="fr-CH"/>
        </w:rPr>
        <w:t xml:space="preserve"> et </w:t>
      </w:r>
      <w:r w:rsidR="00EC5C74" w:rsidRPr="00EC5C74">
        <w:rPr>
          <w:b/>
          <w:bCs/>
          <w:lang w:val="fr-CH"/>
        </w:rPr>
        <w:t>30A</w:t>
      </w:r>
      <w:r w:rsidR="00EC5C74" w:rsidRPr="00EC5C74">
        <w:rPr>
          <w:lang w:val="fr-CH"/>
        </w:rPr>
        <w:t xml:space="preserve"> du R</w:t>
      </w:r>
      <w:r>
        <w:rPr>
          <w:lang w:val="fr-CH"/>
        </w:rPr>
        <w:t>èglement des radiocommunications dispose qu'</w:t>
      </w:r>
      <w:r w:rsidR="00EC5C74" w:rsidRPr="00EC5C74">
        <w:rPr>
          <w:lang w:val="fr-CH"/>
        </w:rPr>
        <w:t>en cas d'inscription dans la Liste d'une assignation pour laquelle des besoins de coordination n'ont pas encore été satisfaits, cette assignation est provisoire, mais l'inscription provisoire devient définitive dans la Liste si le Bureau est informé que la nouvelle assignation figurant dans la Liste pour les Régions 1 et 3, ainsi que l'assignation qui était à la base du désaccord, ont été utilisées pendant quatre mois au moins, sans qu'aucune plainte en brouillage préjudiciable n'ait été formulée.</w:t>
      </w:r>
      <w:r w:rsidR="00EC5C74">
        <w:rPr>
          <w:lang w:val="fr-CH"/>
        </w:rPr>
        <w:t xml:space="preserve"> </w:t>
      </w:r>
      <w:r w:rsidR="00790C25" w:rsidRPr="00790C25">
        <w:t xml:space="preserve">Lorsque l'inscription provisoire devient définitive, la situation de </w:t>
      </w:r>
      <w:r w:rsidR="00790C25">
        <w:t xml:space="preserve">référence </w:t>
      </w:r>
      <w:r w:rsidR="00790C25" w:rsidRPr="00790C25">
        <w:t>d</w:t>
      </w:r>
      <w:r w:rsidR="00E0568C">
        <w:t>u</w:t>
      </w:r>
      <w:r w:rsidR="00790C25" w:rsidRPr="00790C25">
        <w:t xml:space="preserve"> réseau brouillé </w:t>
      </w:r>
      <w:r w:rsidR="00790C25">
        <w:t>est mise à jour</w:t>
      </w:r>
      <w:r w:rsidR="00EC5C74" w:rsidRPr="00790C25">
        <w:t xml:space="preserve">. </w:t>
      </w:r>
      <w:r w:rsidR="00431F96">
        <w:t>Cela risque de modifier considérablement la situation de référence du réseau brouillé. Il existe une disposition semblable mais différente qui s'applique à la Région 2</w:t>
      </w:r>
      <w:r w:rsidR="00EC5C74" w:rsidRPr="00431F96">
        <w:t xml:space="preserve">, </w:t>
      </w:r>
      <w:r w:rsidR="00431F96">
        <w:t xml:space="preserve">à savoir le </w:t>
      </w:r>
      <w:r w:rsidR="00EC5C74" w:rsidRPr="00431F96">
        <w:t xml:space="preserve">§ </w:t>
      </w:r>
      <w:r w:rsidR="00EC5C74" w:rsidRPr="00431F96">
        <w:rPr>
          <w:bCs/>
        </w:rPr>
        <w:t>4.2.21A</w:t>
      </w:r>
      <w:r w:rsidR="00EC5C74" w:rsidRPr="00431F96">
        <w:t xml:space="preserve"> </w:t>
      </w:r>
      <w:r w:rsidR="00431F96">
        <w:t xml:space="preserve">des </w:t>
      </w:r>
      <w:r w:rsidR="00EC5C74" w:rsidRPr="00431F96">
        <w:t xml:space="preserve">Appendices </w:t>
      </w:r>
      <w:r w:rsidR="00EC5C74" w:rsidRPr="00431F96">
        <w:rPr>
          <w:b/>
        </w:rPr>
        <w:t>30</w:t>
      </w:r>
      <w:r w:rsidR="00EC5C74" w:rsidRPr="00431F96">
        <w:t xml:space="preserve"> </w:t>
      </w:r>
      <w:r w:rsidR="00431F96">
        <w:t>et</w:t>
      </w:r>
      <w:r w:rsidR="00EC5C74" w:rsidRPr="00431F96">
        <w:t xml:space="preserve"> </w:t>
      </w:r>
      <w:r w:rsidR="00EC5C74" w:rsidRPr="00431F96">
        <w:rPr>
          <w:b/>
        </w:rPr>
        <w:t>30A</w:t>
      </w:r>
      <w:r w:rsidR="00431F96">
        <w:t xml:space="preserve"> du RR.</w:t>
      </w:r>
      <w:r w:rsidR="00EC5C74" w:rsidRPr="00431F96">
        <w:t xml:space="preserve"> </w:t>
      </w:r>
      <w:r w:rsidR="00431F96" w:rsidRPr="00431F96">
        <w:t>Les dispositions relatives à la Région 2 s'appliquent à un sous</w:t>
      </w:r>
      <w:r w:rsidR="00DB6CE9">
        <w:noBreakHyphen/>
      </w:r>
      <w:r w:rsidR="00431F96" w:rsidRPr="00431F96">
        <w:t xml:space="preserve">ensemble de services bien plus </w:t>
      </w:r>
      <w:r w:rsidR="00431F96">
        <w:t>restre</w:t>
      </w:r>
      <w:r w:rsidR="00431F96" w:rsidRPr="00431F96">
        <w:t xml:space="preserve">int </w:t>
      </w:r>
      <w:r w:rsidR="00431F96">
        <w:t>sans incidence potentielle sur la situation de référence du réseau brouillé</w:t>
      </w:r>
      <w:r w:rsidR="00EC5C74" w:rsidRPr="00431F96">
        <w:t>.</w:t>
      </w:r>
    </w:p>
    <w:p w14:paraId="2847D1F6" w14:textId="25CEE2C3" w:rsidR="008158DC" w:rsidRDefault="004F4148" w:rsidP="00E0568C">
      <w:pPr>
        <w:rPr>
          <w:lang w:val="fr-CH"/>
        </w:rPr>
      </w:pPr>
      <w:r>
        <w:rPr>
          <w:lang w:val="fr-CH"/>
        </w:rPr>
        <w:t xml:space="preserve">Dans le cadre de la préparation de la CMR-15, il était trop tard pour soulever cette question et en faire état dans le Rapport de la Réunion de préparation à la Conférence (RPC). </w:t>
      </w:r>
      <w:r w:rsidR="00D2769D" w:rsidRPr="008158DC">
        <w:rPr>
          <w:lang w:val="fr-CH"/>
        </w:rPr>
        <w:t>Par la suite, la question a été portée à l'attention du RRB à sa 70ème réunion, tenue en octobre 2015 (Document</w:t>
      </w:r>
      <w:r w:rsidR="00DB6CE9">
        <w:rPr>
          <w:lang w:val="fr-CH"/>
        </w:rPr>
        <w:t> </w:t>
      </w:r>
      <w:r w:rsidR="00D2769D" w:rsidRPr="008158DC">
        <w:rPr>
          <w:lang w:val="fr-CH"/>
        </w:rPr>
        <w:t>RRB-70/10), et il a été demandé au Comité d'élaborer une Règle de procédure en vue de</w:t>
      </w:r>
      <w:r w:rsidR="00DB6CE9">
        <w:rPr>
          <w:lang w:val="fr-CH"/>
        </w:rPr>
        <w:t> </w:t>
      </w:r>
      <w:r w:rsidR="00D2769D" w:rsidRPr="008158DC">
        <w:rPr>
          <w:lang w:val="fr-CH"/>
        </w:rPr>
        <w:t>définir dans ses grandes lignes la pratique que doit suivre le Bureau</w:t>
      </w:r>
      <w:r w:rsidR="00D2769D">
        <w:rPr>
          <w:lang w:val="fr-CH"/>
        </w:rPr>
        <w:t xml:space="preserve">. </w:t>
      </w:r>
      <w:r w:rsidR="00D2769D" w:rsidRPr="008158DC">
        <w:rPr>
          <w:lang w:val="fr-CH"/>
        </w:rPr>
        <w:t xml:space="preserve">Cependant, le RRB à sa </w:t>
      </w:r>
      <w:r w:rsidR="00D2769D" w:rsidRPr="008158DC">
        <w:rPr>
          <w:lang w:val="fr-CH"/>
        </w:rPr>
        <w:lastRenderedPageBreak/>
        <w:t>70ème réunion a été d'avis qu'une telle Règle de procédure entraînerait une modification du Règlement des radiocommunications, ce qui ne relevait donc pas de sa compétence</w:t>
      </w:r>
      <w:r w:rsidR="00D2769D">
        <w:rPr>
          <w:lang w:val="fr-CH"/>
        </w:rPr>
        <w:t>.</w:t>
      </w:r>
    </w:p>
    <w:p w14:paraId="11F11485" w14:textId="77777777" w:rsidR="00401BE8" w:rsidRDefault="008158DC" w:rsidP="00401BE8">
      <w:pPr>
        <w:rPr>
          <w:lang w:val="fr-CH"/>
        </w:rPr>
      </w:pPr>
      <w:r w:rsidRPr="009F00DD">
        <w:rPr>
          <w:lang w:val="fr-CH"/>
        </w:rPr>
        <w:t xml:space="preserve">Suite à cette décision, une </w:t>
      </w:r>
      <w:r w:rsidR="00D2769D">
        <w:rPr>
          <w:lang w:val="fr-CH"/>
        </w:rPr>
        <w:t>contribution tardive</w:t>
      </w:r>
      <w:r w:rsidRPr="009F00DD">
        <w:rPr>
          <w:lang w:val="fr-CH"/>
        </w:rPr>
        <w:t xml:space="preserve"> sur cette question a é</w:t>
      </w:r>
      <w:r>
        <w:rPr>
          <w:lang w:val="fr-CH"/>
        </w:rPr>
        <w:t>té soumise à la CMR-15, qui est </w:t>
      </w:r>
      <w:r w:rsidRPr="009F00DD">
        <w:rPr>
          <w:lang w:val="fr-CH"/>
        </w:rPr>
        <w:t>habilitée à apporter des modifications au Règlement de</w:t>
      </w:r>
      <w:r>
        <w:rPr>
          <w:lang w:val="fr-CH"/>
        </w:rPr>
        <w:t>s radiocommunications (Document CMR</w:t>
      </w:r>
      <w:r w:rsidRPr="009F00DD">
        <w:rPr>
          <w:lang w:val="fr-CH"/>
        </w:rPr>
        <w:noBreakHyphen/>
        <w:t xml:space="preserve">15/169). </w:t>
      </w:r>
      <w:r w:rsidR="00753584">
        <w:rPr>
          <w:lang w:val="fr-CH"/>
        </w:rPr>
        <w:t>É</w:t>
      </w:r>
      <w:r w:rsidRPr="009F00DD">
        <w:rPr>
          <w:lang w:val="fr-CH"/>
        </w:rPr>
        <w:t xml:space="preserve">tant donné que cette proposition a été soumise directement à la Conférence, sans qu'aucune étude n'ait été effectuée au préalable, la CMR-15 a décidé ce qui suit: </w:t>
      </w:r>
    </w:p>
    <w:p w14:paraId="37A224B8" w14:textId="6186F851" w:rsidR="008158DC" w:rsidRPr="002702C9" w:rsidRDefault="008158DC" w:rsidP="00401BE8">
      <w:pPr>
        <w:rPr>
          <w:lang w:val="fr-CH"/>
        </w:rPr>
      </w:pPr>
      <w:r w:rsidRPr="002702C9">
        <w:rPr>
          <w:lang w:val="fr-CH"/>
        </w:rPr>
        <w:t>«….</w:t>
      </w:r>
      <w:r w:rsidRPr="00B94847">
        <w:rPr>
          <w:i/>
          <w:iCs/>
          <w:lang w:val="fr-CH"/>
        </w:rPr>
        <w:t>il a été estimé qu'il convenait de mener un examen plus approfondi concernant cette question si</w:t>
      </w:r>
      <w:r w:rsidR="00401BE8">
        <w:rPr>
          <w:i/>
          <w:iCs/>
          <w:lang w:val="fr-CH"/>
        </w:rPr>
        <w:t xml:space="preserve"> </w:t>
      </w:r>
      <w:r w:rsidRPr="00B94847">
        <w:rPr>
          <w:i/>
          <w:iCs/>
          <w:lang w:val="fr-CH"/>
        </w:rPr>
        <w:t>cette pratique devait être modifiée. Par conséquent, l'UIT</w:t>
      </w:r>
      <w:r w:rsidRPr="00B94847">
        <w:rPr>
          <w:i/>
          <w:iCs/>
          <w:lang w:val="fr-CH"/>
        </w:rPr>
        <w:noBreakHyphen/>
        <w:t>R est invité à examiner cette question au titre du point permanent 7 de l'ordre du jour afin qu'elle soit résolue moyennant des mesures réglementaires et techniques appropriées</w:t>
      </w:r>
      <w:r w:rsidRPr="002702C9">
        <w:rPr>
          <w:lang w:val="fr-CH"/>
        </w:rPr>
        <w:t>».</w:t>
      </w:r>
    </w:p>
    <w:p w14:paraId="1D25C1FB" w14:textId="5F2AC882" w:rsidR="008158DC" w:rsidRPr="004A4238" w:rsidRDefault="008158DC" w:rsidP="00E0568C">
      <w:r w:rsidRPr="009F00DD">
        <w:rPr>
          <w:lang w:val="fr-CH"/>
        </w:rPr>
        <w:t>La Question G vise à donner suite aux activités menées avant et pendant la dernière C</w:t>
      </w:r>
      <w:r w:rsidR="004F4148">
        <w:rPr>
          <w:lang w:val="fr-CH"/>
        </w:rPr>
        <w:t>onférence</w:t>
      </w:r>
      <w:r w:rsidRPr="009F00DD">
        <w:rPr>
          <w:lang w:val="fr-CH"/>
        </w:rPr>
        <w:t xml:space="preserve"> et à la décision de la CMR-15.</w:t>
      </w:r>
    </w:p>
    <w:p w14:paraId="1311EB77" w14:textId="77777777" w:rsidR="0015203F" w:rsidRDefault="0015203F" w:rsidP="00E0568C">
      <w:pPr>
        <w:tabs>
          <w:tab w:val="clear" w:pos="1134"/>
          <w:tab w:val="clear" w:pos="1871"/>
          <w:tab w:val="clear" w:pos="2268"/>
        </w:tabs>
        <w:overflowPunct/>
        <w:autoSpaceDE/>
        <w:autoSpaceDN/>
        <w:adjustRightInd/>
        <w:spacing w:before="0"/>
        <w:textAlignment w:val="auto"/>
      </w:pPr>
      <w:r>
        <w:br w:type="page"/>
      </w:r>
    </w:p>
    <w:p w14:paraId="3182DEB7" w14:textId="77777777" w:rsidR="00221098" w:rsidRPr="00892D55" w:rsidRDefault="00883301" w:rsidP="00E0568C">
      <w:pPr>
        <w:pStyle w:val="AppendixNo"/>
        <w:spacing w:before="0"/>
      </w:pPr>
      <w:bookmarkStart w:id="6" w:name="_Toc459986340"/>
      <w:bookmarkStart w:id="7" w:name="_Toc459987790"/>
      <w:r w:rsidRPr="00686985">
        <w:lastRenderedPageBreak/>
        <w:t>APPENDICE</w:t>
      </w:r>
      <w:r w:rsidRPr="00892D55">
        <w:t xml:space="preserve"> </w:t>
      </w:r>
      <w:r w:rsidRPr="00892D55">
        <w:rPr>
          <w:rStyle w:val="href"/>
        </w:rPr>
        <w:t>30</w:t>
      </w:r>
      <w:r w:rsidRPr="00892D55">
        <w:t xml:space="preserve"> (R</w:t>
      </w:r>
      <w:r w:rsidRPr="005905D6">
        <w:rPr>
          <w:caps w:val="0"/>
          <w:lang w:val="fr-CH"/>
        </w:rPr>
        <w:t>ÉV</w:t>
      </w:r>
      <w:r w:rsidRPr="00892D55">
        <w:t>.CMR</w:t>
      </w:r>
      <w:r w:rsidRPr="00892D55">
        <w:noBreakHyphen/>
      </w:r>
      <w:r>
        <w:t>15</w:t>
      </w:r>
      <w:r w:rsidRPr="00892D55">
        <w:t>)</w:t>
      </w:r>
      <w:r>
        <w:rPr>
          <w:rStyle w:val="FootnoteReference"/>
        </w:rPr>
        <w:footnoteReference w:customMarkFollows="1" w:id="1"/>
        <w:t>*</w:t>
      </w:r>
      <w:bookmarkEnd w:id="6"/>
      <w:bookmarkEnd w:id="7"/>
    </w:p>
    <w:p w14:paraId="04A6EBF3" w14:textId="77777777" w:rsidR="00221098" w:rsidRPr="003F7C6E" w:rsidRDefault="00883301" w:rsidP="00E0568C">
      <w:pPr>
        <w:pStyle w:val="Appendixtitle"/>
        <w:rPr>
          <w:rFonts w:asciiTheme="majorBidi" w:hAnsiTheme="majorBidi"/>
        </w:rPr>
      </w:pPr>
      <w:bookmarkStart w:id="8" w:name="_Toc459986341"/>
      <w:bookmarkStart w:id="9" w:name="_Toc459987791"/>
      <w:r>
        <w:rPr>
          <w:lang w:val="fr-CH"/>
        </w:rPr>
        <w:t xml:space="preserve">Dispositions applicables à tous les </w:t>
      </w:r>
      <w:r w:rsidRPr="00686985">
        <w:t>services</w:t>
      </w:r>
      <w:r>
        <w:rPr>
          <w:lang w:val="fr-CH"/>
        </w:rPr>
        <w:t xml:space="preserve"> et Plans et Liste</w:t>
      </w:r>
      <w:r w:rsidRPr="00981B1A">
        <w:rPr>
          <w:rStyle w:val="FootnoteReference"/>
          <w:rFonts w:ascii="Times New Roman" w:hAnsi="Times New Roman"/>
          <w:b w:val="0"/>
          <w:bCs/>
          <w:color w:val="000000"/>
          <w:lang w:val="fr-CH"/>
        </w:rPr>
        <w:footnoteReference w:customMarkFollows="1" w:id="2"/>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r w:rsidRPr="003F7C6E">
        <w:rPr>
          <w:rFonts w:asciiTheme="majorBidi" w:hAnsiTheme="majorBidi"/>
          <w:b w:val="0"/>
          <w:sz w:val="16"/>
          <w:lang w:val="fr-CH"/>
        </w:rPr>
        <w:t>(CMR</w:t>
      </w:r>
      <w:r w:rsidRPr="003F7C6E">
        <w:rPr>
          <w:rFonts w:asciiTheme="majorBidi" w:hAnsiTheme="majorBidi"/>
          <w:b w:val="0"/>
          <w:sz w:val="16"/>
          <w:lang w:val="fr-CH"/>
        </w:rPr>
        <w:noBreakHyphen/>
        <w:t>03)</w:t>
      </w:r>
      <w:bookmarkEnd w:id="8"/>
      <w:bookmarkEnd w:id="9"/>
    </w:p>
    <w:p w14:paraId="12B6781C" w14:textId="77777777" w:rsidR="0016041A" w:rsidRDefault="00883301" w:rsidP="00E0568C">
      <w:pPr>
        <w:pStyle w:val="Proposal"/>
      </w:pPr>
      <w:r>
        <w:rPr>
          <w:u w:val="single"/>
        </w:rPr>
        <w:t>NOC</w:t>
      </w:r>
      <w:r>
        <w:tab/>
        <w:t>IAP/11A19A7/1</w:t>
      </w:r>
    </w:p>
    <w:p w14:paraId="7D2A91CD" w14:textId="77777777" w:rsidR="00221098" w:rsidRDefault="00883301" w:rsidP="00E0568C">
      <w:pPr>
        <w:pStyle w:val="AppArtNo"/>
      </w:pPr>
      <w:r>
        <w:rPr>
          <w:lang w:val="fr-CH"/>
        </w:rPr>
        <w:t>ARTICLE 4</w:t>
      </w:r>
      <w:r>
        <w:rPr>
          <w:sz w:val="16"/>
          <w:lang w:val="fr-CH"/>
        </w:rPr>
        <w:t>     (Rév.CMR</w:t>
      </w:r>
      <w:r>
        <w:rPr>
          <w:sz w:val="16"/>
          <w:lang w:val="fr-CH"/>
        </w:rPr>
        <w:noBreakHyphen/>
        <w:t>15)</w:t>
      </w:r>
    </w:p>
    <w:p w14:paraId="65285830" w14:textId="77777777" w:rsidR="00221098" w:rsidRDefault="00883301" w:rsidP="00E0568C">
      <w:pPr>
        <w:pStyle w:val="AppArttitle"/>
      </w:pPr>
      <w:bookmarkStart w:id="10" w:name="_Toc459986346"/>
      <w:r>
        <w:t>Procédures relatives aux modifications apportées au Plan de la Région 2 et aux utilisations additionnelles dans les Régions 1 et 3</w:t>
      </w:r>
      <w:r w:rsidRPr="002C5731">
        <w:rPr>
          <w:rStyle w:val="FootnoteReference"/>
          <w:b w:val="0"/>
          <w:bCs/>
        </w:rPr>
        <w:footnoteReference w:customMarkFollows="1" w:id="3"/>
        <w:t>3</w:t>
      </w:r>
      <w:bookmarkEnd w:id="10"/>
    </w:p>
    <w:p w14:paraId="57CC06DF" w14:textId="3B1E8D42" w:rsidR="0016041A" w:rsidRPr="003A7906" w:rsidRDefault="00883301" w:rsidP="00E0568C">
      <w:pPr>
        <w:pStyle w:val="Reasons"/>
        <w:rPr>
          <w:lang w:val="fr-CH"/>
        </w:rPr>
      </w:pPr>
      <w:r w:rsidRPr="00EF61C1">
        <w:rPr>
          <w:b/>
          <w:lang w:val="fr-CH"/>
        </w:rPr>
        <w:t>Motifs:</w:t>
      </w:r>
      <w:r w:rsidRPr="00EF61C1">
        <w:rPr>
          <w:lang w:val="fr-CH"/>
        </w:rPr>
        <w:tab/>
      </w:r>
      <w:r w:rsidR="00EF61C1" w:rsidRPr="00EF61C1">
        <w:rPr>
          <w:lang w:val="fr-CH"/>
        </w:rPr>
        <w:t xml:space="preserve">Étant donné que </w:t>
      </w:r>
      <w:r w:rsidR="003A7906">
        <w:rPr>
          <w:lang w:val="fr-CH"/>
        </w:rPr>
        <w:t>la Question G au titre du point 7</w:t>
      </w:r>
      <w:r w:rsidR="00EF61C1" w:rsidRPr="00EF61C1">
        <w:rPr>
          <w:lang w:val="fr-CH"/>
        </w:rPr>
        <w:t xml:space="preserve"> de l'ordre du jour </w:t>
      </w:r>
      <w:r w:rsidR="00EF61C1">
        <w:rPr>
          <w:lang w:val="fr-CH"/>
        </w:rPr>
        <w:t>de la CMR-19</w:t>
      </w:r>
      <w:r w:rsidR="003A7906">
        <w:rPr>
          <w:lang w:val="fr-CH"/>
        </w:rPr>
        <w:t xml:space="preserve"> ne concerne que les Régions 1 et 3, il est proposé d</w:t>
      </w:r>
      <w:r w:rsidR="00E0568C">
        <w:rPr>
          <w:lang w:val="fr-CH"/>
        </w:rPr>
        <w:t>e n</w:t>
      </w:r>
      <w:r w:rsidR="003A7906">
        <w:rPr>
          <w:lang w:val="fr-CH"/>
        </w:rPr>
        <w:t xml:space="preserve">'apporter aucune modification concernant la </w:t>
      </w:r>
      <w:r w:rsidR="003A7906" w:rsidRPr="00EF61C1">
        <w:rPr>
          <w:lang w:val="fr-CH"/>
        </w:rPr>
        <w:t>Région</w:t>
      </w:r>
      <w:r w:rsidR="003A7906">
        <w:rPr>
          <w:lang w:val="fr-CH"/>
        </w:rPr>
        <w:t xml:space="preserve"> 2.</w:t>
      </w:r>
      <w:r w:rsidR="00B94847" w:rsidRPr="00EF61C1">
        <w:rPr>
          <w:lang w:val="fr-CH"/>
        </w:rPr>
        <w:t xml:space="preserve"> </w:t>
      </w:r>
      <w:r w:rsidR="003A7906" w:rsidRPr="003A7906">
        <w:rPr>
          <w:lang w:val="fr-CH"/>
        </w:rPr>
        <w:t>De plus</w:t>
      </w:r>
      <w:r w:rsidR="00B94847" w:rsidRPr="003A7906">
        <w:rPr>
          <w:lang w:val="fr-CH"/>
        </w:rPr>
        <w:t xml:space="preserve">, </w:t>
      </w:r>
      <w:r w:rsidR="003A7906" w:rsidRPr="003A7906">
        <w:rPr>
          <w:lang w:val="fr-CH"/>
        </w:rPr>
        <w:t>toute modification apportée au Règlement des radiocommunications au titre d</w:t>
      </w:r>
      <w:r w:rsidR="005F4322">
        <w:rPr>
          <w:lang w:val="fr-CH"/>
        </w:rPr>
        <w:t>e la Question G d</w:t>
      </w:r>
      <w:r w:rsidR="003A7906" w:rsidRPr="003A7906">
        <w:rPr>
          <w:lang w:val="fr-CH"/>
        </w:rPr>
        <w:t>u point 7 de l'</w:t>
      </w:r>
      <w:r w:rsidR="003A7906">
        <w:rPr>
          <w:lang w:val="fr-CH"/>
        </w:rPr>
        <w:t xml:space="preserve">ordre du jour de la CMR-19 ne doit pas avoir d'incidence sur le Plan de la Région 2 figurant à l'Appendice </w:t>
      </w:r>
      <w:r w:rsidR="003A7906" w:rsidRPr="003A7906">
        <w:rPr>
          <w:b/>
          <w:bCs/>
          <w:lang w:val="fr-CH"/>
        </w:rPr>
        <w:t>30</w:t>
      </w:r>
      <w:r w:rsidR="003A7906">
        <w:rPr>
          <w:lang w:val="fr-CH"/>
        </w:rPr>
        <w:t xml:space="preserve"> du RR</w:t>
      </w:r>
      <w:r w:rsidR="00B94847" w:rsidRPr="003A7906">
        <w:rPr>
          <w:lang w:val="fr-CH"/>
        </w:rPr>
        <w:t>.</w:t>
      </w:r>
    </w:p>
    <w:p w14:paraId="49308642" w14:textId="77777777" w:rsidR="00221098" w:rsidRDefault="00883301" w:rsidP="00E0568C">
      <w:pPr>
        <w:pStyle w:val="AppendixNo"/>
        <w:spacing w:before="0"/>
        <w:rPr>
          <w:lang w:val="fr-CH"/>
        </w:rPr>
      </w:pPr>
      <w:bookmarkStart w:id="11" w:name="_Toc459986363"/>
      <w:bookmarkStart w:id="12" w:name="_Toc459987806"/>
      <w:r w:rsidRPr="001D6DCB">
        <w:lastRenderedPageBreak/>
        <w:t>APPENDICE</w:t>
      </w:r>
      <w:r>
        <w:rPr>
          <w:lang w:val="fr-CH"/>
        </w:rPr>
        <w:t xml:space="preserve"> </w:t>
      </w:r>
      <w:r>
        <w:rPr>
          <w:rStyle w:val="href"/>
          <w:color w:val="000000"/>
          <w:lang w:val="fr-CH"/>
        </w:rPr>
        <w:t>30A  </w:t>
      </w:r>
      <w:r>
        <w:rPr>
          <w:lang w:val="fr-CH"/>
        </w:rPr>
        <w:t>(R</w:t>
      </w:r>
      <w:r>
        <w:rPr>
          <w:caps w:val="0"/>
          <w:lang w:val="fr-CH"/>
        </w:rPr>
        <w:t>ÉV</w:t>
      </w:r>
      <w:r>
        <w:rPr>
          <w:lang w:val="fr-CH"/>
        </w:rPr>
        <w:t>.CMR-15)</w:t>
      </w:r>
      <w:r w:rsidRPr="00D25615">
        <w:rPr>
          <w:rStyle w:val="FootnoteReference"/>
        </w:rPr>
        <w:footnoteReference w:customMarkFollows="1" w:id="4"/>
        <w:t>*</w:t>
      </w:r>
      <w:bookmarkEnd w:id="11"/>
      <w:bookmarkEnd w:id="12"/>
    </w:p>
    <w:p w14:paraId="659B655F" w14:textId="77777777" w:rsidR="00221098" w:rsidRDefault="00883301" w:rsidP="00E0568C">
      <w:pPr>
        <w:pStyle w:val="Appendixtitle"/>
        <w:rPr>
          <w:b w:val="0"/>
          <w:color w:val="000000"/>
          <w:sz w:val="16"/>
          <w:lang w:val="fr-CH"/>
        </w:rPr>
      </w:pPr>
      <w:bookmarkStart w:id="13" w:name="_Toc459986364"/>
      <w:bookmarkStart w:id="14" w:name="_Toc459987807"/>
      <w:r>
        <w:rPr>
          <w:color w:val="000000"/>
          <w:lang w:val="fr-CH"/>
        </w:rPr>
        <w:t>Dispositions et Plans et Liste</w:t>
      </w:r>
      <w:r w:rsidRPr="00D25615">
        <w:rPr>
          <w:rFonts w:ascii="Times New Roman" w:hAnsi="Times New Roman"/>
          <w:b w:val="0"/>
          <w:bCs/>
          <w:vertAlign w:val="superscript"/>
        </w:rPr>
        <w:footnoteReference w:customMarkFollows="1" w:id="5"/>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sidRPr="00D25615">
        <w:rPr>
          <w:rStyle w:val="FootnoteReference"/>
          <w:rFonts w:ascii="Times New Roman" w:hAnsi="Times New Roman"/>
          <w:b w:val="0"/>
          <w:bCs/>
          <w:color w:val="000000"/>
          <w:lang w:val="fr-CH"/>
        </w:rPr>
        <w:footnoteReference w:customMarkFollows="1" w:id="6"/>
        <w:t>2</w:t>
      </w:r>
      <w:r>
        <w:rPr>
          <w:b w:val="0"/>
          <w:color w:val="000000"/>
          <w:vertAlign w:val="superscript"/>
          <w:lang w:val="fr-CH"/>
        </w:rPr>
        <w:br/>
      </w:r>
      <w:r>
        <w:rPr>
          <w:color w:val="000000"/>
          <w:lang w:val="fr-CH"/>
        </w:rPr>
        <w:t>et 17,3-18,1 GHz en Régions 1 et 3 et 17,3-17,8 GHz en Région 2</w:t>
      </w:r>
      <w:r w:rsidRPr="001A38A7">
        <w:rPr>
          <w:rFonts w:ascii="Times New Roman"/>
          <w:b w:val="0"/>
          <w:color w:val="000000"/>
          <w:sz w:val="16"/>
          <w:lang w:val="fr-CH"/>
        </w:rPr>
        <w:t>     </w:t>
      </w:r>
      <w:r w:rsidRPr="001A38A7">
        <w:rPr>
          <w:rFonts w:ascii="Times New Roman"/>
          <w:b w:val="0"/>
          <w:color w:val="000000"/>
          <w:sz w:val="16"/>
          <w:lang w:val="fr-CH"/>
        </w:rPr>
        <w:t>(CMR</w:t>
      </w:r>
      <w:r w:rsidRPr="001A38A7">
        <w:rPr>
          <w:rFonts w:ascii="Times New Roman"/>
          <w:b w:val="0"/>
          <w:color w:val="000000"/>
          <w:sz w:val="16"/>
          <w:lang w:val="fr-CH"/>
        </w:rPr>
        <w:noBreakHyphen/>
        <w:t>03)</w:t>
      </w:r>
      <w:bookmarkEnd w:id="13"/>
      <w:bookmarkEnd w:id="14"/>
    </w:p>
    <w:p w14:paraId="158CCDB9" w14:textId="77777777" w:rsidR="0016041A" w:rsidRDefault="00883301" w:rsidP="00E0568C">
      <w:pPr>
        <w:pStyle w:val="Proposal"/>
      </w:pPr>
      <w:r>
        <w:rPr>
          <w:u w:val="single"/>
        </w:rPr>
        <w:t>NOC</w:t>
      </w:r>
      <w:r>
        <w:tab/>
        <w:t>IAP/11A19A7/2</w:t>
      </w:r>
    </w:p>
    <w:p w14:paraId="55BCEE60" w14:textId="77777777" w:rsidR="00221098" w:rsidRPr="00585D62" w:rsidRDefault="00883301" w:rsidP="00E0568C">
      <w:pPr>
        <w:pStyle w:val="AppArtNo"/>
        <w:keepLines w:val="0"/>
        <w:rPr>
          <w:lang w:val="fr-CH"/>
        </w:rPr>
      </w:pPr>
      <w:r w:rsidRPr="00585D62">
        <w:rPr>
          <w:lang w:val="fr-CH"/>
        </w:rPr>
        <w:t>ARTICLE 4</w:t>
      </w:r>
      <w:r w:rsidRPr="00585D62">
        <w:rPr>
          <w:sz w:val="16"/>
          <w:szCs w:val="16"/>
          <w:lang w:val="fr-CH"/>
        </w:rPr>
        <w:t>     (RÉv.CMR-15)</w:t>
      </w:r>
    </w:p>
    <w:p w14:paraId="4C11AD3E" w14:textId="77777777" w:rsidR="00221098" w:rsidRPr="00585D62" w:rsidRDefault="00883301" w:rsidP="00E0568C">
      <w:pPr>
        <w:pStyle w:val="AppArttitle"/>
        <w:keepLines w:val="0"/>
      </w:pPr>
      <w:bookmarkStart w:id="15" w:name="_Toc459986369"/>
      <w:r w:rsidRPr="00585D62">
        <w:t>Procédures relatives aux modifications apportées au Plan des liaisons</w:t>
      </w:r>
      <w:r w:rsidRPr="00585D62">
        <w:br/>
        <w:t>de connexion de la Région 2 et aux utilisations additionnelles</w:t>
      </w:r>
      <w:r w:rsidRPr="00585D62">
        <w:br/>
        <w:t>dans les Régions 1 et 3</w:t>
      </w:r>
      <w:bookmarkEnd w:id="15"/>
    </w:p>
    <w:p w14:paraId="697CDE18" w14:textId="469F3BAF" w:rsidR="00883301" w:rsidRPr="005F4322" w:rsidRDefault="00883301" w:rsidP="00E0568C">
      <w:pPr>
        <w:pStyle w:val="Reasons"/>
      </w:pPr>
      <w:r w:rsidRPr="005F4322">
        <w:rPr>
          <w:b/>
        </w:rPr>
        <w:t>Motifs:</w:t>
      </w:r>
      <w:r w:rsidRPr="005F4322">
        <w:tab/>
      </w:r>
      <w:r w:rsidR="005F4322" w:rsidRPr="00EF61C1">
        <w:rPr>
          <w:lang w:val="fr-CH"/>
        </w:rPr>
        <w:t xml:space="preserve">Étant donné que </w:t>
      </w:r>
      <w:r w:rsidR="005F4322">
        <w:rPr>
          <w:lang w:val="fr-CH"/>
        </w:rPr>
        <w:t>la Question G au titre du point 7</w:t>
      </w:r>
      <w:r w:rsidR="005F4322" w:rsidRPr="00EF61C1">
        <w:rPr>
          <w:lang w:val="fr-CH"/>
        </w:rPr>
        <w:t xml:space="preserve"> de l'ordre du jour </w:t>
      </w:r>
      <w:r w:rsidR="005F4322">
        <w:rPr>
          <w:lang w:val="fr-CH"/>
        </w:rPr>
        <w:t>de la CMR-19 ne concerne que les Régions 1 et 3, il est proposé d</w:t>
      </w:r>
      <w:r w:rsidR="00E0568C">
        <w:rPr>
          <w:lang w:val="fr-CH"/>
        </w:rPr>
        <w:t>e n</w:t>
      </w:r>
      <w:r w:rsidR="005F4322">
        <w:rPr>
          <w:lang w:val="fr-CH"/>
        </w:rPr>
        <w:t xml:space="preserve">'apporter aucune modification concernant la </w:t>
      </w:r>
      <w:r w:rsidR="005F4322" w:rsidRPr="00EF61C1">
        <w:rPr>
          <w:lang w:val="fr-CH"/>
        </w:rPr>
        <w:t>Région</w:t>
      </w:r>
      <w:r w:rsidR="005F4322">
        <w:rPr>
          <w:lang w:val="fr-CH"/>
        </w:rPr>
        <w:t xml:space="preserve"> 2.</w:t>
      </w:r>
      <w:r w:rsidR="005F4322" w:rsidRPr="00EF61C1">
        <w:rPr>
          <w:lang w:val="fr-CH"/>
        </w:rPr>
        <w:t xml:space="preserve"> </w:t>
      </w:r>
      <w:r w:rsidR="005F4322" w:rsidRPr="003A7906">
        <w:rPr>
          <w:lang w:val="fr-CH"/>
        </w:rPr>
        <w:t>De plus, toute modification apportée au Règlement des radiocommunications au titre d</w:t>
      </w:r>
      <w:r w:rsidR="005F4322">
        <w:rPr>
          <w:lang w:val="fr-CH"/>
        </w:rPr>
        <w:t>e la Question G du</w:t>
      </w:r>
      <w:r w:rsidR="005F4322" w:rsidRPr="003A7906">
        <w:rPr>
          <w:lang w:val="fr-CH"/>
        </w:rPr>
        <w:t xml:space="preserve"> point 7 de l'</w:t>
      </w:r>
      <w:r w:rsidR="005F4322">
        <w:rPr>
          <w:lang w:val="fr-CH"/>
        </w:rPr>
        <w:t xml:space="preserve">ordre du jour de la CMR-19 ne doit pas avoir d'incidence sur le Plan de la Région 2 figurant à l'Appendice </w:t>
      </w:r>
      <w:r w:rsidR="005F4322" w:rsidRPr="003A7906">
        <w:rPr>
          <w:b/>
          <w:bCs/>
          <w:lang w:val="fr-CH"/>
        </w:rPr>
        <w:t>30</w:t>
      </w:r>
      <w:r w:rsidR="005F4322">
        <w:rPr>
          <w:b/>
          <w:bCs/>
          <w:lang w:val="fr-CH"/>
        </w:rPr>
        <w:t>A</w:t>
      </w:r>
      <w:r w:rsidR="005F4322">
        <w:rPr>
          <w:lang w:val="fr-CH"/>
        </w:rPr>
        <w:t xml:space="preserve"> du RR</w:t>
      </w:r>
      <w:r w:rsidR="00B94847" w:rsidRPr="005F4322">
        <w:t>.</w:t>
      </w:r>
    </w:p>
    <w:p w14:paraId="5D301197" w14:textId="14C69D04" w:rsidR="0016041A" w:rsidRDefault="00883301" w:rsidP="00902DEC">
      <w:pPr>
        <w:jc w:val="center"/>
      </w:pPr>
      <w:r>
        <w:t>______________</w:t>
      </w:r>
    </w:p>
    <w:sectPr w:rsidR="0016041A">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EF154" w14:textId="77777777" w:rsidR="0070076C" w:rsidRDefault="0070076C">
      <w:r>
        <w:separator/>
      </w:r>
    </w:p>
  </w:endnote>
  <w:endnote w:type="continuationSeparator" w:id="0">
    <w:p w14:paraId="65315CA3"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5138" w14:textId="4087BF06" w:rsidR="00936D25" w:rsidRDefault="00936D25">
    <w:pPr>
      <w:rPr>
        <w:lang w:val="en-US"/>
      </w:rPr>
    </w:pPr>
    <w:r>
      <w:fldChar w:fldCharType="begin"/>
    </w:r>
    <w:r>
      <w:rPr>
        <w:lang w:val="en-US"/>
      </w:rPr>
      <w:instrText xml:space="preserve"> FILENAME \p  \* MERGEFORMAT </w:instrText>
    </w:r>
    <w:r>
      <w:fldChar w:fldCharType="separate"/>
    </w:r>
    <w:r w:rsidR="00355B61">
      <w:rPr>
        <w:noProof/>
        <w:lang w:val="en-US"/>
      </w:rPr>
      <w:t>P:\FRA\ITU-R\CONF-R\CMR19\000\011ADD19ADD07F.docx</w:t>
    </w:r>
    <w:r>
      <w:fldChar w:fldCharType="end"/>
    </w:r>
    <w:r>
      <w:rPr>
        <w:lang w:val="en-US"/>
      </w:rPr>
      <w:tab/>
    </w:r>
    <w:r>
      <w:fldChar w:fldCharType="begin"/>
    </w:r>
    <w:r>
      <w:instrText xml:space="preserve"> SAVEDATE \@ DD.MM.YY </w:instrText>
    </w:r>
    <w:r>
      <w:fldChar w:fldCharType="separate"/>
    </w:r>
    <w:r w:rsidR="00355B61">
      <w:rPr>
        <w:noProof/>
      </w:rPr>
      <w:t>27.09.19</w:t>
    </w:r>
    <w:r>
      <w:fldChar w:fldCharType="end"/>
    </w:r>
    <w:r>
      <w:rPr>
        <w:lang w:val="en-US"/>
      </w:rPr>
      <w:tab/>
    </w:r>
    <w:r>
      <w:fldChar w:fldCharType="begin"/>
    </w:r>
    <w:r>
      <w:instrText xml:space="preserve"> PRINTDATE \@ DD.MM.YY </w:instrText>
    </w:r>
    <w:r>
      <w:fldChar w:fldCharType="separate"/>
    </w:r>
    <w:r w:rsidR="00355B61">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358FA" w14:textId="5A0AEC2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55B61">
      <w:rPr>
        <w:lang w:val="en-US"/>
      </w:rPr>
      <w:t>P:\FRA\ITU-R\CONF-R\CMR19\000\011ADD19ADD07F.docx</w:t>
    </w:r>
    <w:r>
      <w:fldChar w:fldCharType="end"/>
    </w:r>
    <w:r w:rsidR="00EC5C74">
      <w:t xml:space="preserve"> (460815)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C7DB1" w14:textId="39FA5ABC" w:rsidR="00936D25" w:rsidRDefault="00355B61" w:rsidP="00EC5C74">
    <w:pPr>
      <w:pStyle w:val="Footer"/>
      <w:rPr>
        <w:lang w:val="en-US"/>
      </w:rPr>
    </w:pPr>
    <w:r>
      <w:fldChar w:fldCharType="begin"/>
    </w:r>
    <w:r>
      <w:instrText xml:space="preserve"> FILENAME \p  \* MERGEFORMAT </w:instrText>
    </w:r>
    <w:r>
      <w:fldChar w:fldCharType="separate"/>
    </w:r>
    <w:r>
      <w:t>P:\FRA\ITU-R\CONF-R\CMR19\000\011ADD19ADD07F.docx</w:t>
    </w:r>
    <w:r>
      <w:fldChar w:fldCharType="end"/>
    </w:r>
    <w:r w:rsidR="00EC5C74">
      <w:t xml:space="preserve"> (460815)</w:t>
    </w:r>
    <w:r w:rsidR="00EC5C74">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5B841" w14:textId="77777777" w:rsidR="0070076C" w:rsidRDefault="0070076C">
      <w:r>
        <w:rPr>
          <w:b/>
        </w:rPr>
        <w:t>_______________</w:t>
      </w:r>
    </w:p>
  </w:footnote>
  <w:footnote w:type="continuationSeparator" w:id="0">
    <w:p w14:paraId="50920008" w14:textId="77777777" w:rsidR="0070076C" w:rsidRDefault="0070076C">
      <w:r>
        <w:continuationSeparator/>
      </w:r>
    </w:p>
  </w:footnote>
  <w:footnote w:id="1">
    <w:p w14:paraId="6FD84CED" w14:textId="77777777" w:rsidR="00E555B4" w:rsidRDefault="00883301"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580C10A4" w14:textId="77777777" w:rsidR="00E555B4" w:rsidRDefault="00883301"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61E736D2" w14:textId="77777777" w:rsidR="00E555B4" w:rsidRDefault="00883301"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7E2F0EEC" w14:textId="77777777" w:rsidR="00E555B4" w:rsidRDefault="00883301"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6E5C5E81" w14:textId="77777777" w:rsidR="00E555B4" w:rsidRDefault="00883301" w:rsidP="00193AD6">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4">
    <w:p w14:paraId="68A274EB" w14:textId="77777777" w:rsidR="00E555B4" w:rsidRDefault="00883301" w:rsidP="00193AD6">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5">
    <w:p w14:paraId="3B6C5787" w14:textId="77777777" w:rsidR="00E555B4" w:rsidRDefault="00883301" w:rsidP="00193AD6">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4666AF0F" w14:textId="77777777" w:rsidR="00E555B4" w:rsidRDefault="00883301" w:rsidP="0025298D">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Resolution a été abrogée par la CMR-03.</w:t>
      </w:r>
    </w:p>
  </w:footnote>
  <w:footnote w:id="6">
    <w:p w14:paraId="6C56A432" w14:textId="77777777" w:rsidR="00E555B4" w:rsidRDefault="00883301" w:rsidP="00193AD6">
      <w:pPr>
        <w:pStyle w:val="FootnoteText"/>
      </w:pPr>
      <w:r>
        <w:rPr>
          <w:rStyle w:val="FootnoteReference"/>
          <w:color w:val="000000"/>
        </w:rPr>
        <w:t>2</w:t>
      </w:r>
      <w:r>
        <w:tab/>
        <w:t>Cette utilisation de la bande 14,5-14,8 GHz est réservée aux pays extérieurs à l'Europe.</w:t>
      </w:r>
    </w:p>
    <w:p w14:paraId="52E5F285" w14:textId="77777777" w:rsidR="00E555B4" w:rsidRDefault="00883301" w:rsidP="00193AD6">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F65EB" w14:textId="77777777" w:rsidR="004F1F8E" w:rsidRDefault="004F1F8E" w:rsidP="004F1F8E">
    <w:pPr>
      <w:pStyle w:val="Header"/>
    </w:pPr>
    <w:r>
      <w:fldChar w:fldCharType="begin"/>
    </w:r>
    <w:r>
      <w:instrText xml:space="preserve"> PAGE </w:instrText>
    </w:r>
    <w:r>
      <w:fldChar w:fldCharType="separate"/>
    </w:r>
    <w:r w:rsidR="00753584">
      <w:rPr>
        <w:noProof/>
      </w:rPr>
      <w:t>4</w:t>
    </w:r>
    <w:r>
      <w:fldChar w:fldCharType="end"/>
    </w:r>
  </w:p>
  <w:p w14:paraId="5A15B1CD" w14:textId="77777777" w:rsidR="004F1F8E" w:rsidRDefault="004F1F8E" w:rsidP="00FD7AA3">
    <w:pPr>
      <w:pStyle w:val="Header"/>
    </w:pPr>
    <w:r>
      <w:t>CMR1</w:t>
    </w:r>
    <w:r w:rsidR="00FD7AA3">
      <w:t>9</w:t>
    </w:r>
    <w:r>
      <w:t>/</w:t>
    </w:r>
    <w:r w:rsidR="006A4B45">
      <w:t>11(Add.19)(Add.7)-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41A"/>
    <w:rsid w:val="00160C64"/>
    <w:rsid w:val="0018169B"/>
    <w:rsid w:val="0019352B"/>
    <w:rsid w:val="001960D0"/>
    <w:rsid w:val="001A11F6"/>
    <w:rsid w:val="001F17E8"/>
    <w:rsid w:val="00204306"/>
    <w:rsid w:val="00232FD2"/>
    <w:rsid w:val="002653D4"/>
    <w:rsid w:val="0026554E"/>
    <w:rsid w:val="002A4622"/>
    <w:rsid w:val="002A6F8F"/>
    <w:rsid w:val="002B17E5"/>
    <w:rsid w:val="002C0EBF"/>
    <w:rsid w:val="002C28A4"/>
    <w:rsid w:val="002D7E0A"/>
    <w:rsid w:val="00315AFE"/>
    <w:rsid w:val="00355B61"/>
    <w:rsid w:val="003606A6"/>
    <w:rsid w:val="0036650C"/>
    <w:rsid w:val="00393ACD"/>
    <w:rsid w:val="003A583E"/>
    <w:rsid w:val="003A7906"/>
    <w:rsid w:val="003E112B"/>
    <w:rsid w:val="003E1D1C"/>
    <w:rsid w:val="003E7B05"/>
    <w:rsid w:val="003F3719"/>
    <w:rsid w:val="003F6F2D"/>
    <w:rsid w:val="00401BE8"/>
    <w:rsid w:val="00431F96"/>
    <w:rsid w:val="00466211"/>
    <w:rsid w:val="00483196"/>
    <w:rsid w:val="004834A9"/>
    <w:rsid w:val="004A4238"/>
    <w:rsid w:val="004D01FC"/>
    <w:rsid w:val="004E28C3"/>
    <w:rsid w:val="004F1F8E"/>
    <w:rsid w:val="004F4148"/>
    <w:rsid w:val="004F7DC4"/>
    <w:rsid w:val="00512A32"/>
    <w:rsid w:val="005343DA"/>
    <w:rsid w:val="00560874"/>
    <w:rsid w:val="00586CF2"/>
    <w:rsid w:val="005A7C75"/>
    <w:rsid w:val="005C3768"/>
    <w:rsid w:val="005C6C3F"/>
    <w:rsid w:val="005F4322"/>
    <w:rsid w:val="00613635"/>
    <w:rsid w:val="0062093D"/>
    <w:rsid w:val="00637ECF"/>
    <w:rsid w:val="00647B59"/>
    <w:rsid w:val="00690C7B"/>
    <w:rsid w:val="006A4B45"/>
    <w:rsid w:val="006D4724"/>
    <w:rsid w:val="006F5FA2"/>
    <w:rsid w:val="0070076C"/>
    <w:rsid w:val="00701BAE"/>
    <w:rsid w:val="0071669C"/>
    <w:rsid w:val="00721F04"/>
    <w:rsid w:val="00730E95"/>
    <w:rsid w:val="007426B9"/>
    <w:rsid w:val="00753584"/>
    <w:rsid w:val="00764342"/>
    <w:rsid w:val="00774362"/>
    <w:rsid w:val="00786598"/>
    <w:rsid w:val="00790C25"/>
    <w:rsid w:val="00790C74"/>
    <w:rsid w:val="007A04E8"/>
    <w:rsid w:val="007B2C34"/>
    <w:rsid w:val="008158DC"/>
    <w:rsid w:val="00830086"/>
    <w:rsid w:val="00851625"/>
    <w:rsid w:val="00863C0A"/>
    <w:rsid w:val="00883301"/>
    <w:rsid w:val="008A3120"/>
    <w:rsid w:val="008A4B97"/>
    <w:rsid w:val="008C5B8E"/>
    <w:rsid w:val="008C5DD5"/>
    <w:rsid w:val="008D41BE"/>
    <w:rsid w:val="008D58D3"/>
    <w:rsid w:val="008E3BC9"/>
    <w:rsid w:val="00902DEC"/>
    <w:rsid w:val="00923064"/>
    <w:rsid w:val="00930FFD"/>
    <w:rsid w:val="00936D25"/>
    <w:rsid w:val="00941EA5"/>
    <w:rsid w:val="0095157B"/>
    <w:rsid w:val="00964700"/>
    <w:rsid w:val="00966C16"/>
    <w:rsid w:val="0098732F"/>
    <w:rsid w:val="009A045F"/>
    <w:rsid w:val="009A6A2B"/>
    <w:rsid w:val="009C7E7C"/>
    <w:rsid w:val="00A00473"/>
    <w:rsid w:val="00A03C9B"/>
    <w:rsid w:val="00A37105"/>
    <w:rsid w:val="00A42CD8"/>
    <w:rsid w:val="00A606C3"/>
    <w:rsid w:val="00A83B09"/>
    <w:rsid w:val="00A84541"/>
    <w:rsid w:val="00AE36A0"/>
    <w:rsid w:val="00B00294"/>
    <w:rsid w:val="00B3749C"/>
    <w:rsid w:val="00B64FD0"/>
    <w:rsid w:val="00B94847"/>
    <w:rsid w:val="00BA5BD0"/>
    <w:rsid w:val="00BB1D82"/>
    <w:rsid w:val="00BD51C5"/>
    <w:rsid w:val="00BF26E7"/>
    <w:rsid w:val="00C53FCA"/>
    <w:rsid w:val="00C76BAF"/>
    <w:rsid w:val="00C814B9"/>
    <w:rsid w:val="00CD516F"/>
    <w:rsid w:val="00D119A7"/>
    <w:rsid w:val="00D25FBA"/>
    <w:rsid w:val="00D2769D"/>
    <w:rsid w:val="00D32B28"/>
    <w:rsid w:val="00D42954"/>
    <w:rsid w:val="00D66EAC"/>
    <w:rsid w:val="00D730DF"/>
    <w:rsid w:val="00D772F0"/>
    <w:rsid w:val="00D77BDC"/>
    <w:rsid w:val="00DB6CE9"/>
    <w:rsid w:val="00DC3D96"/>
    <w:rsid w:val="00DC402B"/>
    <w:rsid w:val="00DE0932"/>
    <w:rsid w:val="00E03A27"/>
    <w:rsid w:val="00E049F1"/>
    <w:rsid w:val="00E0568C"/>
    <w:rsid w:val="00E37A25"/>
    <w:rsid w:val="00E537FF"/>
    <w:rsid w:val="00E6539B"/>
    <w:rsid w:val="00E70A31"/>
    <w:rsid w:val="00E723A7"/>
    <w:rsid w:val="00EA3F38"/>
    <w:rsid w:val="00EA5AB6"/>
    <w:rsid w:val="00EC5C74"/>
    <w:rsid w:val="00EC7615"/>
    <w:rsid w:val="00ED16AA"/>
    <w:rsid w:val="00ED6B8D"/>
    <w:rsid w:val="00EE3D7B"/>
    <w:rsid w:val="00EF61C1"/>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5AB50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R16-WRC19-C-0011!A19-A7!MSW-F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904584BE-A357-408B-BD1A-165874B962E9}">
  <ds:schemaRefs>
    <ds:schemaRef ds:uri="http://schemas.microsoft.com/sharepoint/v3/contenttype/forms"/>
  </ds:schemaRefs>
</ds:datastoreItem>
</file>

<file path=customXml/itemProps3.xml><?xml version="1.0" encoding="utf-8"?>
<ds:datastoreItem xmlns:ds="http://schemas.openxmlformats.org/officeDocument/2006/customXml" ds:itemID="{FEEF5D38-FE70-4355-AEF2-346D024A0214}">
  <ds:schemaRefs>
    <ds:schemaRef ds:uri="http://www.w3.org/XML/1998/namespace"/>
    <ds:schemaRef ds:uri="http://schemas.microsoft.com/office/2006/documentManagement/types"/>
    <ds:schemaRef ds:uri="http://schemas.microsoft.com/office/2006/metadata/properties"/>
    <ds:schemaRef ds:uri="32a1a8c5-2265-4ebc-b7a0-2071e2c5c9bb"/>
    <ds:schemaRef ds:uri="996b2e75-67fd-4955-a3b0-5ab9934cb50b"/>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E3318665-E053-4B1E-8DC7-9DC6895A0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903</Words>
  <Characters>4779</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R16-WRC19-C-0011!A19-A7!MSW-F</vt:lpstr>
    </vt:vector>
  </TitlesOfParts>
  <Manager>Secrétariat général - Pool</Manager>
  <Company>Union internationale des télécommunications (UIT)</Company>
  <LinksUpToDate>false</LinksUpToDate>
  <CharactersWithSpaces>5648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R16-WRC19-C-0011!A19-A7!MSW-F</dc:title>
  <dc:subject>Conférence mondiale des radiocommunications - 2019</dc:subject>
  <dc:creator>Documents Proposals Manager (DPM)</dc:creator>
  <cp:keywords>DPM_v2019.9.20.1_prod</cp:keywords>
  <dc:description/>
  <cp:lastModifiedBy>Geneux, Aude</cp:lastModifiedBy>
  <cp:revision>9</cp:revision>
  <cp:lastPrinted>2019-09-27T13:58:00Z</cp:lastPrinted>
  <dcterms:created xsi:type="dcterms:W3CDTF">2019-09-27T08:37:00Z</dcterms:created>
  <dcterms:modified xsi:type="dcterms:W3CDTF">2019-09-27T13:59:00Z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