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F6203C" w14:paraId="63FFC303" w14:textId="77777777" w:rsidTr="00FC207A">
        <w:trPr>
          <w:cantSplit/>
        </w:trPr>
        <w:tc>
          <w:tcPr>
            <w:tcW w:w="6804" w:type="dxa"/>
          </w:tcPr>
          <w:p w14:paraId="01298122" w14:textId="77777777" w:rsidR="0090121B" w:rsidRPr="00F6203C" w:rsidRDefault="005D46FB" w:rsidP="00C44E9E">
            <w:pPr>
              <w:spacing w:before="400" w:after="48" w:line="240" w:lineRule="atLeast"/>
              <w:rPr>
                <w:rFonts w:ascii="Verdana" w:hAnsi="Verdana"/>
                <w:position w:val="6"/>
              </w:rPr>
            </w:pPr>
            <w:r w:rsidRPr="00F6203C">
              <w:rPr>
                <w:rFonts w:ascii="Verdana" w:hAnsi="Verdana" w:cs="Times"/>
                <w:b/>
                <w:position w:val="6"/>
                <w:sz w:val="20"/>
              </w:rPr>
              <w:t>Conferencia Mundial de Radiocomunicaciones (CMR-1</w:t>
            </w:r>
            <w:r w:rsidR="00C44E9E" w:rsidRPr="00F6203C">
              <w:rPr>
                <w:rFonts w:ascii="Verdana" w:hAnsi="Verdana" w:cs="Times"/>
                <w:b/>
                <w:position w:val="6"/>
                <w:sz w:val="20"/>
              </w:rPr>
              <w:t>9</w:t>
            </w:r>
            <w:r w:rsidRPr="00F6203C">
              <w:rPr>
                <w:rFonts w:ascii="Verdana" w:hAnsi="Verdana" w:cs="Times"/>
                <w:b/>
                <w:position w:val="6"/>
                <w:sz w:val="20"/>
              </w:rPr>
              <w:t>)</w:t>
            </w:r>
            <w:r w:rsidRPr="00F6203C">
              <w:rPr>
                <w:rFonts w:ascii="Verdana" w:hAnsi="Verdana" w:cs="Times"/>
                <w:b/>
                <w:position w:val="6"/>
                <w:sz w:val="20"/>
              </w:rPr>
              <w:br/>
            </w:r>
            <w:r w:rsidR="006124AD" w:rsidRPr="00F6203C">
              <w:rPr>
                <w:rFonts w:ascii="Verdana" w:hAnsi="Verdana"/>
                <w:b/>
                <w:bCs/>
                <w:position w:val="6"/>
                <w:sz w:val="17"/>
                <w:szCs w:val="17"/>
              </w:rPr>
              <w:t>Sharm el-Sheikh (Egipto)</w:t>
            </w:r>
            <w:r w:rsidRPr="00F6203C">
              <w:rPr>
                <w:rFonts w:ascii="Verdana" w:hAnsi="Verdana"/>
                <w:b/>
                <w:bCs/>
                <w:position w:val="6"/>
                <w:sz w:val="17"/>
                <w:szCs w:val="17"/>
              </w:rPr>
              <w:t>, 2</w:t>
            </w:r>
            <w:r w:rsidR="00C44E9E" w:rsidRPr="00F6203C">
              <w:rPr>
                <w:rFonts w:ascii="Verdana" w:hAnsi="Verdana"/>
                <w:b/>
                <w:bCs/>
                <w:position w:val="6"/>
                <w:sz w:val="17"/>
                <w:szCs w:val="17"/>
              </w:rPr>
              <w:t xml:space="preserve">8 de octubre </w:t>
            </w:r>
            <w:r w:rsidR="00DE1C31" w:rsidRPr="00F6203C">
              <w:rPr>
                <w:rFonts w:ascii="Verdana" w:hAnsi="Verdana"/>
                <w:b/>
                <w:bCs/>
                <w:position w:val="6"/>
                <w:sz w:val="17"/>
                <w:szCs w:val="17"/>
              </w:rPr>
              <w:t>–</w:t>
            </w:r>
            <w:r w:rsidR="00C44E9E" w:rsidRPr="00F6203C">
              <w:rPr>
                <w:rFonts w:ascii="Verdana" w:hAnsi="Verdana"/>
                <w:b/>
                <w:bCs/>
                <w:position w:val="6"/>
                <w:sz w:val="17"/>
                <w:szCs w:val="17"/>
              </w:rPr>
              <w:t xml:space="preserve"> </w:t>
            </w:r>
            <w:r w:rsidRPr="00F6203C">
              <w:rPr>
                <w:rFonts w:ascii="Verdana" w:hAnsi="Verdana"/>
                <w:b/>
                <w:bCs/>
                <w:position w:val="6"/>
                <w:sz w:val="17"/>
                <w:szCs w:val="17"/>
              </w:rPr>
              <w:t>2</w:t>
            </w:r>
            <w:r w:rsidR="00C44E9E" w:rsidRPr="00F6203C">
              <w:rPr>
                <w:rFonts w:ascii="Verdana" w:hAnsi="Verdana"/>
                <w:b/>
                <w:bCs/>
                <w:position w:val="6"/>
                <w:sz w:val="17"/>
                <w:szCs w:val="17"/>
              </w:rPr>
              <w:t>2</w:t>
            </w:r>
            <w:r w:rsidRPr="00F6203C">
              <w:rPr>
                <w:rFonts w:ascii="Verdana" w:hAnsi="Verdana"/>
                <w:b/>
                <w:bCs/>
                <w:position w:val="6"/>
                <w:sz w:val="17"/>
                <w:szCs w:val="17"/>
              </w:rPr>
              <w:t xml:space="preserve"> de noviembre de 201</w:t>
            </w:r>
            <w:r w:rsidR="00C44E9E" w:rsidRPr="00F6203C">
              <w:rPr>
                <w:rFonts w:ascii="Verdana" w:hAnsi="Verdana"/>
                <w:b/>
                <w:bCs/>
                <w:position w:val="6"/>
                <w:sz w:val="17"/>
                <w:szCs w:val="17"/>
              </w:rPr>
              <w:t>9</w:t>
            </w:r>
          </w:p>
        </w:tc>
        <w:tc>
          <w:tcPr>
            <w:tcW w:w="3227" w:type="dxa"/>
          </w:tcPr>
          <w:p w14:paraId="304BB8DD" w14:textId="77777777" w:rsidR="0090121B" w:rsidRPr="00F6203C" w:rsidRDefault="00DA71A3" w:rsidP="00CE7431">
            <w:pPr>
              <w:spacing w:before="0" w:line="240" w:lineRule="atLeast"/>
              <w:jc w:val="right"/>
            </w:pPr>
            <w:bookmarkStart w:id="0" w:name="ditulogo"/>
            <w:bookmarkEnd w:id="0"/>
            <w:r w:rsidRPr="00F6203C">
              <w:rPr>
                <w:rFonts w:ascii="Verdana" w:hAnsi="Verdana"/>
                <w:b/>
                <w:bCs/>
                <w:noProof/>
                <w:szCs w:val="24"/>
                <w:lang w:eastAsia="zh-CN"/>
              </w:rPr>
              <w:drawing>
                <wp:inline distT="0" distB="0" distL="0" distR="0" wp14:anchorId="7C1C77CE" wp14:editId="6B2D2487">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F6203C" w14:paraId="0D3466E6" w14:textId="77777777" w:rsidTr="00FC207A">
        <w:trPr>
          <w:cantSplit/>
        </w:trPr>
        <w:tc>
          <w:tcPr>
            <w:tcW w:w="6804" w:type="dxa"/>
            <w:tcBorders>
              <w:bottom w:val="single" w:sz="12" w:space="0" w:color="auto"/>
            </w:tcBorders>
          </w:tcPr>
          <w:p w14:paraId="65E92F6E" w14:textId="77777777" w:rsidR="0090121B" w:rsidRPr="00F6203C"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3DCD6F52" w14:textId="77777777" w:rsidR="0090121B" w:rsidRPr="00F6203C" w:rsidRDefault="0090121B" w:rsidP="0090121B">
            <w:pPr>
              <w:spacing w:before="0" w:line="240" w:lineRule="atLeast"/>
              <w:rPr>
                <w:rFonts w:ascii="Verdana" w:hAnsi="Verdana"/>
                <w:szCs w:val="24"/>
              </w:rPr>
            </w:pPr>
          </w:p>
        </w:tc>
      </w:tr>
      <w:tr w:rsidR="0090121B" w:rsidRPr="00F6203C" w14:paraId="32FA8A2A" w14:textId="77777777" w:rsidTr="00FC207A">
        <w:trPr>
          <w:cantSplit/>
        </w:trPr>
        <w:tc>
          <w:tcPr>
            <w:tcW w:w="6804" w:type="dxa"/>
            <w:tcBorders>
              <w:top w:val="single" w:sz="12" w:space="0" w:color="auto"/>
            </w:tcBorders>
          </w:tcPr>
          <w:p w14:paraId="2E5C2B52" w14:textId="77777777" w:rsidR="0090121B" w:rsidRPr="00F6203C"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20F6B13F" w14:textId="77777777" w:rsidR="0090121B" w:rsidRPr="00F6203C" w:rsidRDefault="0090121B" w:rsidP="0090121B">
            <w:pPr>
              <w:spacing w:before="0" w:line="240" w:lineRule="atLeast"/>
              <w:rPr>
                <w:rFonts w:ascii="Verdana" w:hAnsi="Verdana"/>
                <w:sz w:val="20"/>
              </w:rPr>
            </w:pPr>
          </w:p>
        </w:tc>
      </w:tr>
      <w:tr w:rsidR="0090121B" w:rsidRPr="00F6203C" w14:paraId="0CF4CD89" w14:textId="77777777" w:rsidTr="00FC207A">
        <w:trPr>
          <w:cantSplit/>
        </w:trPr>
        <w:tc>
          <w:tcPr>
            <w:tcW w:w="6804" w:type="dxa"/>
          </w:tcPr>
          <w:p w14:paraId="509343A6" w14:textId="77777777" w:rsidR="0090121B" w:rsidRPr="00F6203C" w:rsidRDefault="001E7D42" w:rsidP="00EA77F0">
            <w:pPr>
              <w:pStyle w:val="Committee"/>
              <w:framePr w:hSpace="0" w:wrap="auto" w:hAnchor="text" w:yAlign="inline"/>
              <w:rPr>
                <w:lang w:val="es-ES_tradnl"/>
              </w:rPr>
            </w:pPr>
            <w:r w:rsidRPr="00F6203C">
              <w:rPr>
                <w:lang w:val="es-ES_tradnl"/>
              </w:rPr>
              <w:t>SESIÓN PLENARIA</w:t>
            </w:r>
          </w:p>
        </w:tc>
        <w:tc>
          <w:tcPr>
            <w:tcW w:w="3227" w:type="dxa"/>
          </w:tcPr>
          <w:p w14:paraId="3C9721B4" w14:textId="77777777" w:rsidR="0090121B" w:rsidRPr="00F6203C" w:rsidRDefault="00AE658F" w:rsidP="0045384C">
            <w:pPr>
              <w:spacing w:before="0"/>
              <w:rPr>
                <w:rFonts w:ascii="Verdana" w:hAnsi="Verdana"/>
                <w:sz w:val="20"/>
              </w:rPr>
            </w:pPr>
            <w:r w:rsidRPr="00F6203C">
              <w:rPr>
                <w:rFonts w:ascii="Verdana" w:hAnsi="Verdana"/>
                <w:b/>
                <w:sz w:val="20"/>
              </w:rPr>
              <w:t>Addéndum 3 al</w:t>
            </w:r>
            <w:r w:rsidRPr="00F6203C">
              <w:rPr>
                <w:rFonts w:ascii="Verdana" w:hAnsi="Verdana"/>
                <w:b/>
                <w:sz w:val="20"/>
              </w:rPr>
              <w:br/>
              <w:t>Documento 11(Add.19)(Add.3)</w:t>
            </w:r>
            <w:r w:rsidR="0090121B" w:rsidRPr="00F6203C">
              <w:rPr>
                <w:rFonts w:ascii="Verdana" w:hAnsi="Verdana"/>
                <w:b/>
                <w:sz w:val="20"/>
              </w:rPr>
              <w:t>-</w:t>
            </w:r>
            <w:r w:rsidRPr="00F6203C">
              <w:rPr>
                <w:rFonts w:ascii="Verdana" w:hAnsi="Verdana"/>
                <w:b/>
                <w:sz w:val="20"/>
              </w:rPr>
              <w:t>S</w:t>
            </w:r>
          </w:p>
        </w:tc>
      </w:tr>
      <w:bookmarkEnd w:id="1"/>
      <w:tr w:rsidR="000A5B9A" w:rsidRPr="00F6203C" w14:paraId="47891D74" w14:textId="77777777" w:rsidTr="00FC207A">
        <w:trPr>
          <w:cantSplit/>
        </w:trPr>
        <w:tc>
          <w:tcPr>
            <w:tcW w:w="6804" w:type="dxa"/>
          </w:tcPr>
          <w:p w14:paraId="267DBDC3" w14:textId="77777777" w:rsidR="000A5B9A" w:rsidRPr="00F6203C" w:rsidRDefault="000A5B9A" w:rsidP="0045384C">
            <w:pPr>
              <w:spacing w:before="0" w:after="48"/>
              <w:rPr>
                <w:rFonts w:ascii="Verdana" w:hAnsi="Verdana"/>
                <w:b/>
                <w:smallCaps/>
                <w:sz w:val="20"/>
              </w:rPr>
            </w:pPr>
          </w:p>
        </w:tc>
        <w:tc>
          <w:tcPr>
            <w:tcW w:w="3227" w:type="dxa"/>
          </w:tcPr>
          <w:p w14:paraId="40E5B622" w14:textId="77777777" w:rsidR="000A5B9A" w:rsidRPr="00F6203C" w:rsidRDefault="000A5B9A" w:rsidP="0045384C">
            <w:pPr>
              <w:spacing w:before="0"/>
              <w:rPr>
                <w:rFonts w:ascii="Verdana" w:hAnsi="Verdana"/>
                <w:b/>
                <w:sz w:val="20"/>
              </w:rPr>
            </w:pPr>
            <w:r w:rsidRPr="00F6203C">
              <w:rPr>
                <w:rFonts w:ascii="Verdana" w:hAnsi="Verdana"/>
                <w:b/>
                <w:sz w:val="20"/>
              </w:rPr>
              <w:t>13 de septiembre de 2019</w:t>
            </w:r>
          </w:p>
        </w:tc>
      </w:tr>
      <w:tr w:rsidR="000A5B9A" w:rsidRPr="00F6203C" w14:paraId="3CA74899" w14:textId="77777777" w:rsidTr="00FC207A">
        <w:trPr>
          <w:cantSplit/>
        </w:trPr>
        <w:tc>
          <w:tcPr>
            <w:tcW w:w="6804" w:type="dxa"/>
          </w:tcPr>
          <w:p w14:paraId="723BC294" w14:textId="77777777" w:rsidR="000A5B9A" w:rsidRPr="00F6203C" w:rsidRDefault="000A5B9A" w:rsidP="0045384C">
            <w:pPr>
              <w:spacing w:before="0" w:after="48"/>
              <w:rPr>
                <w:rFonts w:ascii="Verdana" w:hAnsi="Verdana"/>
                <w:b/>
                <w:smallCaps/>
                <w:sz w:val="20"/>
              </w:rPr>
            </w:pPr>
          </w:p>
        </w:tc>
        <w:tc>
          <w:tcPr>
            <w:tcW w:w="3227" w:type="dxa"/>
          </w:tcPr>
          <w:p w14:paraId="79A4A6FE" w14:textId="77777777" w:rsidR="000A5B9A" w:rsidRPr="00F6203C" w:rsidRDefault="000A5B9A" w:rsidP="0045384C">
            <w:pPr>
              <w:spacing w:before="0"/>
              <w:rPr>
                <w:rFonts w:ascii="Verdana" w:hAnsi="Verdana"/>
                <w:b/>
                <w:sz w:val="20"/>
              </w:rPr>
            </w:pPr>
            <w:r w:rsidRPr="00F6203C">
              <w:rPr>
                <w:rFonts w:ascii="Verdana" w:hAnsi="Verdana"/>
                <w:b/>
                <w:sz w:val="20"/>
              </w:rPr>
              <w:t>Original: inglés</w:t>
            </w:r>
            <w:r w:rsidR="00665263" w:rsidRPr="00F6203C">
              <w:rPr>
                <w:rFonts w:ascii="Verdana" w:hAnsi="Verdana"/>
                <w:b/>
                <w:sz w:val="20"/>
              </w:rPr>
              <w:t>/español</w:t>
            </w:r>
          </w:p>
        </w:tc>
      </w:tr>
      <w:tr w:rsidR="000A5B9A" w:rsidRPr="00F6203C" w14:paraId="1CB5E476" w14:textId="77777777" w:rsidTr="006744FC">
        <w:trPr>
          <w:cantSplit/>
        </w:trPr>
        <w:tc>
          <w:tcPr>
            <w:tcW w:w="10031" w:type="dxa"/>
            <w:gridSpan w:val="2"/>
          </w:tcPr>
          <w:p w14:paraId="7898E5D4" w14:textId="77777777" w:rsidR="000A5B9A" w:rsidRPr="00F6203C" w:rsidRDefault="000A5B9A" w:rsidP="0045384C">
            <w:pPr>
              <w:spacing w:before="0"/>
              <w:rPr>
                <w:rFonts w:ascii="Verdana" w:hAnsi="Verdana"/>
                <w:b/>
                <w:sz w:val="20"/>
              </w:rPr>
            </w:pPr>
          </w:p>
        </w:tc>
      </w:tr>
      <w:tr w:rsidR="000A5B9A" w:rsidRPr="00F6203C" w14:paraId="6C17EE7F" w14:textId="77777777" w:rsidTr="0050008E">
        <w:trPr>
          <w:cantSplit/>
        </w:trPr>
        <w:tc>
          <w:tcPr>
            <w:tcW w:w="10031" w:type="dxa"/>
            <w:gridSpan w:val="2"/>
          </w:tcPr>
          <w:p w14:paraId="090A52D2" w14:textId="77777777" w:rsidR="000A5B9A" w:rsidRPr="00F6203C" w:rsidRDefault="000A5B9A" w:rsidP="000A5B9A">
            <w:pPr>
              <w:pStyle w:val="Source"/>
            </w:pPr>
            <w:bookmarkStart w:id="2" w:name="dsource" w:colFirst="0" w:colLast="0"/>
            <w:r w:rsidRPr="00F6203C">
              <w:t>Estados Miembros de la Comisión Interamericana de Telecomunicaciones (CITEL)</w:t>
            </w:r>
          </w:p>
        </w:tc>
      </w:tr>
      <w:tr w:rsidR="000A5B9A" w:rsidRPr="00F6203C" w14:paraId="4DA41872" w14:textId="77777777" w:rsidTr="0050008E">
        <w:trPr>
          <w:cantSplit/>
        </w:trPr>
        <w:tc>
          <w:tcPr>
            <w:tcW w:w="10031" w:type="dxa"/>
            <w:gridSpan w:val="2"/>
          </w:tcPr>
          <w:p w14:paraId="6D255E6B" w14:textId="77777777" w:rsidR="000A5B9A" w:rsidRPr="00F6203C" w:rsidRDefault="00665263" w:rsidP="000A5B9A">
            <w:pPr>
              <w:pStyle w:val="Title1"/>
            </w:pPr>
            <w:bookmarkStart w:id="3" w:name="dtitle1" w:colFirst="0" w:colLast="0"/>
            <w:bookmarkEnd w:id="2"/>
            <w:r w:rsidRPr="00F6203C">
              <w:t>Propuestas para los trabajos de la Conferencia</w:t>
            </w:r>
          </w:p>
        </w:tc>
      </w:tr>
      <w:tr w:rsidR="000A5B9A" w:rsidRPr="00F6203C" w14:paraId="699D7EAE" w14:textId="77777777" w:rsidTr="0050008E">
        <w:trPr>
          <w:cantSplit/>
        </w:trPr>
        <w:tc>
          <w:tcPr>
            <w:tcW w:w="10031" w:type="dxa"/>
            <w:gridSpan w:val="2"/>
          </w:tcPr>
          <w:p w14:paraId="2B4AA4B5" w14:textId="77777777" w:rsidR="000A5B9A" w:rsidRPr="00F6203C" w:rsidRDefault="000A5B9A" w:rsidP="000A5B9A">
            <w:pPr>
              <w:pStyle w:val="Title2"/>
            </w:pPr>
            <w:bookmarkStart w:id="4" w:name="dtitle2" w:colFirst="0" w:colLast="0"/>
            <w:bookmarkEnd w:id="3"/>
          </w:p>
        </w:tc>
      </w:tr>
      <w:tr w:rsidR="000A5B9A" w:rsidRPr="00F6203C" w14:paraId="77BDA0F9" w14:textId="77777777" w:rsidTr="0050008E">
        <w:trPr>
          <w:cantSplit/>
        </w:trPr>
        <w:tc>
          <w:tcPr>
            <w:tcW w:w="10031" w:type="dxa"/>
            <w:gridSpan w:val="2"/>
          </w:tcPr>
          <w:p w14:paraId="5A11CBA0" w14:textId="77777777" w:rsidR="000A5B9A" w:rsidRPr="00F6203C" w:rsidRDefault="000A5B9A" w:rsidP="000A5B9A">
            <w:pPr>
              <w:pStyle w:val="Agendaitem"/>
            </w:pPr>
            <w:bookmarkStart w:id="5" w:name="dtitle3" w:colFirst="0" w:colLast="0"/>
            <w:bookmarkEnd w:id="4"/>
            <w:r w:rsidRPr="00F6203C">
              <w:t>Punto 7(C) del orden del día</w:t>
            </w:r>
          </w:p>
        </w:tc>
      </w:tr>
    </w:tbl>
    <w:bookmarkEnd w:id="5"/>
    <w:p w14:paraId="40D56738" w14:textId="77777777" w:rsidR="001C0E40" w:rsidRPr="00F6203C" w:rsidRDefault="007A11FB" w:rsidP="003A37B0">
      <w:r w:rsidRPr="00F6203C">
        <w:t>7</w:t>
      </w:r>
      <w:r w:rsidRPr="00F6203C">
        <w:tab/>
        <w:t xml:space="preserve">considerar posibles modificaciones y otras opciones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F6203C">
        <w:rPr>
          <w:b/>
          <w:bCs/>
        </w:rPr>
        <w:t>86 (Rev.CMR-07</w:t>
      </w:r>
      <w:r w:rsidRPr="00F6203C">
        <w:rPr>
          <w:b/>
        </w:rPr>
        <w:t xml:space="preserve">) </w:t>
      </w:r>
      <w:r w:rsidRPr="00F6203C">
        <w:rPr>
          <w:bCs/>
        </w:rPr>
        <w:t>para facilitar el uso racional, eficiente y económico de las radiofrecuencias y órbitas asociadas, incluida la órbita de los satélites geoestacionarios</w:t>
      </w:r>
      <w:r w:rsidRPr="00F6203C">
        <w:t>;</w:t>
      </w:r>
    </w:p>
    <w:p w14:paraId="55E5A56F" w14:textId="77777777" w:rsidR="001C0E40" w:rsidRPr="00F6203C" w:rsidRDefault="007A11FB" w:rsidP="00A02958">
      <w:r w:rsidRPr="00F6203C">
        <w:t>7(C)</w:t>
      </w:r>
      <w:r w:rsidRPr="00F6203C">
        <w:tab/>
        <w:t>Tema C – Temas sobre los que ya se ha alcanzado un consenso en el UIT-R y para los que se ha identificado un método único</w:t>
      </w:r>
    </w:p>
    <w:p w14:paraId="66088836" w14:textId="599D946D" w:rsidR="00665263" w:rsidRPr="00F6203C" w:rsidRDefault="00665263" w:rsidP="00665263">
      <w:r w:rsidRPr="00F6203C">
        <w:t xml:space="preserve">El Tema C engloba una serie de cuestiones consideradas sencillas, respecto de las cuales el UIT-R logró fácilmente un consenso y definió un único método. </w:t>
      </w:r>
      <w:r w:rsidR="00E3638A" w:rsidRPr="00F6203C">
        <w:t>Dichas cuestiones guardan relación con la resolución de incoherencias en las disposiciones reglamentarias, la aclaración de ciertas prácticas existentes o el aumento de la transparencia del proceso normativo, entre otros asuntos.</w:t>
      </w:r>
    </w:p>
    <w:p w14:paraId="705E673E" w14:textId="494400A2" w:rsidR="00665263" w:rsidRPr="00F6203C" w:rsidRDefault="009F5D5E" w:rsidP="007D5BA9">
      <w:pPr>
        <w:pStyle w:val="Title4"/>
      </w:pPr>
      <w:r w:rsidRPr="00F6203C">
        <w:t xml:space="preserve">TEMA </w:t>
      </w:r>
      <w:r w:rsidR="00665263" w:rsidRPr="00F6203C">
        <w:t>C3</w:t>
      </w:r>
    </w:p>
    <w:p w14:paraId="70AB9761" w14:textId="72C3E228" w:rsidR="00665263" w:rsidRPr="00F6203C" w:rsidRDefault="00E3638A" w:rsidP="00665263">
      <w:r w:rsidRPr="00F6203C">
        <w:t>El Tema C3 guarda relación con las consecuencias de no responder a las cartas que la Oficina envía a raíz de las solicitudes de asistencia de las administraciones notificantes que solicitan la inclusión del territorio de una administración extranjera conforme a lo estipulado en el § 6.6 del Apéndice </w:t>
      </w:r>
      <w:r w:rsidRPr="00F6203C">
        <w:rPr>
          <w:b/>
          <w:bCs/>
        </w:rPr>
        <w:t>30B</w:t>
      </w:r>
      <w:r w:rsidRPr="00F6203C">
        <w:t xml:space="preserve"> del RR.</w:t>
      </w:r>
    </w:p>
    <w:p w14:paraId="01DB46C6" w14:textId="76FD6F49" w:rsidR="00665263" w:rsidRPr="00F6203C" w:rsidRDefault="00665263" w:rsidP="004D47FB">
      <w:pPr>
        <w:pStyle w:val="Headingb"/>
      </w:pPr>
      <w:r w:rsidRPr="00F6203C">
        <w:t>Antecedentes</w:t>
      </w:r>
    </w:p>
    <w:p w14:paraId="5436C802" w14:textId="7BA79748" w:rsidR="00665263" w:rsidRPr="00F6203C" w:rsidRDefault="00665263" w:rsidP="00665263">
      <w:r w:rsidRPr="00F6203C">
        <w:t>Las administraciones que pretendan convertir una adjudicación acorde al Apéndice</w:t>
      </w:r>
      <w:r w:rsidRPr="00F6203C">
        <w:rPr>
          <w:b/>
          <w:bCs/>
        </w:rPr>
        <w:t xml:space="preserve"> 30B</w:t>
      </w:r>
      <w:r w:rsidRPr="00F6203C">
        <w:t xml:space="preserve"> del RR en una asignación, introducir un sistema adicional</w:t>
      </w:r>
      <w:r w:rsidR="005A34B1">
        <w:rPr>
          <w:rStyle w:val="FootnoteReference"/>
        </w:rPr>
        <w:footnoteReference w:id="1"/>
      </w:r>
      <w:r w:rsidRPr="00F6203C">
        <w:t xml:space="preserve"> o modificar las características de una asignación inscrita en la lista del Apéndice </w:t>
      </w:r>
      <w:r w:rsidRPr="00F6203C">
        <w:rPr>
          <w:b/>
          <w:bCs/>
        </w:rPr>
        <w:t>30B</w:t>
      </w:r>
      <w:r w:rsidRPr="00F6203C">
        <w:t xml:space="preserve"> del RR deben remitir a la Oficina la información especificada en el Apéndice </w:t>
      </w:r>
      <w:r w:rsidRPr="00F6203C">
        <w:rPr>
          <w:b/>
          <w:bCs/>
        </w:rPr>
        <w:t>4</w:t>
      </w:r>
      <w:r w:rsidRPr="00F6203C">
        <w:t xml:space="preserve"> del RR. </w:t>
      </w:r>
      <w:r w:rsidR="00E3638A" w:rsidRPr="00F6203C">
        <w:t xml:space="preserve">Una vez recibida la notificación, la Oficina la examina y publica en una </w:t>
      </w:r>
      <w:r w:rsidR="00E3638A" w:rsidRPr="00F6203C">
        <w:lastRenderedPageBreak/>
        <w:t>Sección Especial de la BR IFIC. Dicha Sección Especial puede contener, entre otros puntos, dos tipos de requisitos para solicitar y obtener el acuerdo de las administraciones:</w:t>
      </w:r>
    </w:p>
    <w:p w14:paraId="54A3E9C4" w14:textId="77777777" w:rsidR="00665263" w:rsidRPr="00F6203C" w:rsidRDefault="00665263" w:rsidP="004D47FB">
      <w:pPr>
        <w:pStyle w:val="enumlev1"/>
      </w:pPr>
      <w:r w:rsidRPr="00F6203C">
        <w:rPr>
          <w:rtl/>
          <w:cs/>
        </w:rPr>
        <w:t>–</w:t>
      </w:r>
      <w:r w:rsidRPr="00F6203C">
        <w:tab/>
        <w:t xml:space="preserve">cuyas adjudicaciones del Plan del Apéndice </w:t>
      </w:r>
      <w:r w:rsidRPr="00F6203C">
        <w:rPr>
          <w:b/>
          <w:bCs/>
        </w:rPr>
        <w:t>30B</w:t>
      </w:r>
      <w:r w:rsidRPr="00F6203C">
        <w:t xml:space="preserve"> del RR o asignaciones de la Lista del Apéndice </w:t>
      </w:r>
      <w:r w:rsidRPr="00F6203C">
        <w:rPr>
          <w:b/>
          <w:bCs/>
        </w:rPr>
        <w:t>30B</w:t>
      </w:r>
      <w:r w:rsidRPr="00F6203C">
        <w:t xml:space="preserve"> del RR o asignaciones que la Oficina haya examinado previamente se consideran afectadas (véase el § 6.5 del Apéndice </w:t>
      </w:r>
      <w:r w:rsidRPr="00F6203C">
        <w:rPr>
          <w:b/>
          <w:bCs/>
        </w:rPr>
        <w:t>30B</w:t>
      </w:r>
      <w:r w:rsidRPr="00F6203C">
        <w:t xml:space="preserve"> del </w:t>
      </w:r>
      <w:proofErr w:type="gramStart"/>
      <w:r w:rsidRPr="00F6203C">
        <w:t>RR),</w:t>
      </w:r>
      <w:proofErr w:type="gramEnd"/>
      <w:r w:rsidRPr="00F6203C">
        <w:t xml:space="preserve"> o</w:t>
      </w:r>
    </w:p>
    <w:p w14:paraId="2F4BEA68" w14:textId="77777777" w:rsidR="00665263" w:rsidRPr="00F6203C" w:rsidRDefault="00665263" w:rsidP="004D47FB">
      <w:pPr>
        <w:pStyle w:val="enumlev1"/>
      </w:pPr>
      <w:r w:rsidRPr="00F6203C">
        <w:rPr>
          <w:rtl/>
          <w:cs/>
        </w:rPr>
        <w:t>–</w:t>
      </w:r>
      <w:r w:rsidRPr="00F6203C">
        <w:tab/>
        <w:t xml:space="preserve">cuyos territorios se hayan incluido en la zona de servicio de la asignación que se examina (véase el § 6.6 del Apéndice </w:t>
      </w:r>
      <w:r w:rsidRPr="00F6203C">
        <w:rPr>
          <w:b/>
          <w:bCs/>
        </w:rPr>
        <w:t>30B</w:t>
      </w:r>
      <w:r w:rsidRPr="00F6203C">
        <w:t xml:space="preserve"> del RR).</w:t>
      </w:r>
    </w:p>
    <w:p w14:paraId="0E6C6855" w14:textId="0582F242" w:rsidR="00665263" w:rsidRPr="00F6203C" w:rsidRDefault="00E3638A" w:rsidP="00665263">
      <w:r w:rsidRPr="00F6203C">
        <w:t xml:space="preserve">Cabe señalar que, de conformidad con el marco normativo en vigor, una de las disposiciones (véase el § 6.13) del Apéndice </w:t>
      </w:r>
      <w:r w:rsidRPr="00F6203C">
        <w:rPr>
          <w:b/>
          <w:bCs/>
        </w:rPr>
        <w:t>30B</w:t>
      </w:r>
      <w:r w:rsidRPr="00F6203C">
        <w:t xml:space="preserve"> del RR permite solicitar la asistencia de la Oficina en lo relativo a los trámites con las administraciones identificas como afectadas en virtud del § 6.5 del Apéndice </w:t>
      </w:r>
      <w:r w:rsidRPr="00F6203C">
        <w:rPr>
          <w:b/>
          <w:bCs/>
        </w:rPr>
        <w:t>30B</w:t>
      </w:r>
      <w:r w:rsidRPr="00F6203C">
        <w:t xml:space="preserve"> del RR que no hayan respondido en el plazo de cuatro meses de que disponen a tal efecto. Si la Oficina no obtiene respuesta a las cartas enviadas con arreglo a los § 6.13, 6.14 y 6.14</w:t>
      </w:r>
      <w:r w:rsidRPr="00F6203C">
        <w:rPr>
          <w:i/>
          <w:iCs/>
        </w:rPr>
        <w:t>bis</w:t>
      </w:r>
      <w:r w:rsidRPr="00F6203C">
        <w:t xml:space="preserve"> del Apéndice </w:t>
      </w:r>
      <w:r w:rsidRPr="00F6203C">
        <w:rPr>
          <w:b/>
          <w:bCs/>
        </w:rPr>
        <w:t>30B</w:t>
      </w:r>
      <w:r w:rsidRPr="00F6203C">
        <w:t xml:space="preserve"> del RR, considera que las correspondientes administraciones identificadas en virtud del § 6.5 del Apéndice </w:t>
      </w:r>
      <w:r w:rsidRPr="00F6203C">
        <w:rPr>
          <w:b/>
          <w:bCs/>
        </w:rPr>
        <w:t>30B</w:t>
      </w:r>
      <w:r w:rsidRPr="00F6203C">
        <w:t xml:space="preserve"> del RR están de acuerdo con la asignación propuesta (véase el § 6.15 del Apéndice </w:t>
      </w:r>
      <w:r w:rsidRPr="00F6203C">
        <w:rPr>
          <w:b/>
          <w:bCs/>
        </w:rPr>
        <w:t>30B</w:t>
      </w:r>
      <w:r w:rsidRPr="00F6203C">
        <w:t xml:space="preserve"> del RR). Sin embargo, ninguna de las disposiciones mencionadas </w:t>
      </w:r>
      <w:r w:rsidRPr="00F6203C">
        <w:rPr>
          <w:i/>
          <w:iCs/>
        </w:rPr>
        <w:t xml:space="preserve">supra </w:t>
      </w:r>
      <w:r w:rsidRPr="00F6203C">
        <w:t xml:space="preserve">(§ 6.13 a 6.15) se aplica en el caso de las administraciones identificas como afectadas en virtud del § 6.6 del Apéndice </w:t>
      </w:r>
      <w:r w:rsidRPr="00F6203C">
        <w:rPr>
          <w:b/>
          <w:bCs/>
        </w:rPr>
        <w:t>30B</w:t>
      </w:r>
      <w:r w:rsidRPr="00F6203C">
        <w:t xml:space="preserve"> del RR. De hecho, el Apéndice </w:t>
      </w:r>
      <w:r w:rsidRPr="00F6203C">
        <w:rPr>
          <w:b/>
          <w:bCs/>
        </w:rPr>
        <w:t>30B</w:t>
      </w:r>
      <w:r w:rsidRPr="00F6203C">
        <w:t xml:space="preserve"> del RR no contiene mecanismo normativo alguno que permita solicitar la asistencia de la Oficina en esas circunstancias. A fin de solicitar la asistencia de la Oficina respecto de cuestiones relacionadas con la inclusión del territorio de una administración, es necesario que la administración notificante, en su solicitud a la Oficina, y la Oficina, en sus cartas ulteriores a las administraciones afectadas, invoquen el número </w:t>
      </w:r>
      <w:r w:rsidRPr="00F6203C">
        <w:rPr>
          <w:b/>
        </w:rPr>
        <w:t>13.1</w:t>
      </w:r>
      <w:r w:rsidRPr="00F6203C">
        <w:t xml:space="preserve"> del RR. En ese sentido, el Reglamento de Radiocomunicaciones en vigor no prevé la adopción de medidas por parte de la Oficina en los casos en que las administraciones no respondan a ninguna de las cartas que les envíe conforme al número </w:t>
      </w:r>
      <w:r w:rsidRPr="00F6203C">
        <w:rPr>
          <w:b/>
        </w:rPr>
        <w:t>13.1</w:t>
      </w:r>
      <w:r w:rsidRPr="00F6203C">
        <w:t xml:space="preserve"> del RR. De lo anterior se infiere que la inclusión del territorio de una administración identificada en virtud del § 6.6 del Apéndice </w:t>
      </w:r>
      <w:r w:rsidRPr="00F6203C">
        <w:rPr>
          <w:b/>
          <w:bCs/>
        </w:rPr>
        <w:t>30B</w:t>
      </w:r>
      <w:r w:rsidRPr="00F6203C">
        <w:t xml:space="preserve"> del RR sólo puede derivar del consentimiento oficial de dicha administración y, en ningún caso, de la falta de respuesta a la solicitud original de inclusión de su territorio ni a ninguna carta posterior de la Oficina en la materia.</w:t>
      </w:r>
    </w:p>
    <w:p w14:paraId="6FEB4278" w14:textId="77777777" w:rsidR="00363A65" w:rsidRPr="00F6203C" w:rsidRDefault="00665263" w:rsidP="002C1A52">
      <w:r w:rsidRPr="00F6203C">
        <w:t xml:space="preserve">Se ha definido un único método para abordar esta cuestión. El método definido consiste en añadir una nueva disposición al Artículo 6 del Apéndice </w:t>
      </w:r>
      <w:r w:rsidRPr="00F6203C">
        <w:rPr>
          <w:b/>
          <w:bCs/>
        </w:rPr>
        <w:t>30B</w:t>
      </w:r>
      <w:r w:rsidRPr="00F6203C">
        <w:t xml:space="preserve"> del RR, a fin de indicar claramente que los § 6.13 a 6.15 del Apéndice </w:t>
      </w:r>
      <w:r w:rsidRPr="00F6203C">
        <w:rPr>
          <w:b/>
          <w:bCs/>
        </w:rPr>
        <w:t>30B</w:t>
      </w:r>
      <w:r w:rsidRPr="00F6203C">
        <w:t xml:space="preserve"> del RR no se aplican en el contexto de los requisitos asociados al § 6.6 del Apéndice </w:t>
      </w:r>
      <w:r w:rsidRPr="00F6203C">
        <w:rPr>
          <w:b/>
          <w:bCs/>
        </w:rPr>
        <w:t>30B</w:t>
      </w:r>
      <w:r w:rsidRPr="00F6203C">
        <w:t xml:space="preserve"> del RR.</w:t>
      </w:r>
    </w:p>
    <w:p w14:paraId="2F61DB46" w14:textId="77777777" w:rsidR="008750A8" w:rsidRPr="00F6203C" w:rsidRDefault="008750A8" w:rsidP="008750A8">
      <w:pPr>
        <w:tabs>
          <w:tab w:val="clear" w:pos="1134"/>
          <w:tab w:val="clear" w:pos="1871"/>
          <w:tab w:val="clear" w:pos="2268"/>
        </w:tabs>
        <w:overflowPunct/>
        <w:autoSpaceDE/>
        <w:autoSpaceDN/>
        <w:adjustRightInd/>
        <w:spacing w:before="0"/>
        <w:textAlignment w:val="auto"/>
      </w:pPr>
      <w:r w:rsidRPr="00F6203C">
        <w:br w:type="page"/>
      </w:r>
    </w:p>
    <w:p w14:paraId="5825D2A3" w14:textId="77777777" w:rsidR="00B063AE" w:rsidRPr="00F6203C" w:rsidRDefault="007A11FB" w:rsidP="00B26B17">
      <w:pPr>
        <w:pStyle w:val="AppendixNo"/>
      </w:pPr>
      <w:r w:rsidRPr="00F6203C">
        <w:lastRenderedPageBreak/>
        <w:t xml:space="preserve">APÉNDICE </w:t>
      </w:r>
      <w:r w:rsidRPr="00F6203C">
        <w:rPr>
          <w:rStyle w:val="href"/>
        </w:rPr>
        <w:t>30B</w:t>
      </w:r>
      <w:r w:rsidRPr="00F6203C">
        <w:t xml:space="preserve"> (Rev</w:t>
      </w:r>
      <w:r w:rsidRPr="00F6203C">
        <w:rPr>
          <w:caps w:val="0"/>
        </w:rPr>
        <w:t>.</w:t>
      </w:r>
      <w:r w:rsidRPr="00F6203C">
        <w:t>CMR</w:t>
      </w:r>
      <w:r w:rsidRPr="00F6203C">
        <w:noBreakHyphen/>
        <w:t>15)</w:t>
      </w:r>
    </w:p>
    <w:p w14:paraId="3E0E989F" w14:textId="77777777" w:rsidR="00B063AE" w:rsidRPr="00F6203C" w:rsidRDefault="007A11FB" w:rsidP="00B063AE">
      <w:pPr>
        <w:pStyle w:val="Appendixtitle"/>
        <w:rPr>
          <w:color w:val="000000"/>
        </w:rPr>
      </w:pPr>
      <w:r w:rsidRPr="00F6203C">
        <w:rPr>
          <w:color w:val="000000"/>
        </w:rPr>
        <w:t>Disposiciones y Plan asociado para el servicio fijo por satélite en</w:t>
      </w:r>
      <w:r w:rsidRPr="00F6203C">
        <w:rPr>
          <w:color w:val="000000"/>
        </w:rPr>
        <w:br/>
        <w:t>las bandas de frecuencias 4 500-4 800 MHz, 6 725-7 025 MHz,</w:t>
      </w:r>
      <w:r w:rsidRPr="00F6203C">
        <w:rPr>
          <w:color w:val="000000"/>
        </w:rPr>
        <w:br/>
        <w:t>10,70-10,95 GHz, 11,20-11,45 GHz y 12,75-13,25 GHz</w:t>
      </w:r>
    </w:p>
    <w:p w14:paraId="5101EAB2" w14:textId="77777777" w:rsidR="00B063AE" w:rsidRPr="00F6203C" w:rsidRDefault="007A11FB" w:rsidP="00B063AE">
      <w:pPr>
        <w:pStyle w:val="AppArtNo"/>
        <w:rPr>
          <w:color w:val="000000"/>
        </w:rPr>
      </w:pPr>
      <w:r w:rsidRPr="00F6203C">
        <w:rPr>
          <w:color w:val="000000"/>
        </w:rPr>
        <w:t>                  </w:t>
      </w:r>
      <w:r w:rsidRPr="00F6203C">
        <w:t>ARTÍCULO 6</w:t>
      </w:r>
      <w:r w:rsidRPr="00F6203C">
        <w:rPr>
          <w:sz w:val="16"/>
          <w:szCs w:val="16"/>
        </w:rPr>
        <w:t>     (Rev.CMR-15)</w:t>
      </w:r>
    </w:p>
    <w:p w14:paraId="51958DD2" w14:textId="77777777" w:rsidR="00B063AE" w:rsidRPr="00F6203C" w:rsidRDefault="007A11FB" w:rsidP="00B063AE">
      <w:pPr>
        <w:pStyle w:val="AppArttitle"/>
        <w:keepNext w:val="0"/>
        <w:keepLines w:val="0"/>
      </w:pPr>
      <w:r w:rsidRPr="00F6203C">
        <w:t>Procedimiento para la conversión de una adjudicación en una asignación,</w:t>
      </w:r>
      <w:r w:rsidRPr="00F6203C">
        <w:br/>
        <w:t>la introducción de un sistema adicional o la modificación</w:t>
      </w:r>
      <w:r w:rsidRPr="00F6203C">
        <w:br/>
        <w:t>de una asignación inscrita en la Lista</w:t>
      </w:r>
      <w:r w:rsidR="00665263" w:rsidRPr="00F6203C">
        <w:rPr>
          <w:rStyle w:val="FootnoteReference"/>
          <w:b w:val="0"/>
          <w:spacing w:val="-2"/>
        </w:rPr>
        <w:t>1,2</w:t>
      </w:r>
      <w:r w:rsidRPr="00F6203C">
        <w:rPr>
          <w:b w:val="0"/>
          <w:bCs/>
          <w:sz w:val="16"/>
        </w:rPr>
        <w:t>     (CMR-15)</w:t>
      </w:r>
    </w:p>
    <w:p w14:paraId="716EA55A" w14:textId="77777777" w:rsidR="00E70CD2" w:rsidRPr="00F6203C" w:rsidRDefault="007A11FB">
      <w:pPr>
        <w:pStyle w:val="Proposal"/>
      </w:pPr>
      <w:r w:rsidRPr="00F6203C">
        <w:t>ADD</w:t>
      </w:r>
      <w:r w:rsidRPr="00F6203C">
        <w:tab/>
        <w:t>IAP/11A19A3A3/1</w:t>
      </w:r>
      <w:r w:rsidRPr="00F6203C">
        <w:rPr>
          <w:vanish/>
          <w:color w:val="7F7F7F" w:themeColor="text1" w:themeTint="80"/>
          <w:vertAlign w:val="superscript"/>
        </w:rPr>
        <w:t>#50069</w:t>
      </w:r>
    </w:p>
    <w:p w14:paraId="3CCA5566" w14:textId="77777777" w:rsidR="00B571EC" w:rsidRPr="00F6203C" w:rsidRDefault="007A11FB" w:rsidP="009F5F4C">
      <w:r w:rsidRPr="00F6203C">
        <w:rPr>
          <w:rStyle w:val="Provsplit"/>
        </w:rPr>
        <w:t>6.15</w:t>
      </w:r>
      <w:r w:rsidRPr="00F6203C">
        <w:rPr>
          <w:rStyle w:val="Provsplit"/>
          <w:i/>
          <w:iCs/>
        </w:rPr>
        <w:t>bis</w:t>
      </w:r>
      <w:r w:rsidRPr="00F6203C">
        <w:rPr>
          <w:rStyle w:val="Provsplit"/>
        </w:rPr>
        <w:tab/>
      </w:r>
      <w:r w:rsidRPr="00F6203C">
        <w:t>Los procedimientos descritos en los § 6.13 a 6.15 no se aplican al acuerdo solicitado en virtud del § 6.6.</w:t>
      </w:r>
      <w:r w:rsidRPr="00F6203C">
        <w:rPr>
          <w:color w:val="000000"/>
          <w:sz w:val="16"/>
          <w:szCs w:val="24"/>
          <w:lang w:eastAsia="fr-FR"/>
        </w:rPr>
        <w:t>     (CMR-19)</w:t>
      </w:r>
    </w:p>
    <w:p w14:paraId="393AEC84" w14:textId="120DD9CE" w:rsidR="00C4314B" w:rsidRPr="00F6203C" w:rsidRDefault="007A11FB" w:rsidP="0032202E">
      <w:pPr>
        <w:pStyle w:val="Reasons"/>
      </w:pPr>
      <w:r w:rsidRPr="00F6203C">
        <w:rPr>
          <w:b/>
        </w:rPr>
        <w:t>Motivos:</w:t>
      </w:r>
      <w:r w:rsidRPr="00F6203C">
        <w:tab/>
      </w:r>
      <w:r w:rsidR="00665263" w:rsidRPr="00F6203C">
        <w:t xml:space="preserve">Se requiere la modificación para indicar claramente que una administración identificada bajo el § 6.6 del Apéndice </w:t>
      </w:r>
      <w:r w:rsidR="00665263" w:rsidRPr="00F6203C">
        <w:rPr>
          <w:b/>
        </w:rPr>
        <w:t>30B</w:t>
      </w:r>
      <w:r w:rsidR="00665263" w:rsidRPr="00F6203C">
        <w:t xml:space="preserve"> no está sujeta a los §</w:t>
      </w:r>
      <w:r w:rsidR="002C1FBB">
        <w:t xml:space="preserve"> </w:t>
      </w:r>
      <w:r w:rsidR="00665263" w:rsidRPr="00F6203C">
        <w:t xml:space="preserve">6.13 a 6.15 del Apéndice </w:t>
      </w:r>
      <w:r w:rsidR="00665263" w:rsidRPr="00F6203C">
        <w:rPr>
          <w:b/>
        </w:rPr>
        <w:t>30B</w:t>
      </w:r>
      <w:r w:rsidR="00665263" w:rsidRPr="00F6203C">
        <w:t>.</w:t>
      </w:r>
    </w:p>
    <w:p w14:paraId="291E4E40" w14:textId="77777777" w:rsidR="000B578A" w:rsidRPr="00F6203C" w:rsidRDefault="000B578A" w:rsidP="000B578A"/>
    <w:p w14:paraId="24906237" w14:textId="77777777" w:rsidR="00C4314B" w:rsidRPr="00F6203C" w:rsidRDefault="00C4314B">
      <w:pPr>
        <w:jc w:val="center"/>
      </w:pPr>
      <w:r w:rsidRPr="00F6203C">
        <w:t>______________</w:t>
      </w:r>
      <w:bookmarkStart w:id="6" w:name="_GoBack"/>
      <w:bookmarkEnd w:id="6"/>
    </w:p>
    <w:sectPr w:rsidR="00C4314B" w:rsidRPr="00F6203C">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226BD" w14:textId="77777777" w:rsidR="00FD03C4" w:rsidRDefault="00FD03C4">
      <w:r>
        <w:separator/>
      </w:r>
    </w:p>
  </w:endnote>
  <w:endnote w:type="continuationSeparator" w:id="0">
    <w:p w14:paraId="7EB9FA85"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9EC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DC5145" w14:textId="45BCEBFB"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26B17">
      <w:rPr>
        <w:noProof/>
      </w:rPr>
      <w:t>26.09.19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C3100" w14:textId="77777777" w:rsidR="0077084A" w:rsidRDefault="00C4314B" w:rsidP="00C4314B">
    <w:pPr>
      <w:pStyle w:val="Footer"/>
      <w:rPr>
        <w:lang w:val="en-US"/>
      </w:rPr>
    </w:pPr>
    <w:r>
      <w:fldChar w:fldCharType="begin"/>
    </w:r>
    <w:r w:rsidRPr="00C4314B">
      <w:rPr>
        <w:lang w:val="en-US"/>
      </w:rPr>
      <w:instrText xml:space="preserve"> FILENAME \p  \* MERGEFORMAT </w:instrText>
    </w:r>
    <w:r>
      <w:fldChar w:fldCharType="separate"/>
    </w:r>
    <w:r w:rsidRPr="00C4314B">
      <w:rPr>
        <w:lang w:val="en-US"/>
      </w:rPr>
      <w:t>P:\ESP\ITU-R\CONF-R\CMR19\000\011ADD19ADD03ADD03S.docx</w:t>
    </w:r>
    <w:r>
      <w:fldChar w:fldCharType="end"/>
    </w:r>
    <w:r w:rsidRPr="00C4314B">
      <w:rPr>
        <w:lang w:val="en-US"/>
      </w:rPr>
      <w:t xml:space="preserve"> (460803)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93288" w14:textId="77777777" w:rsidR="0077084A" w:rsidRPr="00C4314B" w:rsidRDefault="00C4314B" w:rsidP="00C4314B">
    <w:pPr>
      <w:pStyle w:val="Footer"/>
      <w:rPr>
        <w:sz w:val="14"/>
        <w:lang w:val="en-US"/>
      </w:rPr>
    </w:pPr>
    <w:r>
      <w:fldChar w:fldCharType="begin"/>
    </w:r>
    <w:r w:rsidRPr="00C4314B">
      <w:rPr>
        <w:lang w:val="en-US"/>
      </w:rPr>
      <w:instrText xml:space="preserve"> FILENAME \p  \* MERGEFORMAT </w:instrText>
    </w:r>
    <w:r>
      <w:fldChar w:fldCharType="separate"/>
    </w:r>
    <w:r w:rsidRPr="00C4314B">
      <w:rPr>
        <w:lang w:val="en-US"/>
      </w:rPr>
      <w:t>P:\ESP\ITU-R\CONF-R\CMR19\000\011ADD19ADD03ADD03S.docx</w:t>
    </w:r>
    <w:r>
      <w:fldChar w:fldCharType="end"/>
    </w:r>
    <w:r w:rsidRPr="00C4314B">
      <w:rPr>
        <w:lang w:val="en-US"/>
      </w:rPr>
      <w:t xml:space="preserve"> (460803)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F3146" w14:textId="77777777" w:rsidR="00FD03C4" w:rsidRDefault="00FD03C4">
      <w:r>
        <w:rPr>
          <w:b/>
        </w:rPr>
        <w:t>_______________</w:t>
      </w:r>
    </w:p>
  </w:footnote>
  <w:footnote w:type="continuationSeparator" w:id="0">
    <w:p w14:paraId="54A9B3F1" w14:textId="77777777" w:rsidR="00FD03C4" w:rsidRDefault="00FD03C4">
      <w:r>
        <w:continuationSeparator/>
      </w:r>
    </w:p>
  </w:footnote>
  <w:footnote w:id="1">
    <w:p w14:paraId="6763A5F5" w14:textId="28F35D95" w:rsidR="005A34B1" w:rsidRPr="005A34B1" w:rsidRDefault="005A34B1">
      <w:pPr>
        <w:pStyle w:val="FootnoteText"/>
        <w:rPr>
          <w:lang w:val="es-ES"/>
        </w:rPr>
      </w:pPr>
      <w:r>
        <w:rPr>
          <w:rStyle w:val="FootnoteReference"/>
        </w:rPr>
        <w:footnoteRef/>
      </w:r>
      <w:r>
        <w:tab/>
      </w:r>
      <w:r w:rsidRPr="008C3E1F">
        <w:rPr>
          <w:lang w:val="es-US"/>
        </w:rPr>
        <w:t xml:space="preserve">Véase § 2.6 del Apéndice </w:t>
      </w:r>
      <w:r w:rsidRPr="008C3E1F">
        <w:rPr>
          <w:b/>
          <w:lang w:val="es-US"/>
        </w:rPr>
        <w:t>30B</w:t>
      </w:r>
      <w:r w:rsidRPr="008C3E1F">
        <w:rPr>
          <w:lang w:val="es-US"/>
        </w:rPr>
        <w:t xml:space="preserve"> del RR.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860E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A1AB5F1" w14:textId="77777777" w:rsidR="0077084A" w:rsidRDefault="008750A8" w:rsidP="00C44E9E">
    <w:pPr>
      <w:pStyle w:val="Header"/>
      <w:rPr>
        <w:lang w:val="en-US"/>
      </w:rPr>
    </w:pPr>
    <w:r>
      <w:rPr>
        <w:lang w:val="en-US"/>
      </w:rPr>
      <w:t>CMR1</w:t>
    </w:r>
    <w:r w:rsidR="00C44E9E">
      <w:rPr>
        <w:lang w:val="en-US"/>
      </w:rPr>
      <w:t>9</w:t>
    </w:r>
    <w:r>
      <w:rPr>
        <w:lang w:val="en-US"/>
      </w:rPr>
      <w:t>/</w:t>
    </w:r>
    <w:r w:rsidR="00702F3D">
      <w:t>11(Add.</w:t>
    </w:r>
    <w:proofErr w:type="gramStart"/>
    <w:r w:rsidR="00702F3D">
      <w:t>19)(</w:t>
    </w:r>
    <w:proofErr w:type="gramEnd"/>
    <w:r w:rsidR="00702F3D">
      <w:t>Add.3)(Add.3)-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109"/>
    <w:rsid w:val="000A5B9A"/>
    <w:rsid w:val="000B578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D2A"/>
    <w:rsid w:val="0024569E"/>
    <w:rsid w:val="00255F12"/>
    <w:rsid w:val="00262C09"/>
    <w:rsid w:val="002A791F"/>
    <w:rsid w:val="002C1A52"/>
    <w:rsid w:val="002C1B26"/>
    <w:rsid w:val="002C1FBB"/>
    <w:rsid w:val="002C5D6C"/>
    <w:rsid w:val="002E701F"/>
    <w:rsid w:val="003248A9"/>
    <w:rsid w:val="00324FFA"/>
    <w:rsid w:val="0032680B"/>
    <w:rsid w:val="00363A65"/>
    <w:rsid w:val="003B1E8C"/>
    <w:rsid w:val="003C2508"/>
    <w:rsid w:val="003D0AA3"/>
    <w:rsid w:val="003E2086"/>
    <w:rsid w:val="003F7F66"/>
    <w:rsid w:val="00440B3A"/>
    <w:rsid w:val="0044375A"/>
    <w:rsid w:val="0045384C"/>
    <w:rsid w:val="00454553"/>
    <w:rsid w:val="00472A86"/>
    <w:rsid w:val="004B124A"/>
    <w:rsid w:val="004B3095"/>
    <w:rsid w:val="004D2C7C"/>
    <w:rsid w:val="004D40AD"/>
    <w:rsid w:val="004D47FB"/>
    <w:rsid w:val="005133B5"/>
    <w:rsid w:val="00524392"/>
    <w:rsid w:val="00532097"/>
    <w:rsid w:val="00571CE0"/>
    <w:rsid w:val="0058350F"/>
    <w:rsid w:val="00583C7E"/>
    <w:rsid w:val="0059098E"/>
    <w:rsid w:val="005A34B1"/>
    <w:rsid w:val="005D46FB"/>
    <w:rsid w:val="005F2605"/>
    <w:rsid w:val="005F3B0E"/>
    <w:rsid w:val="005F559C"/>
    <w:rsid w:val="00602857"/>
    <w:rsid w:val="006124AD"/>
    <w:rsid w:val="00624009"/>
    <w:rsid w:val="00662BA0"/>
    <w:rsid w:val="00665263"/>
    <w:rsid w:val="0067344B"/>
    <w:rsid w:val="00684A94"/>
    <w:rsid w:val="00692AAE"/>
    <w:rsid w:val="006C0E38"/>
    <w:rsid w:val="006D6E67"/>
    <w:rsid w:val="006E1A13"/>
    <w:rsid w:val="00701C20"/>
    <w:rsid w:val="00702F3D"/>
    <w:rsid w:val="0070518E"/>
    <w:rsid w:val="007354E9"/>
    <w:rsid w:val="0074579D"/>
    <w:rsid w:val="00765578"/>
    <w:rsid w:val="00766333"/>
    <w:rsid w:val="0077084A"/>
    <w:rsid w:val="007952C7"/>
    <w:rsid w:val="007A11FB"/>
    <w:rsid w:val="007C0B95"/>
    <w:rsid w:val="007C2317"/>
    <w:rsid w:val="007D330A"/>
    <w:rsid w:val="007D5BA9"/>
    <w:rsid w:val="00866AE6"/>
    <w:rsid w:val="008750A8"/>
    <w:rsid w:val="008E5AF2"/>
    <w:rsid w:val="0090121B"/>
    <w:rsid w:val="009144C9"/>
    <w:rsid w:val="0094091F"/>
    <w:rsid w:val="00962171"/>
    <w:rsid w:val="00973754"/>
    <w:rsid w:val="009C0BED"/>
    <w:rsid w:val="009E11EC"/>
    <w:rsid w:val="009F5D5E"/>
    <w:rsid w:val="00A021CC"/>
    <w:rsid w:val="00A118DB"/>
    <w:rsid w:val="00A4450C"/>
    <w:rsid w:val="00AA5E6C"/>
    <w:rsid w:val="00AE5677"/>
    <w:rsid w:val="00AE658F"/>
    <w:rsid w:val="00AF2F78"/>
    <w:rsid w:val="00B239FA"/>
    <w:rsid w:val="00B26B17"/>
    <w:rsid w:val="00B47331"/>
    <w:rsid w:val="00B52D55"/>
    <w:rsid w:val="00B8288C"/>
    <w:rsid w:val="00B86034"/>
    <w:rsid w:val="00BB2B23"/>
    <w:rsid w:val="00BE2E80"/>
    <w:rsid w:val="00BE5EDD"/>
    <w:rsid w:val="00BE6A1F"/>
    <w:rsid w:val="00C126C4"/>
    <w:rsid w:val="00C4314B"/>
    <w:rsid w:val="00C44E9E"/>
    <w:rsid w:val="00C63EB5"/>
    <w:rsid w:val="00C87DA7"/>
    <w:rsid w:val="00CC01E0"/>
    <w:rsid w:val="00CD5FEE"/>
    <w:rsid w:val="00CE60D2"/>
    <w:rsid w:val="00CE7431"/>
    <w:rsid w:val="00D0288A"/>
    <w:rsid w:val="00D72A5D"/>
    <w:rsid w:val="00DA71A3"/>
    <w:rsid w:val="00DC629B"/>
    <w:rsid w:val="00DE1C31"/>
    <w:rsid w:val="00E05BFF"/>
    <w:rsid w:val="00E262F1"/>
    <w:rsid w:val="00E3176A"/>
    <w:rsid w:val="00E3638A"/>
    <w:rsid w:val="00E54754"/>
    <w:rsid w:val="00E56BD3"/>
    <w:rsid w:val="00E70CD2"/>
    <w:rsid w:val="00E71D14"/>
    <w:rsid w:val="00EA77F0"/>
    <w:rsid w:val="00F32316"/>
    <w:rsid w:val="00F60F58"/>
    <w:rsid w:val="00F6203C"/>
    <w:rsid w:val="00F66597"/>
    <w:rsid w:val="00F675D0"/>
    <w:rsid w:val="00F75EB6"/>
    <w:rsid w:val="00F8150C"/>
    <w:rsid w:val="00FC207A"/>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27F35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R16-WRC19-C-0011!A19-A3-A3!MSW-S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4B71A-17CC-4544-88EF-2AF7D7CB0B20}">
  <ds:schemaRefs>
    <ds:schemaRef ds:uri="http://schemas.microsoft.com/sharepoint/v3/contenttype/forms"/>
  </ds:schemaRefs>
</ds:datastoreItem>
</file>

<file path=customXml/itemProps2.xml><?xml version="1.0" encoding="utf-8"?>
<ds:datastoreItem xmlns:ds="http://schemas.openxmlformats.org/officeDocument/2006/customXml" ds:itemID="{4B7777B9-1822-49B1-BF2C-97BDF2011F5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D2C8E8-3464-4B61-BD57-BF832073167F}">
  <ds:schemaRefs>
    <ds:schemaRef ds:uri="http://purl.org/dc/elements/1.1/"/>
    <ds:schemaRef ds:uri="http://schemas.microsoft.com/office/infopath/2007/PartnerControls"/>
    <ds:schemaRef ds:uri="http://schemas.openxmlformats.org/package/2006/metadata/core-properties"/>
    <ds:schemaRef ds:uri="32a1a8c5-2265-4ebc-b7a0-2071e2c5c9bb"/>
    <ds:schemaRef ds:uri="http://purl.org/dc/dcmitype/"/>
    <ds:schemaRef ds:uri="http://www.w3.org/XML/1998/namespace"/>
    <ds:schemaRef ds:uri="http://schemas.microsoft.com/office/2006/documentManagement/types"/>
    <ds:schemaRef ds:uri="996b2e75-67fd-4955-a3b0-5ab9934cb50b"/>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8F566F83-D54D-4456-80B4-18ED8DB2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931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R16-WRC19-C-0011!A19-A3-A3!MSW-S</vt:lpstr>
    </vt:vector>
  </TitlesOfParts>
  <Manager>Secretaría General - Pool</Manager>
  <Company>Unión Internacional de Telecomunicaciones (UIT)</Company>
  <LinksUpToDate>false</LinksUpToDate>
  <CharactersWithSpaces>5771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R16-WRC19-C-0011!A19-A3-A3!MSW-S</dc:title>
  <dc:subject>Conferencia Mundial de Radiocomunicaciones - 2019</dc:subject>
  <dc:creator>Documents Proposals Manager (DPM)</dc:creator>
  <cp:keywords>DPM_v2019.9.25.1_prod</cp:keywords>
  <dc:description/>
  <cp:lastModifiedBy>Soriano, Manuel</cp:lastModifiedBy>
  <cp:revision>19</cp:revision>
  <cp:lastPrinted>2003-02-19T20:20:00Z</cp:lastPrinted>
  <dcterms:created xsi:type="dcterms:W3CDTF">2019-09-26T09:52:00Z</dcterms:created>
  <dcterms:modified xsi:type="dcterms:W3CDTF">2019-10-01T07:14:00Z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