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521"/>
        <w:gridCol w:w="3685"/>
      </w:tblGrid>
      <w:tr w:rsidR="005651C9" w:rsidRPr="00573D52" w14:paraId="462BD662" w14:textId="77777777" w:rsidTr="00387F2C">
        <w:trPr>
          <w:cantSplit/>
        </w:trPr>
        <w:tc>
          <w:tcPr>
            <w:tcW w:w="6521" w:type="dxa"/>
          </w:tcPr>
          <w:p w14:paraId="0A47B7C4" w14:textId="77777777" w:rsidR="005651C9" w:rsidRPr="00573D5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73D5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73D52">
              <w:rPr>
                <w:rFonts w:ascii="Verdana" w:hAnsi="Verdana"/>
                <w:b/>
                <w:bCs/>
                <w:szCs w:val="22"/>
              </w:rPr>
              <w:t>9</w:t>
            </w:r>
            <w:r w:rsidRPr="00573D52">
              <w:rPr>
                <w:rFonts w:ascii="Verdana" w:hAnsi="Verdana"/>
                <w:b/>
                <w:bCs/>
                <w:szCs w:val="22"/>
              </w:rPr>
              <w:t>)</w:t>
            </w:r>
            <w:r w:rsidRPr="00573D5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73D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73D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73D5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73D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685" w:type="dxa"/>
          </w:tcPr>
          <w:p w14:paraId="7C619205" w14:textId="77777777" w:rsidR="005651C9" w:rsidRPr="00573D5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73D52">
              <w:rPr>
                <w:noProof/>
                <w:szCs w:val="22"/>
                <w:lang w:eastAsia="zh-CN"/>
              </w:rPr>
              <w:drawing>
                <wp:inline distT="0" distB="0" distL="0" distR="0" wp14:anchorId="45A9865A" wp14:editId="1393FC7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73D52" w14:paraId="492AC727" w14:textId="77777777" w:rsidTr="00387F2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ACC3E27" w14:textId="77777777" w:rsidR="005651C9" w:rsidRPr="00573D5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8791BC3" w14:textId="77777777" w:rsidR="005651C9" w:rsidRPr="00573D5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73D52" w14:paraId="5F36AC38" w14:textId="77777777" w:rsidTr="00387F2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9270FAB" w14:textId="77777777" w:rsidR="005651C9" w:rsidRPr="00573D5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3A90C732" w14:textId="77777777" w:rsidR="005651C9" w:rsidRPr="00573D5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73D52" w14:paraId="5D14BB8F" w14:textId="77777777" w:rsidTr="00387F2C">
        <w:trPr>
          <w:cantSplit/>
        </w:trPr>
        <w:tc>
          <w:tcPr>
            <w:tcW w:w="6521" w:type="dxa"/>
          </w:tcPr>
          <w:p w14:paraId="4F79BF21" w14:textId="77777777" w:rsidR="005651C9" w:rsidRPr="00573D5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73D5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85" w:type="dxa"/>
          </w:tcPr>
          <w:p w14:paraId="0CA62637" w14:textId="77777777" w:rsidR="005651C9" w:rsidRPr="00573D52" w:rsidRDefault="005A295E" w:rsidP="00387F2C">
            <w:pPr>
              <w:tabs>
                <w:tab w:val="left" w:pos="851"/>
              </w:tabs>
              <w:spacing w:before="0"/>
              <w:ind w:left="-103" w:right="-146"/>
              <w:rPr>
                <w:rFonts w:ascii="Verdana" w:hAnsi="Verdana"/>
                <w:b/>
                <w:sz w:val="18"/>
                <w:szCs w:val="18"/>
              </w:rPr>
            </w:pPr>
            <w:r w:rsidRPr="00573D5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573D5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573D52">
              <w:rPr>
                <w:rFonts w:ascii="Verdana" w:hAnsi="Verdana"/>
                <w:b/>
                <w:bCs/>
                <w:sz w:val="18"/>
                <w:szCs w:val="18"/>
              </w:rPr>
              <w:t>Add.</w:t>
            </w:r>
            <w:proofErr w:type="gramStart"/>
            <w:r w:rsidRPr="00573D52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proofErr w:type="spellEnd"/>
            <w:r w:rsidRPr="00573D52">
              <w:rPr>
                <w:rFonts w:ascii="Verdana" w:hAnsi="Verdana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573D52">
              <w:rPr>
                <w:rFonts w:ascii="Verdana" w:hAnsi="Verdana"/>
                <w:b/>
                <w:bCs/>
                <w:sz w:val="18"/>
                <w:szCs w:val="18"/>
              </w:rPr>
              <w:t>Add.3</w:t>
            </w:r>
            <w:proofErr w:type="spellEnd"/>
            <w:r w:rsidRPr="00573D52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573D5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73D5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73D52" w14:paraId="7B17166A" w14:textId="77777777" w:rsidTr="00387F2C">
        <w:trPr>
          <w:cantSplit/>
        </w:trPr>
        <w:tc>
          <w:tcPr>
            <w:tcW w:w="6521" w:type="dxa"/>
          </w:tcPr>
          <w:p w14:paraId="7F6C43E6" w14:textId="77777777" w:rsidR="000F33D8" w:rsidRPr="00573D5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5" w:type="dxa"/>
          </w:tcPr>
          <w:p w14:paraId="7775BE6B" w14:textId="77777777" w:rsidR="000F33D8" w:rsidRPr="00573D52" w:rsidRDefault="000F33D8" w:rsidP="00387F2C">
            <w:pPr>
              <w:spacing w:before="0"/>
              <w:ind w:left="-103" w:right="-146"/>
              <w:rPr>
                <w:rFonts w:ascii="Verdana" w:hAnsi="Verdana"/>
                <w:sz w:val="18"/>
                <w:szCs w:val="22"/>
              </w:rPr>
            </w:pPr>
            <w:r w:rsidRPr="00573D52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573D52" w14:paraId="43905C9B" w14:textId="77777777" w:rsidTr="00387F2C">
        <w:trPr>
          <w:cantSplit/>
        </w:trPr>
        <w:tc>
          <w:tcPr>
            <w:tcW w:w="6521" w:type="dxa"/>
          </w:tcPr>
          <w:p w14:paraId="3FC3D0FA" w14:textId="77777777" w:rsidR="000F33D8" w:rsidRPr="00573D5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5" w:type="dxa"/>
          </w:tcPr>
          <w:p w14:paraId="5634D305" w14:textId="5A6938D7" w:rsidR="000F33D8" w:rsidRPr="00573D52" w:rsidRDefault="000F33D8" w:rsidP="00387F2C">
            <w:pPr>
              <w:spacing w:before="0"/>
              <w:ind w:left="-103" w:right="-146"/>
              <w:rPr>
                <w:rFonts w:ascii="Verdana" w:hAnsi="Verdana"/>
                <w:sz w:val="18"/>
                <w:szCs w:val="22"/>
              </w:rPr>
            </w:pPr>
            <w:r w:rsidRPr="00573D52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F1734D" w:rsidRPr="00573D52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573D52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F1734D" w:rsidRPr="00573D52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F1734D" w:rsidRPr="00573D52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F1734D" w:rsidRPr="00573D52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573D52" w14:paraId="13C3A200" w14:textId="77777777" w:rsidTr="00387F2C">
        <w:trPr>
          <w:cantSplit/>
        </w:trPr>
        <w:tc>
          <w:tcPr>
            <w:tcW w:w="10206" w:type="dxa"/>
            <w:gridSpan w:val="2"/>
          </w:tcPr>
          <w:p w14:paraId="143D6E78" w14:textId="77777777" w:rsidR="000F33D8" w:rsidRPr="00573D5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73D52" w14:paraId="24767C7E" w14:textId="77777777" w:rsidTr="00387F2C">
        <w:trPr>
          <w:cantSplit/>
        </w:trPr>
        <w:tc>
          <w:tcPr>
            <w:tcW w:w="10206" w:type="dxa"/>
            <w:gridSpan w:val="2"/>
          </w:tcPr>
          <w:p w14:paraId="532A9A83" w14:textId="77777777" w:rsidR="000F33D8" w:rsidRPr="00573D5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73D52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573D52" w14:paraId="45F5D244" w14:textId="77777777" w:rsidTr="00387F2C">
        <w:trPr>
          <w:cantSplit/>
        </w:trPr>
        <w:tc>
          <w:tcPr>
            <w:tcW w:w="10206" w:type="dxa"/>
            <w:gridSpan w:val="2"/>
          </w:tcPr>
          <w:p w14:paraId="7092ACA3" w14:textId="77777777" w:rsidR="000F33D8" w:rsidRPr="00573D52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573D5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73D52" w14:paraId="7419C069" w14:textId="77777777" w:rsidTr="00387F2C">
        <w:trPr>
          <w:cantSplit/>
        </w:trPr>
        <w:tc>
          <w:tcPr>
            <w:tcW w:w="10206" w:type="dxa"/>
            <w:gridSpan w:val="2"/>
          </w:tcPr>
          <w:p w14:paraId="029047A9" w14:textId="77777777" w:rsidR="000F33D8" w:rsidRPr="00573D5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573D52" w14:paraId="2056AE72" w14:textId="77777777" w:rsidTr="00387F2C">
        <w:trPr>
          <w:cantSplit/>
        </w:trPr>
        <w:tc>
          <w:tcPr>
            <w:tcW w:w="10206" w:type="dxa"/>
            <w:gridSpan w:val="2"/>
          </w:tcPr>
          <w:p w14:paraId="1AF767D2" w14:textId="77777777" w:rsidR="000F33D8" w:rsidRPr="00573D5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573D52">
              <w:rPr>
                <w:lang w:val="ru-RU"/>
              </w:rPr>
              <w:t>Пункт 7(C) повестки дня</w:t>
            </w:r>
          </w:p>
        </w:tc>
      </w:tr>
    </w:tbl>
    <w:bookmarkEnd w:id="6"/>
    <w:p w14:paraId="386F0602" w14:textId="77777777" w:rsidR="00D51940" w:rsidRPr="00573D52" w:rsidRDefault="00573D52" w:rsidP="00387F2C">
      <w:pPr>
        <w:pStyle w:val="Normalaftertitle"/>
        <w:rPr>
          <w:szCs w:val="22"/>
        </w:rPr>
      </w:pPr>
      <w:r w:rsidRPr="00573D52">
        <w:t>7</w:t>
      </w:r>
      <w:r w:rsidRPr="00573D52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573D5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573D5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16465638" w14:textId="77777777" w:rsidR="00D51940" w:rsidRPr="00573D52" w:rsidRDefault="00573D52" w:rsidP="00545A2A">
      <w:pPr>
        <w:rPr>
          <w:szCs w:val="22"/>
        </w:rPr>
      </w:pPr>
      <w:r w:rsidRPr="00573D52">
        <w:t>7(C)</w:t>
      </w:r>
      <w:r w:rsidRPr="00573D52">
        <w:tab/>
        <w:t>Вопрос C − Вопросы, по которым в МСЭ-R был достигнут консенсус и определен единственный метод</w:t>
      </w:r>
    </w:p>
    <w:p w14:paraId="23664D81" w14:textId="022F863B" w:rsidR="0003535B" w:rsidRPr="00573D52" w:rsidRDefault="00573D52" w:rsidP="00BD0D2F">
      <w:bookmarkStart w:id="7" w:name="_Hlk20217010"/>
      <w:r w:rsidRPr="00573D52">
        <w:t>Вопрос C представляет собой набор нескольких различных тем, считающихся однозначными, в отношении которых в МСЭ-R был достигнут консенсус и определен один метод решения. Вопросы касаются таких аспектов, как устранение несоответствий в регламентарных положениях, уточнение некоторой существующей практики или повышение прозрачности регламентарного процесса.</w:t>
      </w:r>
      <w:bookmarkEnd w:id="7"/>
    </w:p>
    <w:p w14:paraId="3F94C885" w14:textId="5B151005" w:rsidR="00573D52" w:rsidRPr="00573D52" w:rsidRDefault="00573D52" w:rsidP="00573D52">
      <w:pPr>
        <w:pStyle w:val="Title4"/>
      </w:pPr>
      <w:r w:rsidRPr="00573D52">
        <w:t xml:space="preserve">Вопрос </w:t>
      </w:r>
      <w:proofErr w:type="spellStart"/>
      <w:r w:rsidRPr="00573D52">
        <w:t>C3</w:t>
      </w:r>
      <w:proofErr w:type="spellEnd"/>
    </w:p>
    <w:p w14:paraId="6211E108" w14:textId="77777777" w:rsidR="00573D52" w:rsidRPr="00573D52" w:rsidRDefault="00573D52" w:rsidP="00573D52">
      <w:pPr>
        <w:rPr>
          <w:szCs w:val="24"/>
        </w:rPr>
      </w:pPr>
      <w:r w:rsidRPr="00573D52">
        <w:rPr>
          <w:szCs w:val="24"/>
        </w:rPr>
        <w:t xml:space="preserve">Вопрос </w:t>
      </w:r>
      <w:proofErr w:type="spellStart"/>
      <w:r w:rsidRPr="00573D52">
        <w:rPr>
          <w:szCs w:val="24"/>
        </w:rPr>
        <w:t>С3</w:t>
      </w:r>
      <w:proofErr w:type="spellEnd"/>
      <w:r w:rsidRPr="00573D52">
        <w:rPr>
          <w:szCs w:val="24"/>
        </w:rPr>
        <w:t xml:space="preserve"> касается последствий, связанных с отсутствием ответа на письма Бюро, инициированные просьбой об оказании помощи со стороны заявляющей администрации, которая хотела бы включить территории зарубежной администрации в зону обслуживания своего присвоения в соответствии с </w:t>
      </w:r>
      <w:r w:rsidRPr="00573D52">
        <w:t>§</w:t>
      </w:r>
      <w:r w:rsidRPr="00573D52">
        <w:rPr>
          <w:szCs w:val="24"/>
        </w:rPr>
        <w:t xml:space="preserve"> 6.6 Приложения </w:t>
      </w:r>
      <w:proofErr w:type="spellStart"/>
      <w:r w:rsidRPr="00573D52">
        <w:rPr>
          <w:b/>
          <w:szCs w:val="24"/>
        </w:rPr>
        <w:t>30В</w:t>
      </w:r>
      <w:proofErr w:type="spellEnd"/>
      <w:r w:rsidRPr="00573D52">
        <w:rPr>
          <w:szCs w:val="24"/>
        </w:rPr>
        <w:t xml:space="preserve"> к РР.</w:t>
      </w:r>
    </w:p>
    <w:p w14:paraId="74F7FA42" w14:textId="1E40FDFE" w:rsidR="00573D52" w:rsidRPr="00573D52" w:rsidRDefault="00573D52" w:rsidP="00573D52">
      <w:pPr>
        <w:pStyle w:val="Headingb"/>
        <w:rPr>
          <w:lang w:val="ru-RU"/>
        </w:rPr>
      </w:pPr>
      <w:r w:rsidRPr="00573D52">
        <w:rPr>
          <w:lang w:val="ru-RU"/>
        </w:rPr>
        <w:t>Базовая информация</w:t>
      </w:r>
    </w:p>
    <w:p w14:paraId="1D44EEA3" w14:textId="77777777" w:rsidR="00573D52" w:rsidRPr="00573D52" w:rsidRDefault="00573D52" w:rsidP="00573D52">
      <w:pPr>
        <w:rPr>
          <w:szCs w:val="24"/>
        </w:rPr>
      </w:pPr>
      <w:r w:rsidRPr="00573D52">
        <w:rPr>
          <w:szCs w:val="24"/>
        </w:rPr>
        <w:t xml:space="preserve">Администрация, намеревающаяся преобразовать выделение в соответствии с Приложением </w:t>
      </w:r>
      <w:proofErr w:type="spellStart"/>
      <w:r w:rsidRPr="00573D52">
        <w:rPr>
          <w:rStyle w:val="Appref"/>
          <w:b/>
          <w:szCs w:val="24"/>
        </w:rPr>
        <w:t>30B</w:t>
      </w:r>
      <w:proofErr w:type="spellEnd"/>
      <w:r w:rsidRPr="00573D52">
        <w:rPr>
          <w:szCs w:val="24"/>
        </w:rPr>
        <w:t xml:space="preserve"> к РР в присвоение, ввести дополнительную систему</w:t>
      </w:r>
      <w:r w:rsidRPr="00573D52">
        <w:rPr>
          <w:rStyle w:val="FootnoteReference"/>
          <w:szCs w:val="24"/>
        </w:rPr>
        <w:footnoteReference w:id="1"/>
      </w:r>
      <w:r w:rsidRPr="00573D52">
        <w:rPr>
          <w:szCs w:val="24"/>
        </w:rPr>
        <w:t xml:space="preserve"> или изменить характеристики присвоения в Списке Приложения </w:t>
      </w:r>
      <w:proofErr w:type="spellStart"/>
      <w:r w:rsidRPr="00573D52">
        <w:rPr>
          <w:rStyle w:val="Appref"/>
          <w:b/>
          <w:szCs w:val="24"/>
        </w:rPr>
        <w:t>30B</w:t>
      </w:r>
      <w:proofErr w:type="spellEnd"/>
      <w:r w:rsidRPr="00573D52">
        <w:rPr>
          <w:szCs w:val="24"/>
        </w:rPr>
        <w:t xml:space="preserve"> к РР, должна представить в Бюро информацию, указанную в Приложении </w:t>
      </w:r>
      <w:r w:rsidRPr="00573D52">
        <w:rPr>
          <w:b/>
          <w:szCs w:val="24"/>
        </w:rPr>
        <w:t>4</w:t>
      </w:r>
      <w:r w:rsidRPr="00573D52">
        <w:rPr>
          <w:szCs w:val="24"/>
        </w:rPr>
        <w:t xml:space="preserve"> к РР. По получении заявки Бюро рассматривает и публикует ее в Специальной секции ИФИК БР. Помимо прочего, в данной Специальной секции может содержаться два типа требований к процессу получения согласия затронутых администраций:</w:t>
      </w:r>
    </w:p>
    <w:p w14:paraId="7883AC31" w14:textId="3765D203" w:rsidR="00573D52" w:rsidRPr="00573D52" w:rsidRDefault="00573D52" w:rsidP="00573D52">
      <w:pPr>
        <w:pStyle w:val="enumlev1"/>
        <w:rPr>
          <w:szCs w:val="24"/>
        </w:rPr>
      </w:pPr>
      <w:r w:rsidRPr="00573D52">
        <w:rPr>
          <w:szCs w:val="24"/>
        </w:rPr>
        <w:lastRenderedPageBreak/>
        <w:t>–</w:t>
      </w:r>
      <w:r w:rsidRPr="00573D52">
        <w:rPr>
          <w:szCs w:val="24"/>
        </w:rPr>
        <w:tab/>
        <w:t xml:space="preserve">чьи выделения в Плане Приложения </w:t>
      </w:r>
      <w:proofErr w:type="spellStart"/>
      <w:r w:rsidRPr="00573D52">
        <w:rPr>
          <w:b/>
          <w:szCs w:val="24"/>
        </w:rPr>
        <w:t>30B</w:t>
      </w:r>
      <w:proofErr w:type="spellEnd"/>
      <w:r w:rsidRPr="00573D52">
        <w:rPr>
          <w:szCs w:val="24"/>
        </w:rPr>
        <w:t xml:space="preserve"> или присвоения в Списке Приложения </w:t>
      </w:r>
      <w:proofErr w:type="spellStart"/>
      <w:r w:rsidRPr="00573D52">
        <w:rPr>
          <w:b/>
          <w:szCs w:val="24"/>
        </w:rPr>
        <w:t>30B</w:t>
      </w:r>
      <w:proofErr w:type="spellEnd"/>
      <w:r w:rsidRPr="00573D52">
        <w:rPr>
          <w:szCs w:val="24"/>
        </w:rPr>
        <w:t xml:space="preserve"> либо выделения или присвоения, уже рассмотренные Бюро, считаются затронутыми (требования, определенные согласно § 6.5 Приложения </w:t>
      </w:r>
      <w:proofErr w:type="spellStart"/>
      <w:r w:rsidRPr="00573D52">
        <w:rPr>
          <w:b/>
          <w:szCs w:val="24"/>
        </w:rPr>
        <w:t>30B</w:t>
      </w:r>
      <w:proofErr w:type="spellEnd"/>
      <w:r w:rsidRPr="00573D52">
        <w:rPr>
          <w:szCs w:val="24"/>
        </w:rPr>
        <w:t>); или</w:t>
      </w:r>
    </w:p>
    <w:p w14:paraId="6E71D0DB" w14:textId="0576AD5E" w:rsidR="00573D52" w:rsidRPr="00573D52" w:rsidRDefault="00573D52" w:rsidP="00573D52">
      <w:pPr>
        <w:pStyle w:val="enumlev1"/>
        <w:rPr>
          <w:szCs w:val="24"/>
        </w:rPr>
      </w:pPr>
      <w:r w:rsidRPr="00573D52">
        <w:rPr>
          <w:szCs w:val="24"/>
        </w:rPr>
        <w:t>–</w:t>
      </w:r>
      <w:r w:rsidRPr="00573D52">
        <w:rPr>
          <w:szCs w:val="24"/>
        </w:rPr>
        <w:tab/>
        <w:t xml:space="preserve">территория которых была включена в зону обслуживания рассматриваемого присвоения (требования, связанные с § 6.6 Приложения </w:t>
      </w:r>
      <w:proofErr w:type="spellStart"/>
      <w:r w:rsidRPr="00573D52">
        <w:rPr>
          <w:b/>
          <w:szCs w:val="24"/>
        </w:rPr>
        <w:t>30B</w:t>
      </w:r>
      <w:proofErr w:type="spellEnd"/>
      <w:r w:rsidRPr="00573D52">
        <w:rPr>
          <w:szCs w:val="24"/>
        </w:rPr>
        <w:t>).</w:t>
      </w:r>
    </w:p>
    <w:p w14:paraId="1F66418B" w14:textId="77777777" w:rsidR="00573D52" w:rsidRPr="00573D52" w:rsidRDefault="00573D52" w:rsidP="00573D52">
      <w:pPr>
        <w:spacing w:before="100" w:line="228" w:lineRule="auto"/>
        <w:rPr>
          <w:szCs w:val="24"/>
        </w:rPr>
      </w:pPr>
      <w:r w:rsidRPr="00573D52">
        <w:rPr>
          <w:szCs w:val="24"/>
        </w:rPr>
        <w:t xml:space="preserve">Важно отметить, что в рамках действующих регламентарных положений в Приложении </w:t>
      </w:r>
      <w:proofErr w:type="spellStart"/>
      <w:r w:rsidRPr="00573D52">
        <w:rPr>
          <w:b/>
          <w:szCs w:val="24"/>
        </w:rPr>
        <w:t>30B</w:t>
      </w:r>
      <w:proofErr w:type="spellEnd"/>
      <w:r w:rsidRPr="00573D52">
        <w:rPr>
          <w:szCs w:val="24"/>
        </w:rPr>
        <w:t xml:space="preserve"> к РР предусмотрено конкретное положение (§ 6.13) об обращении за помощью к Бюро в случае отсутствия ответа со стороны затронутой администрации, определенной согласно § 6.5 Приложения </w:t>
      </w:r>
      <w:proofErr w:type="spellStart"/>
      <w:r w:rsidRPr="00573D52">
        <w:rPr>
          <w:b/>
          <w:szCs w:val="24"/>
        </w:rPr>
        <w:t>30B</w:t>
      </w:r>
      <w:proofErr w:type="spellEnd"/>
      <w:r w:rsidRPr="00573D52">
        <w:rPr>
          <w:szCs w:val="24"/>
        </w:rPr>
        <w:t xml:space="preserve"> к РР, в течение четырехмесячного периода, установленного для представления замечаний. В случае отсутствия ответа на письма Бюро, инициированные согласно §</w:t>
      </w:r>
      <w:r w:rsidRPr="00573D52">
        <w:t>§</w:t>
      </w:r>
      <w:r w:rsidRPr="00573D52">
        <w:rPr>
          <w:szCs w:val="24"/>
        </w:rPr>
        <w:t xml:space="preserve"> 6.13, 6.14 и </w:t>
      </w:r>
      <w:proofErr w:type="spellStart"/>
      <w:r w:rsidRPr="00573D52">
        <w:rPr>
          <w:szCs w:val="24"/>
        </w:rPr>
        <w:t>6.14</w:t>
      </w:r>
      <w:r w:rsidRPr="00573D52">
        <w:rPr>
          <w:i/>
          <w:szCs w:val="24"/>
        </w:rPr>
        <w:t>bis</w:t>
      </w:r>
      <w:proofErr w:type="spellEnd"/>
      <w:r w:rsidRPr="00573D52">
        <w:rPr>
          <w:szCs w:val="24"/>
        </w:rPr>
        <w:t xml:space="preserve"> Приложения </w:t>
      </w:r>
      <w:proofErr w:type="spellStart"/>
      <w:r w:rsidRPr="00573D52">
        <w:rPr>
          <w:b/>
          <w:szCs w:val="24"/>
        </w:rPr>
        <w:t>30B</w:t>
      </w:r>
      <w:proofErr w:type="spellEnd"/>
      <w:r w:rsidRPr="00573D52">
        <w:rPr>
          <w:szCs w:val="24"/>
        </w:rPr>
        <w:t xml:space="preserve"> к РР, будет считаться, что данная администрация, определенная согласно </w:t>
      </w:r>
      <w:r w:rsidRPr="00573D52">
        <w:t>§</w:t>
      </w:r>
      <w:r w:rsidRPr="00573D52">
        <w:rPr>
          <w:szCs w:val="24"/>
        </w:rPr>
        <w:t xml:space="preserve"> 6.5 Приложения </w:t>
      </w:r>
      <w:proofErr w:type="spellStart"/>
      <w:r w:rsidRPr="00573D52">
        <w:rPr>
          <w:b/>
          <w:szCs w:val="24"/>
        </w:rPr>
        <w:t>30B</w:t>
      </w:r>
      <w:proofErr w:type="spellEnd"/>
      <w:r w:rsidRPr="00573D52">
        <w:rPr>
          <w:szCs w:val="24"/>
        </w:rPr>
        <w:t xml:space="preserve"> к РР, предоставила свое согласие в соответствии с </w:t>
      </w:r>
      <w:r w:rsidRPr="00573D52">
        <w:t>§</w:t>
      </w:r>
      <w:r w:rsidRPr="00573D52">
        <w:rPr>
          <w:szCs w:val="24"/>
        </w:rPr>
        <w:t xml:space="preserve"> 6.15 Приложения </w:t>
      </w:r>
      <w:proofErr w:type="spellStart"/>
      <w:r w:rsidRPr="00573D52">
        <w:rPr>
          <w:b/>
          <w:szCs w:val="24"/>
        </w:rPr>
        <w:t>30B</w:t>
      </w:r>
      <w:proofErr w:type="spellEnd"/>
      <w:r w:rsidRPr="00573D52">
        <w:rPr>
          <w:szCs w:val="24"/>
        </w:rPr>
        <w:t xml:space="preserve"> к РР. </w:t>
      </w:r>
      <w:r w:rsidRPr="00573D52">
        <w:rPr>
          <w:spacing w:val="-2"/>
          <w:szCs w:val="24"/>
        </w:rPr>
        <w:t>Однако ни одно из вышеуказанных положений (</w:t>
      </w:r>
      <w:r w:rsidRPr="00573D52">
        <w:rPr>
          <w:szCs w:val="24"/>
        </w:rPr>
        <w:t>§</w:t>
      </w:r>
      <w:r w:rsidRPr="00573D52">
        <w:t>§</w:t>
      </w:r>
      <w:r w:rsidRPr="00573D52">
        <w:rPr>
          <w:szCs w:val="24"/>
        </w:rPr>
        <w:t xml:space="preserve"> 6.13–6.15) неприменимо в случае затронутых администраций, определенных согласно </w:t>
      </w:r>
      <w:r w:rsidRPr="00573D52">
        <w:t>§</w:t>
      </w:r>
      <w:r w:rsidRPr="00573D52">
        <w:rPr>
          <w:szCs w:val="24"/>
        </w:rPr>
        <w:t xml:space="preserve"> 6.6 </w:t>
      </w:r>
      <w:r w:rsidRPr="00573D52">
        <w:rPr>
          <w:spacing w:val="-2"/>
          <w:szCs w:val="24"/>
        </w:rPr>
        <w:t>Приложения </w:t>
      </w:r>
      <w:proofErr w:type="spellStart"/>
      <w:r w:rsidRPr="00573D52">
        <w:rPr>
          <w:rStyle w:val="Appref"/>
          <w:b/>
          <w:szCs w:val="24"/>
        </w:rPr>
        <w:t>30B</w:t>
      </w:r>
      <w:proofErr w:type="spellEnd"/>
      <w:r w:rsidRPr="00573D52">
        <w:rPr>
          <w:spacing w:val="-2"/>
          <w:szCs w:val="24"/>
        </w:rPr>
        <w:t xml:space="preserve"> к РР.</w:t>
      </w:r>
      <w:r w:rsidRPr="00573D52">
        <w:rPr>
          <w:szCs w:val="24"/>
        </w:rPr>
        <w:t xml:space="preserve"> Фактически в </w:t>
      </w:r>
      <w:r w:rsidRPr="00573D52">
        <w:rPr>
          <w:spacing w:val="-2"/>
          <w:szCs w:val="24"/>
        </w:rPr>
        <w:t>Приложении </w:t>
      </w:r>
      <w:proofErr w:type="spellStart"/>
      <w:r w:rsidRPr="00573D52">
        <w:rPr>
          <w:rStyle w:val="Appref"/>
          <w:b/>
          <w:szCs w:val="24"/>
        </w:rPr>
        <w:t>30B</w:t>
      </w:r>
      <w:proofErr w:type="spellEnd"/>
      <w:r w:rsidRPr="00573D52">
        <w:rPr>
          <w:spacing w:val="-2"/>
          <w:szCs w:val="24"/>
        </w:rPr>
        <w:t xml:space="preserve"> к РР</w:t>
      </w:r>
      <w:r w:rsidRPr="00573D52">
        <w:rPr>
          <w:szCs w:val="24"/>
        </w:rPr>
        <w:t xml:space="preserve"> не предусмотрен единый регламентарный механизм обращения в Бюро за помощью в данном случае</w:t>
      </w:r>
      <w:r w:rsidRPr="00573D52">
        <w:rPr>
          <w:spacing w:val="-2"/>
          <w:szCs w:val="24"/>
        </w:rPr>
        <w:t>.</w:t>
      </w:r>
      <w:r w:rsidRPr="00573D52">
        <w:rPr>
          <w:szCs w:val="24"/>
        </w:rPr>
        <w:t xml:space="preserve"> Что касается обращения за помощью в Бюро по вопросу, связанному с включением территории той или иной администрации, то заявляющая администрация в своем запросе, адресованном Бюро, и само Бюро в своих последующих письмах затронутой администрации должны ссылаться на пункт </w:t>
      </w:r>
      <w:r w:rsidRPr="00573D52">
        <w:rPr>
          <w:b/>
          <w:szCs w:val="24"/>
        </w:rPr>
        <w:t xml:space="preserve">13.1 </w:t>
      </w:r>
      <w:r w:rsidRPr="00573D52">
        <w:rPr>
          <w:szCs w:val="24"/>
        </w:rPr>
        <w:t>РР по данному вопросу. Кроме того, в действующем Регламенте радиосвязи не предусмотрены какие</w:t>
      </w:r>
      <w:r w:rsidRPr="00573D52">
        <w:rPr>
          <w:szCs w:val="24"/>
        </w:rPr>
        <w:noBreakHyphen/>
        <w:t>либо действия со стороны Бюро в отношении администрации, не отвечающей на любое из его писем, инициированных согласно пункту </w:t>
      </w:r>
      <w:r w:rsidRPr="00573D52">
        <w:rPr>
          <w:b/>
          <w:szCs w:val="24"/>
        </w:rPr>
        <w:t>13.</w:t>
      </w:r>
      <w:bookmarkStart w:id="8" w:name="_GoBack"/>
      <w:bookmarkEnd w:id="8"/>
      <w:r w:rsidRPr="00573D52">
        <w:rPr>
          <w:b/>
          <w:szCs w:val="24"/>
        </w:rPr>
        <w:t>1</w:t>
      </w:r>
      <w:r w:rsidRPr="00573D52">
        <w:rPr>
          <w:szCs w:val="24"/>
        </w:rPr>
        <w:t xml:space="preserve"> РР. Это подразумевает, что включение территории администрации, определенной согласно </w:t>
      </w:r>
      <w:r w:rsidRPr="00573D52">
        <w:t>§</w:t>
      </w:r>
      <w:r w:rsidRPr="00573D52">
        <w:rPr>
          <w:szCs w:val="24"/>
        </w:rPr>
        <w:t xml:space="preserve"> 6.6 </w:t>
      </w:r>
      <w:r w:rsidRPr="00573D52">
        <w:rPr>
          <w:spacing w:val="-2"/>
          <w:szCs w:val="24"/>
        </w:rPr>
        <w:t xml:space="preserve">Приложения </w:t>
      </w:r>
      <w:proofErr w:type="spellStart"/>
      <w:r w:rsidRPr="00573D52">
        <w:rPr>
          <w:rStyle w:val="Appref"/>
          <w:b/>
          <w:szCs w:val="24"/>
        </w:rPr>
        <w:t>30B</w:t>
      </w:r>
      <w:proofErr w:type="spellEnd"/>
      <w:r w:rsidRPr="00573D52">
        <w:rPr>
          <w:spacing w:val="-2"/>
          <w:szCs w:val="24"/>
        </w:rPr>
        <w:t xml:space="preserve"> к РР, может произойти лишь при наличии официального согласия соответствующей администрации и ни при каких обстоятельствах не может являться следствием отсутствия ответа на первоначальный запрос о включении ее территории или на последующие письма Бюро по этому вопросу.</w:t>
      </w:r>
    </w:p>
    <w:p w14:paraId="658A895A" w14:textId="0D393357" w:rsidR="00573D52" w:rsidRPr="00573D52" w:rsidRDefault="00573D52" w:rsidP="00573D52">
      <w:pPr>
        <w:rPr>
          <w:szCs w:val="24"/>
        </w:rPr>
      </w:pPr>
      <w:r w:rsidRPr="00573D52">
        <w:rPr>
          <w:szCs w:val="24"/>
        </w:rPr>
        <w:t xml:space="preserve">Был определен </w:t>
      </w:r>
      <w:r w:rsidR="00B716E7">
        <w:rPr>
          <w:szCs w:val="24"/>
        </w:rPr>
        <w:t>один единственный</w:t>
      </w:r>
      <w:r w:rsidRPr="00573D52">
        <w:rPr>
          <w:szCs w:val="24"/>
        </w:rPr>
        <w:t xml:space="preserve"> метод решения этого Вопроса. </w:t>
      </w:r>
      <w:r w:rsidRPr="00573D52">
        <w:rPr>
          <w:spacing w:val="-2"/>
          <w:szCs w:val="24"/>
        </w:rPr>
        <w:t>Метод заключается в добавлении нового положения в Статью 6 Приложения </w:t>
      </w:r>
      <w:proofErr w:type="spellStart"/>
      <w:r w:rsidRPr="00573D52">
        <w:rPr>
          <w:rStyle w:val="Appref"/>
          <w:b/>
          <w:szCs w:val="24"/>
        </w:rPr>
        <w:t>30B</w:t>
      </w:r>
      <w:proofErr w:type="spellEnd"/>
      <w:r w:rsidRPr="00573D52">
        <w:rPr>
          <w:szCs w:val="24"/>
        </w:rPr>
        <w:t xml:space="preserve"> к РР</w:t>
      </w:r>
      <w:r w:rsidR="00362ADC">
        <w:rPr>
          <w:szCs w:val="24"/>
        </w:rPr>
        <w:t>,</w:t>
      </w:r>
      <w:r w:rsidRPr="00573D52">
        <w:rPr>
          <w:szCs w:val="24"/>
        </w:rPr>
        <w:t xml:space="preserve"> для </w:t>
      </w:r>
      <w:r w:rsidR="00362ADC">
        <w:rPr>
          <w:szCs w:val="24"/>
        </w:rPr>
        <w:t xml:space="preserve">того чтобы </w:t>
      </w:r>
      <w:r w:rsidR="00E64429">
        <w:rPr>
          <w:szCs w:val="24"/>
        </w:rPr>
        <w:t>ясно</w:t>
      </w:r>
      <w:r w:rsidR="00362ADC">
        <w:rPr>
          <w:szCs w:val="24"/>
        </w:rPr>
        <w:t xml:space="preserve"> </w:t>
      </w:r>
      <w:r w:rsidR="00231CAB">
        <w:rPr>
          <w:szCs w:val="24"/>
        </w:rPr>
        <w:t>установить</w:t>
      </w:r>
      <w:r w:rsidRPr="00573D52">
        <w:rPr>
          <w:szCs w:val="24"/>
        </w:rPr>
        <w:t>, что §§ 6.13</w:t>
      </w:r>
      <w:r w:rsidR="00E74F8C" w:rsidRPr="00E74F8C">
        <w:rPr>
          <w:szCs w:val="24"/>
        </w:rPr>
        <w:t>−</w:t>
      </w:r>
      <w:r w:rsidRPr="00573D52">
        <w:rPr>
          <w:szCs w:val="24"/>
        </w:rPr>
        <w:t xml:space="preserve">6.15 </w:t>
      </w:r>
      <w:r w:rsidRPr="00573D52">
        <w:rPr>
          <w:spacing w:val="-2"/>
          <w:szCs w:val="24"/>
        </w:rPr>
        <w:t>Приложения </w:t>
      </w:r>
      <w:proofErr w:type="spellStart"/>
      <w:r w:rsidRPr="00573D52">
        <w:rPr>
          <w:rStyle w:val="Appref"/>
          <w:b/>
          <w:szCs w:val="24"/>
        </w:rPr>
        <w:t>30B</w:t>
      </w:r>
      <w:proofErr w:type="spellEnd"/>
      <w:r w:rsidRPr="00573D52">
        <w:rPr>
          <w:szCs w:val="24"/>
        </w:rPr>
        <w:t xml:space="preserve"> к РР неприменимы в контексте требований, связанных с § 6.6 </w:t>
      </w:r>
      <w:r w:rsidRPr="00573D52">
        <w:rPr>
          <w:spacing w:val="-2"/>
          <w:szCs w:val="24"/>
        </w:rPr>
        <w:t>Приложения </w:t>
      </w:r>
      <w:proofErr w:type="spellStart"/>
      <w:r w:rsidRPr="00573D52">
        <w:rPr>
          <w:rStyle w:val="Appref"/>
          <w:b/>
          <w:szCs w:val="24"/>
        </w:rPr>
        <w:t>30B</w:t>
      </w:r>
      <w:proofErr w:type="spellEnd"/>
      <w:r w:rsidRPr="00573D52">
        <w:rPr>
          <w:szCs w:val="24"/>
        </w:rPr>
        <w:t xml:space="preserve"> к РР.</w:t>
      </w:r>
    </w:p>
    <w:p w14:paraId="26B81951" w14:textId="77777777" w:rsidR="009B5CC2" w:rsidRPr="00573D5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73D52">
        <w:br w:type="page"/>
      </w:r>
    </w:p>
    <w:p w14:paraId="7FB00EE4" w14:textId="09F27C7B" w:rsidR="00E30ECE" w:rsidRPr="00573D52" w:rsidRDefault="00573D52" w:rsidP="00F1734D">
      <w:pPr>
        <w:pStyle w:val="AppendixNo"/>
      </w:pPr>
      <w:bookmarkStart w:id="9" w:name="_Toc459987209"/>
      <w:bookmarkStart w:id="10" w:name="_Toc459987900"/>
      <w:r w:rsidRPr="00573D52">
        <w:lastRenderedPageBreak/>
        <w:t xml:space="preserve">ПРИЛОЖЕНИЕ </w:t>
      </w:r>
      <w:proofErr w:type="spellStart"/>
      <w:r w:rsidRPr="00573D52">
        <w:rPr>
          <w:rStyle w:val="href"/>
        </w:rPr>
        <w:t>30</w:t>
      </w:r>
      <w:proofErr w:type="gramStart"/>
      <w:r w:rsidRPr="00573D52">
        <w:rPr>
          <w:rStyle w:val="href"/>
        </w:rPr>
        <w:t>B</w:t>
      </w:r>
      <w:proofErr w:type="spellEnd"/>
      <w:r w:rsidRPr="00573D52">
        <w:t>  (</w:t>
      </w:r>
      <w:proofErr w:type="gramEnd"/>
      <w:r w:rsidR="00F1734D" w:rsidRPr="00573D52">
        <w:t>ПЕРЕСМ</w:t>
      </w:r>
      <w:r w:rsidRPr="00573D52">
        <w:t>. ВКР-15)</w:t>
      </w:r>
      <w:bookmarkEnd w:id="9"/>
      <w:bookmarkEnd w:id="10"/>
    </w:p>
    <w:p w14:paraId="20383232" w14:textId="77777777" w:rsidR="00E30ECE" w:rsidRPr="00573D52" w:rsidRDefault="00573D52" w:rsidP="000658FC">
      <w:pPr>
        <w:pStyle w:val="Appendixtitle"/>
      </w:pPr>
      <w:bookmarkStart w:id="11" w:name="_Toc459987210"/>
      <w:bookmarkStart w:id="12" w:name="_Toc459987901"/>
      <w:r w:rsidRPr="00573D52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573D52">
        <w:br/>
        <w:t>10,70–10,95 ГГц, 11,20–11,45 ГГц и 12,75–13,25 ГГц</w:t>
      </w:r>
      <w:bookmarkEnd w:id="11"/>
      <w:bookmarkEnd w:id="12"/>
    </w:p>
    <w:p w14:paraId="26EA7B43" w14:textId="77777777" w:rsidR="00E30ECE" w:rsidRPr="00573D52" w:rsidRDefault="00573D52" w:rsidP="000658FC">
      <w:pPr>
        <w:pStyle w:val="AppArtNo"/>
      </w:pPr>
      <w:proofErr w:type="gramStart"/>
      <w:r w:rsidRPr="00573D52">
        <w:t>СТАТЬЯ  6</w:t>
      </w:r>
      <w:proofErr w:type="gramEnd"/>
      <w:r w:rsidRPr="00573D52">
        <w:rPr>
          <w:sz w:val="16"/>
          <w:szCs w:val="16"/>
        </w:rPr>
        <w:t>     (Пересм. ВКР-15)</w:t>
      </w:r>
    </w:p>
    <w:p w14:paraId="0C877DAE" w14:textId="2FB7147A" w:rsidR="00E30ECE" w:rsidRPr="00573D52" w:rsidRDefault="00573D52" w:rsidP="000658FC">
      <w:pPr>
        <w:pStyle w:val="AppArttitle"/>
        <w:rPr>
          <w:b w:val="0"/>
          <w:sz w:val="16"/>
          <w:szCs w:val="16"/>
        </w:rPr>
      </w:pPr>
      <w:r w:rsidRPr="00573D52">
        <w:t xml:space="preserve">Процедуры для преобразования выделения в присвоение, </w:t>
      </w:r>
      <w:r w:rsidRPr="00573D52">
        <w:br/>
        <w:t xml:space="preserve">для введения дополнительной системы или для изменения </w:t>
      </w:r>
      <w:r w:rsidRPr="00573D52">
        <w:br/>
        <w:t>присвоения в Списке</w:t>
      </w:r>
      <w:r w:rsidRPr="00573D52">
        <w:rPr>
          <w:rStyle w:val="FootnoteReference"/>
          <w:b w:val="0"/>
          <w:bCs/>
        </w:rPr>
        <w:t>1, 2</w:t>
      </w:r>
      <w:r w:rsidRPr="00573D52">
        <w:rPr>
          <w:bCs/>
          <w:sz w:val="16"/>
          <w:szCs w:val="16"/>
        </w:rPr>
        <w:t>  </w:t>
      </w:r>
      <w:proofErr w:type="gramStart"/>
      <w:r w:rsidRPr="00573D52">
        <w:rPr>
          <w:bCs/>
          <w:sz w:val="16"/>
          <w:szCs w:val="16"/>
        </w:rPr>
        <w:t>   </w:t>
      </w:r>
      <w:r w:rsidRPr="00573D52">
        <w:rPr>
          <w:b w:val="0"/>
          <w:sz w:val="16"/>
          <w:szCs w:val="16"/>
        </w:rPr>
        <w:t>(</w:t>
      </w:r>
      <w:proofErr w:type="gramEnd"/>
      <w:r w:rsidRPr="00573D52">
        <w:rPr>
          <w:b w:val="0"/>
          <w:sz w:val="16"/>
          <w:szCs w:val="16"/>
        </w:rPr>
        <w:t>ВКР-15)</w:t>
      </w:r>
    </w:p>
    <w:p w14:paraId="44ED2280" w14:textId="77777777" w:rsidR="00D576A9" w:rsidRPr="00573D52" w:rsidRDefault="00573D52">
      <w:pPr>
        <w:pStyle w:val="Proposal"/>
      </w:pPr>
      <w:proofErr w:type="spellStart"/>
      <w:r w:rsidRPr="00573D52">
        <w:t>ADD</w:t>
      </w:r>
      <w:proofErr w:type="spellEnd"/>
      <w:r w:rsidRPr="00573D52">
        <w:tab/>
      </w:r>
      <w:proofErr w:type="spellStart"/>
      <w:r w:rsidRPr="00573D52">
        <w:t>IAP</w:t>
      </w:r>
      <w:proofErr w:type="spellEnd"/>
      <w:r w:rsidRPr="00573D52">
        <w:t>/</w:t>
      </w:r>
      <w:proofErr w:type="spellStart"/>
      <w:r w:rsidRPr="00573D52">
        <w:t>11A19A3A3</w:t>
      </w:r>
      <w:proofErr w:type="spellEnd"/>
      <w:r w:rsidRPr="00573D52">
        <w:t>/1</w:t>
      </w:r>
      <w:r w:rsidRPr="00573D52">
        <w:rPr>
          <w:vanish/>
          <w:color w:val="7F7F7F" w:themeColor="text1" w:themeTint="80"/>
          <w:vertAlign w:val="superscript"/>
        </w:rPr>
        <w:t>#50069</w:t>
      </w:r>
    </w:p>
    <w:p w14:paraId="58515B5F" w14:textId="77777777" w:rsidR="00A5302E" w:rsidRPr="00E74F8C" w:rsidRDefault="00573D52" w:rsidP="00301E49">
      <w:pPr>
        <w:rPr>
          <w:lang w:eastAsia="zh-CN"/>
        </w:rPr>
      </w:pPr>
      <w:proofErr w:type="spellStart"/>
      <w:r w:rsidRPr="00573D52">
        <w:rPr>
          <w:rStyle w:val="Provsplit"/>
        </w:rPr>
        <w:t>6.15</w:t>
      </w:r>
      <w:r w:rsidRPr="00573D52">
        <w:rPr>
          <w:rStyle w:val="Provsplit"/>
          <w:i/>
          <w:iCs/>
        </w:rPr>
        <w:t>bis</w:t>
      </w:r>
      <w:proofErr w:type="spellEnd"/>
      <w:r w:rsidRPr="00573D52">
        <w:rPr>
          <w:lang w:eastAsia="zh-CN"/>
        </w:rPr>
        <w:tab/>
        <w:t xml:space="preserve">Порядок действий, описанный в </w:t>
      </w:r>
      <w:r w:rsidRPr="00573D52">
        <w:rPr>
          <w:spacing w:val="-2"/>
        </w:rPr>
        <w:t>§</w:t>
      </w:r>
      <w:r w:rsidRPr="00573D52">
        <w:rPr>
          <w:lang w:eastAsia="zh-CN"/>
        </w:rPr>
        <w:t>§ 6.13</w:t>
      </w:r>
      <w:r w:rsidRPr="00573D52">
        <w:t>–</w:t>
      </w:r>
      <w:r w:rsidRPr="00573D52">
        <w:rPr>
          <w:lang w:eastAsia="zh-CN"/>
        </w:rPr>
        <w:t>6.15, не применяется к согласию, запрошенному в соответствии с § 6.6.</w:t>
      </w:r>
      <w:r w:rsidRPr="00573D52">
        <w:rPr>
          <w:sz w:val="16"/>
          <w:szCs w:val="16"/>
        </w:rPr>
        <w:t>     </w:t>
      </w:r>
      <w:r w:rsidRPr="00E74F8C">
        <w:rPr>
          <w:sz w:val="16"/>
          <w:szCs w:val="16"/>
        </w:rPr>
        <w:t>(</w:t>
      </w:r>
      <w:r w:rsidRPr="00573D52">
        <w:rPr>
          <w:sz w:val="16"/>
          <w:szCs w:val="16"/>
        </w:rPr>
        <w:t>ВКР</w:t>
      </w:r>
      <w:r w:rsidRPr="00E74F8C">
        <w:rPr>
          <w:sz w:val="16"/>
          <w:szCs w:val="16"/>
        </w:rPr>
        <w:t>-19)</w:t>
      </w:r>
    </w:p>
    <w:p w14:paraId="442B214E" w14:textId="26648C72" w:rsidR="00D576A9" w:rsidRPr="00DD3724" w:rsidRDefault="00573D52">
      <w:pPr>
        <w:pStyle w:val="Reasons"/>
        <w:rPr>
          <w:bCs/>
        </w:rPr>
      </w:pPr>
      <w:r w:rsidRPr="00573D52">
        <w:rPr>
          <w:b/>
        </w:rPr>
        <w:t>Основания</w:t>
      </w:r>
      <w:r w:rsidRPr="00E11120">
        <w:rPr>
          <w:bCs/>
        </w:rPr>
        <w:t>:</w:t>
      </w:r>
      <w:r w:rsidRPr="00E11120">
        <w:tab/>
      </w:r>
      <w:r w:rsidR="00E11120" w:rsidRPr="00E11120">
        <w:t xml:space="preserve">Изменения </w:t>
      </w:r>
      <w:r w:rsidR="0099389A">
        <w:t>необходимы в целях</w:t>
      </w:r>
      <w:r w:rsidR="00E11120" w:rsidRPr="00E11120">
        <w:t xml:space="preserve"> </w:t>
      </w:r>
      <w:r w:rsidR="0099389A" w:rsidRPr="0099389A">
        <w:t xml:space="preserve">четкого указания на то, что к администрациям, определенным согласно § 6.6 Приложения </w:t>
      </w:r>
      <w:proofErr w:type="spellStart"/>
      <w:r w:rsidR="0099389A" w:rsidRPr="0099389A">
        <w:rPr>
          <w:b/>
          <w:bCs/>
        </w:rPr>
        <w:t>30В</w:t>
      </w:r>
      <w:proofErr w:type="spellEnd"/>
      <w:r w:rsidR="0099389A" w:rsidRPr="0099389A">
        <w:t xml:space="preserve">, неприменимы §§ 6.13–6.15 Приложения </w:t>
      </w:r>
      <w:proofErr w:type="spellStart"/>
      <w:r w:rsidR="0099389A" w:rsidRPr="0099389A">
        <w:rPr>
          <w:b/>
          <w:bCs/>
        </w:rPr>
        <w:t>30В</w:t>
      </w:r>
      <w:proofErr w:type="spellEnd"/>
      <w:r w:rsidRPr="00DD3724">
        <w:rPr>
          <w:bCs/>
        </w:rPr>
        <w:t>.</w:t>
      </w:r>
      <w:r w:rsidR="0099389A" w:rsidRPr="00DD3724">
        <w:rPr>
          <w:bCs/>
        </w:rPr>
        <w:t xml:space="preserve"> </w:t>
      </w:r>
    </w:p>
    <w:p w14:paraId="5D94BF7B" w14:textId="2A585FE7" w:rsidR="00573D52" w:rsidRPr="00573D52" w:rsidRDefault="00573D52" w:rsidP="00573D52">
      <w:pPr>
        <w:spacing w:before="480"/>
        <w:jc w:val="center"/>
      </w:pPr>
      <w:r w:rsidRPr="00573D52">
        <w:t>______________</w:t>
      </w:r>
    </w:p>
    <w:sectPr w:rsidR="00573D52" w:rsidRPr="00573D5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2B8F1" w14:textId="77777777" w:rsidR="00F1578A" w:rsidRDefault="00F1578A">
      <w:r>
        <w:separator/>
      </w:r>
    </w:p>
  </w:endnote>
  <w:endnote w:type="continuationSeparator" w:id="0">
    <w:p w14:paraId="0565446C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6B2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2A549E" w14:textId="5970F5F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B1DDB">
      <w:rPr>
        <w:noProof/>
        <w:lang w:val="fr-FR"/>
      </w:rPr>
      <w:t>P:\RUS\ITU-R\CONF-R\CMR19\000\011ADD19ADD03ADD03R.docx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1DDB">
      <w:rPr>
        <w:noProof/>
      </w:rPr>
      <w:t>04.10.19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1DDB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B9490" w14:textId="33B1F7D1" w:rsidR="00567276" w:rsidRDefault="00F1734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B1DDB">
      <w:rPr>
        <w:lang w:val="fr-FR"/>
      </w:rPr>
      <w:t>P:\RUS\ITU-R\CONF-R\CMR19\000\011ADD19ADD03ADD03R.docx</w:t>
    </w:r>
    <w:r>
      <w:fldChar w:fldCharType="end"/>
    </w:r>
    <w:r>
      <w:t xml:space="preserve"> (460803)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D872B" w14:textId="489A224F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B1DDB">
      <w:rPr>
        <w:lang w:val="fr-FR"/>
      </w:rPr>
      <w:t>P:\RUS\ITU-R\CONF-R\CMR19\000\011ADD19ADD03ADD03R.docx</w:t>
    </w:r>
    <w:r>
      <w:fldChar w:fldCharType="end"/>
    </w:r>
    <w:r w:rsidR="00F1734D">
      <w:t xml:space="preserve"> (460803)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7954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BC445B3" w14:textId="77777777" w:rsidR="00F1578A" w:rsidRDefault="00F1578A">
      <w:r>
        <w:continuationSeparator/>
      </w:r>
    </w:p>
  </w:footnote>
  <w:footnote w:id="1">
    <w:p w14:paraId="30ED3F33" w14:textId="0D337E37" w:rsidR="00573D52" w:rsidRPr="00BB05DB" w:rsidRDefault="00573D52" w:rsidP="00573D52">
      <w:pPr>
        <w:pStyle w:val="FootnoteText"/>
        <w:rPr>
          <w:szCs w:val="24"/>
          <w:lang w:val="ru-RU"/>
        </w:rPr>
      </w:pPr>
      <w:r w:rsidRPr="00EB0285">
        <w:rPr>
          <w:rStyle w:val="FootnoteReference"/>
          <w:szCs w:val="24"/>
        </w:rPr>
        <w:footnoteRef/>
      </w:r>
      <w:r w:rsidRPr="00BB05DB">
        <w:rPr>
          <w:szCs w:val="24"/>
          <w:lang w:val="ru-RU"/>
        </w:rPr>
        <w:tab/>
        <w:t>См.</w:t>
      </w:r>
      <w:r w:rsidRPr="00EB0285">
        <w:rPr>
          <w:szCs w:val="24"/>
        </w:rPr>
        <w:t> </w:t>
      </w:r>
      <w:r w:rsidR="00A77105" w:rsidRPr="00A77105">
        <w:rPr>
          <w:lang w:val="ru-RU"/>
        </w:rPr>
        <w:t>§</w:t>
      </w:r>
      <w:r w:rsidR="00A77105">
        <w:rPr>
          <w:lang w:val="ru-RU"/>
        </w:rPr>
        <w:t xml:space="preserve"> </w:t>
      </w:r>
      <w:r w:rsidRPr="00BB05DB">
        <w:rPr>
          <w:szCs w:val="24"/>
          <w:lang w:val="ru-RU"/>
        </w:rPr>
        <w:t>2.6</w:t>
      </w:r>
      <w:r w:rsidRPr="00BB05DB">
        <w:rPr>
          <w:i/>
          <w:szCs w:val="24"/>
          <w:lang w:val="ru-RU"/>
        </w:rPr>
        <w:t xml:space="preserve"> </w:t>
      </w:r>
      <w:r w:rsidRPr="00BB05DB">
        <w:rPr>
          <w:szCs w:val="24"/>
          <w:lang w:val="ru-RU"/>
        </w:rPr>
        <w:t>Приложения</w:t>
      </w:r>
      <w:r w:rsidRPr="00EB0285">
        <w:rPr>
          <w:szCs w:val="24"/>
        </w:rPr>
        <w:t> </w:t>
      </w:r>
      <w:r w:rsidRPr="00BB05DB">
        <w:rPr>
          <w:b/>
          <w:szCs w:val="24"/>
          <w:lang w:val="ru-RU"/>
        </w:rPr>
        <w:t>30</w:t>
      </w:r>
      <w:r w:rsidRPr="00EB0285">
        <w:rPr>
          <w:b/>
          <w:szCs w:val="24"/>
        </w:rPr>
        <w:t>B</w:t>
      </w:r>
      <w:r w:rsidRPr="00BB05DB">
        <w:rPr>
          <w:szCs w:val="24"/>
          <w:lang w:val="ru-RU"/>
        </w:rPr>
        <w:t xml:space="preserve"> к</w:t>
      </w:r>
      <w:r w:rsidRPr="00EB0285">
        <w:rPr>
          <w:szCs w:val="24"/>
        </w:rPr>
        <w:t> </w:t>
      </w:r>
      <w:r w:rsidRPr="00BB05DB">
        <w:rPr>
          <w:szCs w:val="24"/>
          <w:lang w:val="ru-RU"/>
        </w:rPr>
        <w:t>РР.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A55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FB5C7E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11(Add.19)(Add.3)(Add.3)-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1CAB"/>
    <w:rsid w:val="00244253"/>
    <w:rsid w:val="002449AA"/>
    <w:rsid w:val="00245A1F"/>
    <w:rsid w:val="00290C74"/>
    <w:rsid w:val="002A2D3F"/>
    <w:rsid w:val="00300F84"/>
    <w:rsid w:val="003258F2"/>
    <w:rsid w:val="00344EB8"/>
    <w:rsid w:val="00346BEC"/>
    <w:rsid w:val="00362ADC"/>
    <w:rsid w:val="00371E4B"/>
    <w:rsid w:val="00387F2C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3D52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1258"/>
    <w:rsid w:val="00735A6E"/>
    <w:rsid w:val="00763F4F"/>
    <w:rsid w:val="00775720"/>
    <w:rsid w:val="007917AE"/>
    <w:rsid w:val="007A08B5"/>
    <w:rsid w:val="00802030"/>
    <w:rsid w:val="00811633"/>
    <w:rsid w:val="00812452"/>
    <w:rsid w:val="00815749"/>
    <w:rsid w:val="008454AC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389A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7105"/>
    <w:rsid w:val="00A81026"/>
    <w:rsid w:val="00A97EC0"/>
    <w:rsid w:val="00AB7E72"/>
    <w:rsid w:val="00AC66E6"/>
    <w:rsid w:val="00B24E60"/>
    <w:rsid w:val="00B468A6"/>
    <w:rsid w:val="00B716E7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576A9"/>
    <w:rsid w:val="00D800F6"/>
    <w:rsid w:val="00DB1DDB"/>
    <w:rsid w:val="00DD3724"/>
    <w:rsid w:val="00DE2EBA"/>
    <w:rsid w:val="00E11120"/>
    <w:rsid w:val="00E2253F"/>
    <w:rsid w:val="00E36512"/>
    <w:rsid w:val="00E43E99"/>
    <w:rsid w:val="00E5155F"/>
    <w:rsid w:val="00E64429"/>
    <w:rsid w:val="00E65919"/>
    <w:rsid w:val="00E74F8C"/>
    <w:rsid w:val="00E976C1"/>
    <w:rsid w:val="00EA0C0C"/>
    <w:rsid w:val="00EB66F7"/>
    <w:rsid w:val="00F1578A"/>
    <w:rsid w:val="00F1734D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2404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6CFFF-75ED-4B82-BCB7-22B722861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D9325-510F-42B5-AD87-96EC4BF5AB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4AF2C8-06BE-495B-B4C6-B7CE58EA8933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331349-B73C-4524-BB72-08137896C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713</Words>
  <Characters>4522</Characters>
  <Application>Microsoft Office Word</Application>
  <DocSecurity>0</DocSecurity>
  <Lines>87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R16-WRC19-C-0011!A19-A3-A3!MSW-R</vt:lpstr>
    </vt:vector>
  </TitlesOfParts>
  <Manager>General Secretariat - Pool</Manager>
  <Company>International Telecommunication Union (ITU)</Company>
  <LinksUpToDate>false</LinksUpToDate>
  <CharactersWithSpaces>5223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R16-WRC19-C-0011!A19-A3-A3!MSW-R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4</cp:revision>
  <cp:lastPrinted>2019-10-18T15:02:00Z</cp:lastPrinted>
  <dcterms:created xsi:type="dcterms:W3CDTF">2019-10-04T17:45:00Z</dcterms:created>
  <dcterms:modified xsi:type="dcterms:W3CDTF">2019-10-18T15:03:00Z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