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BB1D82" w:rsidRPr="007E4E27" w14:paraId="35334E20" w14:textId="77777777" w:rsidTr="00B72456">
        <w:trPr>
          <w:cantSplit/>
        </w:trPr>
        <w:tc>
          <w:tcPr>
            <w:tcW w:w="6804" w:type="dxa"/>
          </w:tcPr>
          <w:p w14:paraId="54295E8A" w14:textId="77777777" w:rsidR="00BB1D82" w:rsidRPr="007E4E27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7E4E27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7E4E27">
              <w:rPr>
                <w:rFonts w:ascii="Verdana" w:hAnsi="Verdana"/>
                <w:b/>
                <w:bCs/>
                <w:sz w:val="20"/>
              </w:rPr>
              <w:t>9</w:t>
            </w:r>
            <w:r w:rsidRPr="007E4E27">
              <w:rPr>
                <w:rFonts w:ascii="Verdana" w:hAnsi="Verdana"/>
                <w:b/>
                <w:bCs/>
                <w:sz w:val="20"/>
              </w:rPr>
              <w:t>)</w:t>
            </w:r>
            <w:r w:rsidRPr="007E4E27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7E4E27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7E4E27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7E4E27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7E4E27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7E4E2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7E4E2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7E4E27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7E4E27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7E4E2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7E4E2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7E4E2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7E4E27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7E4E27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227" w:type="dxa"/>
          </w:tcPr>
          <w:p w14:paraId="521CC80C" w14:textId="77777777" w:rsidR="00BB1D82" w:rsidRPr="007E4E27" w:rsidRDefault="000A55AE" w:rsidP="002C28A4">
            <w:pPr>
              <w:spacing w:before="0" w:line="240" w:lineRule="atLeast"/>
              <w:jc w:val="right"/>
            </w:pPr>
            <w:r w:rsidRPr="007E4E27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7041A01E" wp14:editId="20A89F7A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7E4E27" w14:paraId="4A024A65" w14:textId="77777777" w:rsidTr="00B72456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0C48EC55" w14:textId="77777777" w:rsidR="00BB1D82" w:rsidRPr="007E4E27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649F3006" w14:textId="77777777" w:rsidR="00BB1D82" w:rsidRPr="007E4E27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7E4E27" w14:paraId="56C95B12" w14:textId="77777777" w:rsidTr="00B72456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54ECD3F7" w14:textId="77777777" w:rsidR="00BB1D82" w:rsidRPr="007E4E27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_GoBack"/>
            <w:bookmarkEnd w:id="1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1C8C8B51" w14:textId="77777777" w:rsidR="00BB1D82" w:rsidRPr="007E4E27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7E4E27" w14:paraId="582EFF1A" w14:textId="77777777" w:rsidTr="00B72456">
        <w:trPr>
          <w:cantSplit/>
        </w:trPr>
        <w:tc>
          <w:tcPr>
            <w:tcW w:w="6804" w:type="dxa"/>
          </w:tcPr>
          <w:p w14:paraId="05B7A7AC" w14:textId="77777777" w:rsidR="00BB1D82" w:rsidRPr="007E4E27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E4E27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227" w:type="dxa"/>
          </w:tcPr>
          <w:p w14:paraId="71A814B3" w14:textId="77777777" w:rsidR="00BB1D82" w:rsidRPr="007E4E27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7E4E27">
              <w:rPr>
                <w:rFonts w:ascii="Verdana" w:hAnsi="Verdana"/>
                <w:b/>
                <w:sz w:val="20"/>
              </w:rPr>
              <w:t>Addendum 3 au</w:t>
            </w:r>
            <w:r w:rsidRPr="007E4E27">
              <w:rPr>
                <w:rFonts w:ascii="Verdana" w:hAnsi="Verdana"/>
                <w:b/>
                <w:sz w:val="20"/>
              </w:rPr>
              <w:br/>
              <w:t>Document 11(Add.19)(Add.3)</w:t>
            </w:r>
            <w:r w:rsidR="00BB1D82" w:rsidRPr="007E4E27">
              <w:rPr>
                <w:rFonts w:ascii="Verdana" w:hAnsi="Verdana"/>
                <w:b/>
                <w:sz w:val="20"/>
              </w:rPr>
              <w:t>-</w:t>
            </w:r>
            <w:r w:rsidRPr="007E4E27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7E4E27" w14:paraId="0B29505B" w14:textId="77777777" w:rsidTr="00B72456">
        <w:trPr>
          <w:cantSplit/>
        </w:trPr>
        <w:tc>
          <w:tcPr>
            <w:tcW w:w="6804" w:type="dxa"/>
          </w:tcPr>
          <w:p w14:paraId="1DFD6DD3" w14:textId="77777777" w:rsidR="00690C7B" w:rsidRPr="007E4E27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27" w:type="dxa"/>
          </w:tcPr>
          <w:p w14:paraId="1E6B0847" w14:textId="77777777" w:rsidR="00690C7B" w:rsidRPr="007E4E27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E4E27">
              <w:rPr>
                <w:rFonts w:ascii="Verdana" w:hAnsi="Verdana"/>
                <w:b/>
                <w:sz w:val="20"/>
              </w:rPr>
              <w:t>13 septembre 2019</w:t>
            </w:r>
          </w:p>
        </w:tc>
      </w:tr>
      <w:tr w:rsidR="00690C7B" w:rsidRPr="007E4E27" w14:paraId="193FCE2E" w14:textId="77777777" w:rsidTr="00B72456">
        <w:trPr>
          <w:cantSplit/>
        </w:trPr>
        <w:tc>
          <w:tcPr>
            <w:tcW w:w="6804" w:type="dxa"/>
          </w:tcPr>
          <w:p w14:paraId="4AFC6E40" w14:textId="77777777" w:rsidR="00690C7B" w:rsidRPr="007E4E27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511E7A1F" w14:textId="17C9C368" w:rsidR="00690C7B" w:rsidRPr="007E4E27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E4E27">
              <w:rPr>
                <w:rFonts w:ascii="Verdana" w:hAnsi="Verdana"/>
                <w:b/>
                <w:sz w:val="20"/>
              </w:rPr>
              <w:t>Original: anglais</w:t>
            </w:r>
            <w:r w:rsidR="00B84FAD" w:rsidRPr="007E4E27">
              <w:rPr>
                <w:rFonts w:ascii="Verdana" w:hAnsi="Verdana"/>
                <w:b/>
                <w:sz w:val="20"/>
              </w:rPr>
              <w:t>/espagnol</w:t>
            </w:r>
          </w:p>
        </w:tc>
      </w:tr>
      <w:tr w:rsidR="00690C7B" w:rsidRPr="007E4E27" w14:paraId="7DFBCA8C" w14:textId="77777777" w:rsidTr="00C11970">
        <w:trPr>
          <w:cantSplit/>
        </w:trPr>
        <w:tc>
          <w:tcPr>
            <w:tcW w:w="10031" w:type="dxa"/>
            <w:gridSpan w:val="2"/>
          </w:tcPr>
          <w:p w14:paraId="3FD58929" w14:textId="77777777" w:rsidR="00690C7B" w:rsidRPr="007E4E27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7E4E27" w14:paraId="084EAB9D" w14:textId="77777777" w:rsidTr="0050008E">
        <w:trPr>
          <w:cantSplit/>
        </w:trPr>
        <w:tc>
          <w:tcPr>
            <w:tcW w:w="10031" w:type="dxa"/>
            <w:gridSpan w:val="2"/>
          </w:tcPr>
          <w:p w14:paraId="3F966933" w14:textId="77777777" w:rsidR="00690C7B" w:rsidRPr="007E4E27" w:rsidRDefault="00690C7B" w:rsidP="00690C7B">
            <w:pPr>
              <w:pStyle w:val="Source"/>
            </w:pPr>
            <w:bookmarkStart w:id="2" w:name="dsource" w:colFirst="0" w:colLast="0"/>
            <w:r w:rsidRPr="007E4E27">
              <w:t>États Membres de la Commission interaméricaine des télécommunications (CITEL)</w:t>
            </w:r>
          </w:p>
        </w:tc>
      </w:tr>
      <w:tr w:rsidR="00690C7B" w:rsidRPr="007E4E27" w14:paraId="0592B7A8" w14:textId="77777777" w:rsidTr="0050008E">
        <w:trPr>
          <w:cantSplit/>
        </w:trPr>
        <w:tc>
          <w:tcPr>
            <w:tcW w:w="10031" w:type="dxa"/>
            <w:gridSpan w:val="2"/>
          </w:tcPr>
          <w:p w14:paraId="4D1A5098" w14:textId="33652698" w:rsidR="00690C7B" w:rsidRPr="007E4E27" w:rsidRDefault="008B3E9B" w:rsidP="00690C7B">
            <w:pPr>
              <w:pStyle w:val="Title1"/>
            </w:pPr>
            <w:bookmarkStart w:id="3" w:name="dtitle1" w:colFirst="0" w:colLast="0"/>
            <w:bookmarkEnd w:id="2"/>
            <w:r w:rsidRPr="007E4E27">
              <w:t>PROPOSITIONS POUR LES TRAVAUX DE LA CONFÉrence</w:t>
            </w:r>
          </w:p>
        </w:tc>
      </w:tr>
      <w:tr w:rsidR="00690C7B" w:rsidRPr="007E4E27" w14:paraId="501F0B07" w14:textId="77777777" w:rsidTr="0050008E">
        <w:trPr>
          <w:cantSplit/>
        </w:trPr>
        <w:tc>
          <w:tcPr>
            <w:tcW w:w="10031" w:type="dxa"/>
            <w:gridSpan w:val="2"/>
          </w:tcPr>
          <w:p w14:paraId="689C52BD" w14:textId="77777777" w:rsidR="00690C7B" w:rsidRPr="007E4E27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7E4E27" w14:paraId="0AFDED6B" w14:textId="77777777" w:rsidTr="0050008E">
        <w:trPr>
          <w:cantSplit/>
        </w:trPr>
        <w:tc>
          <w:tcPr>
            <w:tcW w:w="10031" w:type="dxa"/>
            <w:gridSpan w:val="2"/>
          </w:tcPr>
          <w:p w14:paraId="51F6FABC" w14:textId="77777777" w:rsidR="00690C7B" w:rsidRPr="007E4E27" w:rsidRDefault="00690C7B" w:rsidP="00690C7B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7E4E27">
              <w:rPr>
                <w:lang w:val="fr-FR"/>
              </w:rPr>
              <w:t>Point 7(C) de l'ordre du jour</w:t>
            </w:r>
          </w:p>
        </w:tc>
      </w:tr>
    </w:tbl>
    <w:bookmarkEnd w:id="5"/>
    <w:p w14:paraId="4A89E3A8" w14:textId="23148903" w:rsidR="001C0E40" w:rsidRPr="007E4E27" w:rsidRDefault="009A5993" w:rsidP="009E6B69">
      <w:r w:rsidRPr="007E4E27">
        <w:t>7</w:t>
      </w:r>
      <w:r w:rsidRPr="007E4E27">
        <w:tab/>
        <w:t xml:space="preserve">examiner d'éventuels changements à apporter, et d'autres options à mettre en </w:t>
      </w:r>
      <w:r w:rsidR="005D534C" w:rsidRPr="007E4E27">
        <w:t>œuvre</w:t>
      </w:r>
      <w:r w:rsidRPr="007E4E27">
        <w:t xml:space="preserve">, en application de la Résolution 86 (Rév. Marrakech, 2002) de la Conférence de plénipotentiaires, intitulée </w:t>
      </w:r>
      <w:r w:rsidR="00A31CC7" w:rsidRPr="007E4E27">
        <w:t>«</w:t>
      </w:r>
      <w:r w:rsidRPr="007E4E27">
        <w:t>Procédures de publication anticipée, de coordination, de notification et d'inscription des assignations de fréquence relatives aux réseaux à satellite</w:t>
      </w:r>
      <w:r w:rsidR="00A31CC7" w:rsidRPr="007E4E27">
        <w:t>»</w:t>
      </w:r>
      <w:r w:rsidRPr="007E4E27">
        <w:t>, conformément à la Résolution </w:t>
      </w:r>
      <w:r w:rsidRPr="007E4E27">
        <w:rPr>
          <w:b/>
          <w:bCs/>
        </w:rPr>
        <w:t>86 (Rév.CMR-07)</w:t>
      </w:r>
      <w:r w:rsidRPr="007E4E27">
        <w:t>, afin de faciliter l'utilisation rationnelle, efficace et économique des fréquences radioélectriques et des orbites associées, y compris de l'orbite des satellites géostationnaires;</w:t>
      </w:r>
    </w:p>
    <w:p w14:paraId="26EF904E" w14:textId="3F19CDEC" w:rsidR="001C0E40" w:rsidRPr="007E4E27" w:rsidRDefault="009A5993" w:rsidP="009E6B69">
      <w:r w:rsidRPr="007E4E27">
        <w:t>7(C)</w:t>
      </w:r>
      <w:r w:rsidRPr="007E4E27">
        <w:tab/>
        <w:t>Question C – Questions pour lesquelles un consensus a été trouvé à l'UIT-R et une seule méthode a été identifiée</w:t>
      </w:r>
    </w:p>
    <w:p w14:paraId="5BFDA329" w14:textId="65D907BD" w:rsidR="00B84FAD" w:rsidRPr="007E4E27" w:rsidRDefault="00B84FAD" w:rsidP="009E6B69">
      <w:r w:rsidRPr="007E4E27">
        <w:t>La Question C englobe plusieurs sujets différents considérés comme simples, et pour lesquels un consensus a été facilement trouvé au sein de l'UIT-R. Les questions visent par exemple à remédier aux incohérences dans les dispositions réglementaires, à clarifier certaines pratiques existantes ou à rendre plus transparentes les procédures réglementaires.</w:t>
      </w:r>
    </w:p>
    <w:p w14:paraId="049C55B0" w14:textId="2F97C945" w:rsidR="00B84FAD" w:rsidRPr="007E4E27" w:rsidRDefault="008D2565" w:rsidP="007E2A6C">
      <w:pPr>
        <w:pStyle w:val="Title4"/>
      </w:pPr>
      <w:r w:rsidRPr="007E4E27">
        <w:t xml:space="preserve">Question </w:t>
      </w:r>
      <w:r w:rsidR="00B84FAD" w:rsidRPr="007E4E27">
        <w:t>C3</w:t>
      </w:r>
    </w:p>
    <w:p w14:paraId="2EED06C3" w14:textId="00AA159D" w:rsidR="005A4B51" w:rsidRPr="007E4E27" w:rsidRDefault="005A4B51" w:rsidP="009E6B69">
      <w:r w:rsidRPr="007E4E27">
        <w:t xml:space="preserve">La Question C3 traite des conséquences lorsqu'une administration notificatrice qui demande l'inclusion du territoire d'une administration étrangère conformément au </w:t>
      </w:r>
      <w:r w:rsidRPr="007E4E27">
        <w:rPr>
          <w:iCs/>
        </w:rPr>
        <w:t>§</w:t>
      </w:r>
      <w:r w:rsidR="00A31CC7" w:rsidRPr="007E4E27">
        <w:rPr>
          <w:iCs/>
        </w:rPr>
        <w:t> </w:t>
      </w:r>
      <w:r w:rsidRPr="007E4E27">
        <w:rPr>
          <w:iCs/>
        </w:rPr>
        <w:t>6.6</w:t>
      </w:r>
      <w:r w:rsidRPr="007E4E27">
        <w:t xml:space="preserve"> de l'Appendice </w:t>
      </w:r>
      <w:r w:rsidRPr="007E4E27">
        <w:rPr>
          <w:b/>
          <w:bCs/>
        </w:rPr>
        <w:t>30B</w:t>
      </w:r>
      <w:r w:rsidRPr="007E4E27">
        <w:t xml:space="preserve"> du RR ne répond pas aux lettres que lui a envoyées le Bureau à la suite d'une demande d'assistance.</w:t>
      </w:r>
    </w:p>
    <w:p w14:paraId="6E646B33" w14:textId="79E7032B" w:rsidR="008465D2" w:rsidRPr="007E4E27" w:rsidRDefault="008D2565" w:rsidP="009E6B69">
      <w:pPr>
        <w:pStyle w:val="Headingb"/>
      </w:pPr>
      <w:r w:rsidRPr="007E4E27">
        <w:t>Considérations générales</w:t>
      </w:r>
      <w:r w:rsidR="008465D2" w:rsidRPr="007E4E27">
        <w:t>:</w:t>
      </w:r>
    </w:p>
    <w:p w14:paraId="7823A761" w14:textId="0B5B7165" w:rsidR="003A3BA6" w:rsidRPr="007E4E27" w:rsidRDefault="003A3BA6" w:rsidP="00FF35C1">
      <w:r w:rsidRPr="007E4E27">
        <w:t xml:space="preserve">Une administration qui se propose de convertir un allotissement de l'Appendice </w:t>
      </w:r>
      <w:r w:rsidRPr="007E4E27">
        <w:rPr>
          <w:b/>
          <w:bCs/>
        </w:rPr>
        <w:t>30B</w:t>
      </w:r>
      <w:r w:rsidRPr="007E4E27">
        <w:t xml:space="preserve"> du RR </w:t>
      </w:r>
      <w:r w:rsidRPr="007E4E27">
        <w:rPr>
          <w:color w:val="000000"/>
        </w:rPr>
        <w:t>en assignation,</w:t>
      </w:r>
      <w:r w:rsidRPr="007E4E27">
        <w:t xml:space="preserve"> de mettre en œuvre un système additionnel</w:t>
      </w:r>
      <w:r w:rsidRPr="007E4E27">
        <w:rPr>
          <w:rStyle w:val="FootnoteReference"/>
          <w:spacing w:val="-2"/>
        </w:rPr>
        <w:footnoteReference w:id="1"/>
      </w:r>
      <w:r w:rsidRPr="007E4E27">
        <w:t xml:space="preserve"> ou de modifier les caractéristiques d'une assignation figurant dans la Liste de l'Appendice </w:t>
      </w:r>
      <w:r w:rsidRPr="007E4E27">
        <w:rPr>
          <w:b/>
          <w:bCs/>
        </w:rPr>
        <w:t>30B</w:t>
      </w:r>
      <w:r w:rsidRPr="007E4E27">
        <w:t xml:space="preserve"> du RR doit soumettre au Bureau les renseignements indiqués dans l'Appendice </w:t>
      </w:r>
      <w:r w:rsidRPr="007E4E27">
        <w:rPr>
          <w:b/>
          <w:bCs/>
        </w:rPr>
        <w:t>4</w:t>
      </w:r>
      <w:r w:rsidRPr="007E4E27">
        <w:t xml:space="preserve"> du RR. </w:t>
      </w:r>
      <w:r w:rsidRPr="007E4E27">
        <w:rPr>
          <w:color w:val="000000"/>
        </w:rPr>
        <w:t>Dès qu'il reçoit la fiche de notification, le Bureau l'examine et la publie dans une Section spéciale de la</w:t>
      </w:r>
      <w:r w:rsidRPr="007E4E27">
        <w:t xml:space="preserve"> BR IFIC. Cette Section spéciale peut </w:t>
      </w:r>
      <w:r w:rsidRPr="007E4E27">
        <w:lastRenderedPageBreak/>
        <w:t>notamment comporter deux types de prescriptions pour rechercher et obtenir l'accord des administrations affectées:</w:t>
      </w:r>
    </w:p>
    <w:p w14:paraId="0AD9333F" w14:textId="77777777" w:rsidR="003A3BA6" w:rsidRPr="007E4E27" w:rsidRDefault="003A3BA6" w:rsidP="009E6B69">
      <w:pPr>
        <w:pStyle w:val="enumlev1"/>
      </w:pPr>
      <w:r w:rsidRPr="007E4E27">
        <w:t>–</w:t>
      </w:r>
      <w:r w:rsidRPr="007E4E27">
        <w:tab/>
        <w:t xml:space="preserve">ayant des allotissements dans le Plan de l'Appendice </w:t>
      </w:r>
      <w:r w:rsidRPr="007E4E27">
        <w:rPr>
          <w:b/>
          <w:bCs/>
        </w:rPr>
        <w:t>30B</w:t>
      </w:r>
      <w:r w:rsidRPr="007E4E27">
        <w:t xml:space="preserve"> du RR ou des assignations figurant dans la Liste de l'Appendice </w:t>
      </w:r>
      <w:r w:rsidRPr="007E4E27">
        <w:rPr>
          <w:b/>
          <w:bCs/>
        </w:rPr>
        <w:t>30B</w:t>
      </w:r>
      <w:r w:rsidRPr="007E4E27">
        <w:t xml:space="preserve"> du RR, ou des assignations que le Bureau a déjà examinées (prescriptions identifiées au titre du § 6.5 de l'Appendice </w:t>
      </w:r>
      <w:r w:rsidRPr="007E4E27">
        <w:rPr>
          <w:b/>
          <w:bCs/>
        </w:rPr>
        <w:t>30B</w:t>
      </w:r>
      <w:r w:rsidRPr="007E4E27">
        <w:t xml:space="preserve"> du RR), ou</w:t>
      </w:r>
    </w:p>
    <w:p w14:paraId="498FA6DE" w14:textId="77777777" w:rsidR="003A3BA6" w:rsidRPr="007E4E27" w:rsidRDefault="003A3BA6" w:rsidP="009E6B69">
      <w:pPr>
        <w:pStyle w:val="enumlev1"/>
      </w:pPr>
      <w:r w:rsidRPr="007E4E27">
        <w:t>–</w:t>
      </w:r>
      <w:r w:rsidRPr="007E4E27">
        <w:tab/>
        <w:t xml:space="preserve">dont le territoire a été inclus dans la zone de service de l'assignation à l'examen. (prescriptions associées au § 6.6 de l'Appendice </w:t>
      </w:r>
      <w:r w:rsidRPr="007E4E27">
        <w:rPr>
          <w:b/>
          <w:bCs/>
        </w:rPr>
        <w:t>30B</w:t>
      </w:r>
      <w:r w:rsidRPr="007E4E27">
        <w:t xml:space="preserve"> du RR).</w:t>
      </w:r>
    </w:p>
    <w:p w14:paraId="4F7FC5DE" w14:textId="63E64548" w:rsidR="003A583E" w:rsidRPr="007E4E27" w:rsidRDefault="003A3BA6" w:rsidP="009E6B69">
      <w:r w:rsidRPr="007E4E27">
        <w:t xml:space="preserve">Il est important de noter que conformément au cadre réglementaire en vigueur, il existe dans l'Appendice </w:t>
      </w:r>
      <w:r w:rsidRPr="007E4E27">
        <w:rPr>
          <w:b/>
          <w:bCs/>
        </w:rPr>
        <w:t>30B</w:t>
      </w:r>
      <w:r w:rsidRPr="007E4E27">
        <w:t xml:space="preserve"> du RR une disposition particulière (§ 6.13) qui permet de demander l'assistance du Bureau en cas de non-réponse d'une administration affectée identifiée conformément au § 6.5 de l'Appendice </w:t>
      </w:r>
      <w:r w:rsidRPr="007E4E27">
        <w:rPr>
          <w:b/>
          <w:bCs/>
        </w:rPr>
        <w:t>30B</w:t>
      </w:r>
      <w:r w:rsidRPr="007E4E27">
        <w:t xml:space="preserve"> du RR, dans le délai de quatre mois prévu pour la soumission des observations. En cas de </w:t>
      </w:r>
      <w:r w:rsidR="007E4E27" w:rsidRPr="007E4E27">
        <w:t>non-réponse</w:t>
      </w:r>
      <w:r w:rsidRPr="007E4E27">
        <w:t xml:space="preserve"> aux lettres envoyées par le Bureau au titre des § 6.13, 6.14 et 6.14</w:t>
      </w:r>
      <w:r w:rsidRPr="007E4E27">
        <w:rPr>
          <w:i/>
          <w:iCs/>
        </w:rPr>
        <w:t>bis</w:t>
      </w:r>
      <w:r w:rsidRPr="007E4E27">
        <w:t xml:space="preserve"> de l'Appendice </w:t>
      </w:r>
      <w:r w:rsidRPr="007E4E27">
        <w:rPr>
          <w:b/>
          <w:bCs/>
        </w:rPr>
        <w:t>30B</w:t>
      </w:r>
      <w:r w:rsidRPr="007E4E27">
        <w:t xml:space="preserve"> du RR, cette administration identifiée selon le § 6.5 de l'Appendice </w:t>
      </w:r>
      <w:r w:rsidRPr="007E4E27">
        <w:rPr>
          <w:b/>
          <w:bCs/>
        </w:rPr>
        <w:t>30B</w:t>
      </w:r>
      <w:r w:rsidRPr="007E4E27">
        <w:t xml:space="preserve"> du RR sera réputée avoir donné son accord, conformément au § 6.15 de l'Appendice </w:t>
      </w:r>
      <w:r w:rsidRPr="007E4E27">
        <w:rPr>
          <w:b/>
          <w:bCs/>
        </w:rPr>
        <w:t>30B</w:t>
      </w:r>
      <w:r w:rsidRPr="007E4E27">
        <w:t xml:space="preserve"> du RR. Toutefois, aucune des dispositions visées ci-dessus (§ 6.13 à 6.15) ne s'applique dans le cas d'administrations affectées identifiées selon le § 6.6 de l'Appendice </w:t>
      </w:r>
      <w:r w:rsidRPr="007E4E27">
        <w:rPr>
          <w:b/>
          <w:bCs/>
        </w:rPr>
        <w:t>30B</w:t>
      </w:r>
      <w:r w:rsidRPr="007E4E27">
        <w:t xml:space="preserve"> du RR. En réalité, il n'existe pas un seul et même mécanisme réglementaire, dans l'Appendice </w:t>
      </w:r>
      <w:r w:rsidRPr="007E4E27">
        <w:rPr>
          <w:b/>
          <w:bCs/>
        </w:rPr>
        <w:t>30B</w:t>
      </w:r>
      <w:r w:rsidRPr="007E4E27">
        <w:t xml:space="preserve"> du RR, permettant de demander l'assistance du Bureau en pareil cas. S'agissant d'une demande d'assistance du Bureau sur une question relative à l'inclusion du territoire d'une administration, l'administration notificatrice, dans la demande qu'elle adresse au Bureau, et le Bureau, dans les lettres qu'il envoie par la suite à l'administration affectée, doivent invoquer à cet égard le numéro </w:t>
      </w:r>
      <w:r w:rsidRPr="007E4E27">
        <w:rPr>
          <w:rStyle w:val="Artref"/>
          <w:b/>
          <w:bCs/>
        </w:rPr>
        <w:t>13.1</w:t>
      </w:r>
      <w:r w:rsidRPr="007E4E27">
        <w:rPr>
          <w:b/>
          <w:bCs/>
        </w:rPr>
        <w:t xml:space="preserve"> </w:t>
      </w:r>
      <w:r w:rsidRPr="007E4E27">
        <w:t xml:space="preserve">du RR. De plus, le Règlement des radiocommunications actuellement en vigueur </w:t>
      </w:r>
      <w:r w:rsidRPr="007E4E27">
        <w:rPr>
          <w:color w:val="000000"/>
        </w:rPr>
        <w:t>ne précise pas ce que le Bureau doit faire lorsqu'une administration n'a répondu à aucune des lettres qu'il a envoyées au titre du</w:t>
      </w:r>
      <w:r w:rsidRPr="007E4E27">
        <w:t xml:space="preserve"> numéro</w:t>
      </w:r>
      <w:r w:rsidRPr="007E4E27">
        <w:rPr>
          <w:color w:val="000000"/>
        </w:rPr>
        <w:t> </w:t>
      </w:r>
      <w:r w:rsidRPr="007E4E27">
        <w:rPr>
          <w:rStyle w:val="Artref"/>
          <w:b/>
          <w:bCs/>
        </w:rPr>
        <w:t xml:space="preserve">13.1 </w:t>
      </w:r>
      <w:r w:rsidRPr="007E4E27">
        <w:t xml:space="preserve">du RR. Autrement dit, l'inclusion du territoire d'une administration identifiée conformément au § 6.6 de l'Appendice </w:t>
      </w:r>
      <w:r w:rsidRPr="007E4E27">
        <w:rPr>
          <w:b/>
          <w:bCs/>
        </w:rPr>
        <w:t>30B</w:t>
      </w:r>
      <w:r w:rsidRPr="007E4E27">
        <w:t xml:space="preserve"> du RR suppose nécessairement l'accord en bonne et due forme de cette administration et ne peut en aucun cas découler de l'absence de réponse à la demande initiale d'inclusion de son territoire, ou aux lettres éventuelles envoyées ultérieurement par le Bureau sur cette question.</w:t>
      </w:r>
    </w:p>
    <w:p w14:paraId="0E0D8018" w14:textId="1E5FF6EC" w:rsidR="00AD2852" w:rsidRPr="007E4E27" w:rsidRDefault="00CD1DBC" w:rsidP="009E6B69">
      <w:r w:rsidRPr="007E4E27">
        <w:t xml:space="preserve">Une seule méthode a été identifiée pour traiter </w:t>
      </w:r>
      <w:r w:rsidR="00584C70" w:rsidRPr="007E4E27">
        <w:t>ce problème</w:t>
      </w:r>
      <w:r w:rsidRPr="007E4E27">
        <w:t xml:space="preserve">. Elle consiste à ajouter une nouvelle disposition dans l'Article </w:t>
      </w:r>
      <w:r w:rsidRPr="007E4E27">
        <w:rPr>
          <w:b/>
          <w:bCs/>
        </w:rPr>
        <w:t>6</w:t>
      </w:r>
      <w:r w:rsidRPr="007E4E27">
        <w:t xml:space="preserve"> de l'Appendice </w:t>
      </w:r>
      <w:r w:rsidRPr="007E4E27">
        <w:rPr>
          <w:b/>
          <w:bCs/>
        </w:rPr>
        <w:t>30B</w:t>
      </w:r>
      <w:r w:rsidRPr="007E4E27">
        <w:t xml:space="preserve"> du RR, afin d'indiquer clairement que les § 6.13 à 6.15 de l'Appendice </w:t>
      </w:r>
      <w:r w:rsidRPr="007E4E27">
        <w:rPr>
          <w:b/>
          <w:bCs/>
        </w:rPr>
        <w:t>30B</w:t>
      </w:r>
      <w:r w:rsidRPr="007E4E27">
        <w:t xml:space="preserve"> du RR ne s'appliquent pas dans le contexte des besoins associés au § 6.6 de l'Appendice </w:t>
      </w:r>
      <w:r w:rsidRPr="007E4E27">
        <w:rPr>
          <w:b/>
          <w:bCs/>
        </w:rPr>
        <w:t>30B</w:t>
      </w:r>
      <w:r w:rsidRPr="007E4E27">
        <w:t xml:space="preserve"> du RR.</w:t>
      </w:r>
    </w:p>
    <w:p w14:paraId="73D6C510" w14:textId="77777777" w:rsidR="0015203F" w:rsidRPr="007E4E27" w:rsidRDefault="0015203F" w:rsidP="009E6B6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E4E27">
        <w:br w:type="page"/>
      </w:r>
    </w:p>
    <w:p w14:paraId="1152FAD7" w14:textId="77777777" w:rsidR="00221098" w:rsidRPr="007E2A6C" w:rsidRDefault="009A5993" w:rsidP="007E2A6C">
      <w:pPr>
        <w:pStyle w:val="AppendixNo"/>
      </w:pPr>
      <w:bookmarkStart w:id="6" w:name="_Toc459986382"/>
      <w:bookmarkStart w:id="7" w:name="_Toc459987816"/>
      <w:r w:rsidRPr="007E2A6C">
        <w:lastRenderedPageBreak/>
        <w:t xml:space="preserve">APPENDICE  </w:t>
      </w:r>
      <w:r w:rsidRPr="007E2A6C">
        <w:rPr>
          <w:rStyle w:val="href"/>
        </w:rPr>
        <w:t>30B</w:t>
      </w:r>
      <w:r w:rsidRPr="007E2A6C">
        <w:t xml:space="preserve">  (RÉV.CMR-15)</w:t>
      </w:r>
      <w:bookmarkEnd w:id="6"/>
      <w:bookmarkEnd w:id="7"/>
    </w:p>
    <w:p w14:paraId="376DBFAE" w14:textId="77777777" w:rsidR="00221098" w:rsidRPr="007E4E27" w:rsidRDefault="009A5993" w:rsidP="007E2A6C">
      <w:pPr>
        <w:pStyle w:val="Appendixtitle"/>
      </w:pPr>
      <w:bookmarkStart w:id="8" w:name="_Toc459986383"/>
      <w:bookmarkStart w:id="9" w:name="_Toc459987817"/>
      <w:r w:rsidRPr="007E4E27">
        <w:t>Dispositions et Plan associé pour le service fixe par satellite</w:t>
      </w:r>
      <w:r w:rsidRPr="007E4E27">
        <w:br/>
        <w:t>dans les bandes 4</w:t>
      </w:r>
      <w:r w:rsidRPr="007E4E27">
        <w:rPr>
          <w:rFonts w:ascii="Tms Rmn" w:hAnsi="Tms Rmn"/>
          <w:sz w:val="12"/>
        </w:rPr>
        <w:t> </w:t>
      </w:r>
      <w:r w:rsidRPr="007E4E27">
        <w:t>500-4</w:t>
      </w:r>
      <w:r w:rsidRPr="007E4E27">
        <w:rPr>
          <w:rFonts w:ascii="Tms Rmn" w:hAnsi="Tms Rmn"/>
          <w:sz w:val="12"/>
        </w:rPr>
        <w:t> </w:t>
      </w:r>
      <w:r w:rsidRPr="007E4E27">
        <w:t xml:space="preserve">800 </w:t>
      </w:r>
      <w:r w:rsidRPr="007E2A6C">
        <w:t>MHz</w:t>
      </w:r>
      <w:r w:rsidRPr="007E4E27">
        <w:t>, 6</w:t>
      </w:r>
      <w:r w:rsidRPr="007E4E27">
        <w:rPr>
          <w:rFonts w:ascii="Tms Rmn" w:hAnsi="Tms Rmn"/>
          <w:sz w:val="12"/>
        </w:rPr>
        <w:t> </w:t>
      </w:r>
      <w:r w:rsidRPr="007E4E27">
        <w:t>725-7</w:t>
      </w:r>
      <w:r w:rsidRPr="007E4E27">
        <w:rPr>
          <w:rFonts w:ascii="Tms Rmn" w:hAnsi="Tms Rmn"/>
          <w:sz w:val="12"/>
        </w:rPr>
        <w:t> </w:t>
      </w:r>
      <w:r w:rsidRPr="007E4E27">
        <w:t>025 MHz,</w:t>
      </w:r>
      <w:r w:rsidRPr="007E4E27">
        <w:br/>
        <w:t>10,70-10,95 GHz, 11,20-11,45 GHz et 12,75-13,25 GHz</w:t>
      </w:r>
      <w:bookmarkEnd w:id="8"/>
      <w:bookmarkEnd w:id="9"/>
    </w:p>
    <w:p w14:paraId="085F4B2F" w14:textId="77777777" w:rsidR="00221098" w:rsidRPr="007E4E27" w:rsidRDefault="009A5993" w:rsidP="009E6B69">
      <w:pPr>
        <w:pStyle w:val="AppArtNo"/>
      </w:pPr>
      <w:r w:rsidRPr="007E4E27">
        <w:t>ARTICLE  6     </w:t>
      </w:r>
      <w:r w:rsidRPr="007E4E27">
        <w:rPr>
          <w:sz w:val="16"/>
          <w:szCs w:val="16"/>
        </w:rPr>
        <w:t>(</w:t>
      </w:r>
      <w:r w:rsidRPr="007E4E27">
        <w:rPr>
          <w:sz w:val="16"/>
        </w:rPr>
        <w:t>Rév.</w:t>
      </w:r>
      <w:r w:rsidRPr="007E4E27">
        <w:rPr>
          <w:sz w:val="16"/>
          <w:szCs w:val="16"/>
        </w:rPr>
        <w:t>CMR</w:t>
      </w:r>
      <w:r w:rsidRPr="007E4E27">
        <w:rPr>
          <w:sz w:val="16"/>
          <w:szCs w:val="16"/>
        </w:rPr>
        <w:noBreakHyphen/>
        <w:t>15)</w:t>
      </w:r>
    </w:p>
    <w:p w14:paraId="4AD3FCCD" w14:textId="145192E5" w:rsidR="00221098" w:rsidRPr="007E4E27" w:rsidRDefault="009A5993" w:rsidP="009E6B69">
      <w:pPr>
        <w:pStyle w:val="AppArttitle"/>
        <w:keepNext w:val="0"/>
        <w:keepLines w:val="0"/>
        <w:rPr>
          <w:lang w:val="fr-FR"/>
        </w:rPr>
      </w:pPr>
      <w:bookmarkStart w:id="10" w:name="_Toc459986388"/>
      <w:r w:rsidRPr="007E4E27">
        <w:rPr>
          <w:lang w:val="fr-FR"/>
        </w:rPr>
        <w:t xml:space="preserve">Procédures applicables à la conversion d'un allotissement en assignation, </w:t>
      </w:r>
      <w:r w:rsidRPr="007E4E27">
        <w:rPr>
          <w:lang w:val="fr-FR"/>
        </w:rPr>
        <w:br/>
        <w:t xml:space="preserve">à la mise en œuvre d'un système additionnel ou à la modification </w:t>
      </w:r>
      <w:r w:rsidRPr="007E4E27">
        <w:rPr>
          <w:lang w:val="fr-FR"/>
        </w:rPr>
        <w:br/>
        <w:t>d'une assignation figurant dans la Liste</w:t>
      </w:r>
      <w:r w:rsidR="00542BA8" w:rsidRPr="007E4E27">
        <w:rPr>
          <w:rStyle w:val="FootnoteReference"/>
          <w:b w:val="0"/>
          <w:spacing w:val="-2"/>
          <w:lang w:val="fr-FR"/>
        </w:rPr>
        <w:t xml:space="preserve">1, 2      </w:t>
      </w:r>
      <w:r w:rsidRPr="007E4E27">
        <w:rPr>
          <w:b w:val="0"/>
          <w:bCs/>
          <w:sz w:val="16"/>
          <w:lang w:val="fr-FR"/>
        </w:rPr>
        <w:t>(CMR-15)</w:t>
      </w:r>
      <w:bookmarkEnd w:id="10"/>
    </w:p>
    <w:p w14:paraId="41961D30" w14:textId="77777777" w:rsidR="0061343C" w:rsidRPr="007E4E27" w:rsidRDefault="009A5993" w:rsidP="009E6B69">
      <w:pPr>
        <w:pStyle w:val="Proposal"/>
      </w:pPr>
      <w:r w:rsidRPr="007E4E27">
        <w:t>ADD</w:t>
      </w:r>
      <w:r w:rsidRPr="007E4E27">
        <w:tab/>
        <w:t>IAP/11A19A3A3/1</w:t>
      </w:r>
      <w:r w:rsidRPr="007E4E27">
        <w:rPr>
          <w:vanish/>
          <w:color w:val="7F7F7F" w:themeColor="text1" w:themeTint="80"/>
          <w:vertAlign w:val="superscript"/>
        </w:rPr>
        <w:t>#50069</w:t>
      </w:r>
    </w:p>
    <w:p w14:paraId="36EA96AD" w14:textId="17838145" w:rsidR="007132E2" w:rsidRPr="007E4E27" w:rsidRDefault="009A5993" w:rsidP="009E6B69">
      <w:pPr>
        <w:spacing w:after="120"/>
        <w:rPr>
          <w:lang w:eastAsia="zh-CN"/>
        </w:rPr>
      </w:pPr>
      <w:r w:rsidRPr="007E4E27">
        <w:rPr>
          <w:rStyle w:val="Provsplit"/>
        </w:rPr>
        <w:t>6.15</w:t>
      </w:r>
      <w:r w:rsidRPr="007E4E27">
        <w:rPr>
          <w:rStyle w:val="Provsplit"/>
          <w:i/>
          <w:iCs/>
        </w:rPr>
        <w:t>bis</w:t>
      </w:r>
      <w:r w:rsidRPr="007E4E27">
        <w:rPr>
          <w:lang w:eastAsia="zh-CN"/>
        </w:rPr>
        <w:tab/>
      </w:r>
      <w:r w:rsidRPr="007E2A6C">
        <w:t>Les mesures décrites aux §</w:t>
      </w:r>
      <w:r w:rsidR="00C06F9C" w:rsidRPr="007E2A6C">
        <w:t> </w:t>
      </w:r>
      <w:r w:rsidRPr="007E2A6C">
        <w:t>6.13 à 6.15 ne s'appliquent pas à l'accord demandé au titre du §</w:t>
      </w:r>
      <w:r w:rsidR="00C06F9C" w:rsidRPr="007E2A6C">
        <w:t> </w:t>
      </w:r>
      <w:r w:rsidRPr="007E2A6C">
        <w:t>6.6.</w:t>
      </w:r>
      <w:r w:rsidRPr="007E4E27">
        <w:rPr>
          <w:sz w:val="16"/>
          <w:szCs w:val="16"/>
        </w:rPr>
        <w:t>     (CMR</w:t>
      </w:r>
      <w:r w:rsidRPr="007E4E27">
        <w:rPr>
          <w:sz w:val="16"/>
          <w:szCs w:val="16"/>
        </w:rPr>
        <w:noBreakHyphen/>
        <w:t>19)</w:t>
      </w:r>
    </w:p>
    <w:p w14:paraId="60A33553" w14:textId="350FBD61" w:rsidR="0061343C" w:rsidRPr="007E4E27" w:rsidRDefault="009A5993" w:rsidP="009E6B69">
      <w:pPr>
        <w:pStyle w:val="Reasons"/>
        <w:rPr>
          <w:b/>
        </w:rPr>
      </w:pPr>
      <w:r w:rsidRPr="007E4E27">
        <w:rPr>
          <w:b/>
        </w:rPr>
        <w:t>Motifs:</w:t>
      </w:r>
      <w:r w:rsidRPr="007E4E27">
        <w:tab/>
      </w:r>
      <w:r w:rsidR="008D2565" w:rsidRPr="007E4E27">
        <w:t>Des mo</w:t>
      </w:r>
      <w:r w:rsidR="00EF4457" w:rsidRPr="007E4E27">
        <w:t xml:space="preserve">difications </w:t>
      </w:r>
      <w:r w:rsidR="008D2565" w:rsidRPr="007E4E27">
        <w:t xml:space="preserve">sont nécessaires </w:t>
      </w:r>
      <w:r w:rsidR="00B24208" w:rsidRPr="007E4E27">
        <w:t>afin d'</w:t>
      </w:r>
      <w:r w:rsidR="008D2565" w:rsidRPr="007E4E27">
        <w:t>indiquer clairement que les § 6.13 à</w:t>
      </w:r>
      <w:r w:rsidR="007E2A6C">
        <w:t xml:space="preserve"> </w:t>
      </w:r>
      <w:r w:rsidR="008D2565" w:rsidRPr="007E4E27">
        <w:t xml:space="preserve">6.15 de l'Appendice </w:t>
      </w:r>
      <w:r w:rsidR="008D2565" w:rsidRPr="007E4E27">
        <w:rPr>
          <w:b/>
        </w:rPr>
        <w:t>30B</w:t>
      </w:r>
      <w:r w:rsidR="008D2565" w:rsidRPr="007E4E27">
        <w:t xml:space="preserve"> ne s'appliquent à une </w:t>
      </w:r>
      <w:r w:rsidR="00EF4457" w:rsidRPr="007E4E27">
        <w:t>administration identifi</w:t>
      </w:r>
      <w:r w:rsidR="008D2565" w:rsidRPr="007E4E27">
        <w:t>ée</w:t>
      </w:r>
      <w:r w:rsidR="00EF4457" w:rsidRPr="007E4E27">
        <w:t xml:space="preserve"> </w:t>
      </w:r>
      <w:r w:rsidR="008D2565" w:rsidRPr="007E4E27">
        <w:t xml:space="preserve">conformément au </w:t>
      </w:r>
      <w:r w:rsidR="00EF4457" w:rsidRPr="007E4E27">
        <w:t xml:space="preserve">§ 6.6 </w:t>
      </w:r>
      <w:r w:rsidR="008D2565" w:rsidRPr="007E4E27">
        <w:t>de l'</w:t>
      </w:r>
      <w:r w:rsidR="00EF4457" w:rsidRPr="007E4E27">
        <w:t>Appendi</w:t>
      </w:r>
      <w:r w:rsidR="008D2565" w:rsidRPr="007E4E27">
        <w:t>ce</w:t>
      </w:r>
      <w:r w:rsidR="00EF4457" w:rsidRPr="007E4E27">
        <w:t xml:space="preserve"> </w:t>
      </w:r>
      <w:r w:rsidR="00EF4457" w:rsidRPr="007E4E27">
        <w:rPr>
          <w:b/>
        </w:rPr>
        <w:t>30B</w:t>
      </w:r>
      <w:r w:rsidR="00EF4457" w:rsidRPr="007E4E27">
        <w:rPr>
          <w:bCs/>
        </w:rPr>
        <w:t>.</w:t>
      </w:r>
    </w:p>
    <w:p w14:paraId="6F7A48C3" w14:textId="414665B0" w:rsidR="009A5993" w:rsidRPr="007E4E27" w:rsidRDefault="009A5993" w:rsidP="009E6B69">
      <w:pPr>
        <w:jc w:val="center"/>
      </w:pPr>
      <w:r w:rsidRPr="007E4E27">
        <w:t>_____________</w:t>
      </w:r>
    </w:p>
    <w:sectPr w:rsidR="009A5993" w:rsidRPr="007E4E27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212F7" w14:textId="77777777" w:rsidR="0070076C" w:rsidRDefault="0070076C">
      <w:r>
        <w:separator/>
      </w:r>
    </w:p>
  </w:endnote>
  <w:endnote w:type="continuationSeparator" w:id="0">
    <w:p w14:paraId="3EFBC694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E94B3" w14:textId="444FD88E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C43ED">
      <w:rPr>
        <w:noProof/>
        <w:lang w:val="en-US"/>
      </w:rPr>
      <w:t>P:\FRA\ITU-R\CONF-R\CMR19\000\011ADD19ADD03ADD03F.docx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43ED">
      <w:rPr>
        <w:noProof/>
      </w:rPr>
      <w:t>26.09.19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C43ED">
      <w:rPr>
        <w:noProof/>
      </w:rPr>
      <w:t>26.09.19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36F21" w14:textId="440202BC" w:rsidR="00936D25" w:rsidRDefault="001D606D" w:rsidP="003A709C">
    <w:pPr>
      <w:pStyle w:val="Footer"/>
      <w:rPr>
        <w:lang w:val="en-US"/>
      </w:rPr>
    </w:pPr>
    <w:r>
      <w:fldChar w:fldCharType="begin"/>
    </w:r>
    <w:r w:rsidRPr="008D2565">
      <w:rPr>
        <w:lang w:val="en-US"/>
      </w:rPr>
      <w:instrText xml:space="preserve"> FILENAME \p  \* MERGEFORMAT </w:instrText>
    </w:r>
    <w:r>
      <w:fldChar w:fldCharType="separate"/>
    </w:r>
    <w:r w:rsidR="001C43ED">
      <w:rPr>
        <w:lang w:val="en-US"/>
      </w:rPr>
      <w:t>P:\FRA\ITU-R\CONF-R\CMR19\000\011ADD19ADD03ADD03F.docx</w:t>
    </w:r>
    <w:r>
      <w:fldChar w:fldCharType="end"/>
    </w:r>
    <w:r w:rsidR="003A709C" w:rsidRPr="008D2565">
      <w:rPr>
        <w:lang w:val="en-US"/>
      </w:rPr>
      <w:t xml:space="preserve"> (460803)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97DC6" w14:textId="70FBB897" w:rsidR="00936D25" w:rsidRDefault="001D606D" w:rsidP="003A709C">
    <w:pPr>
      <w:pStyle w:val="Footer"/>
      <w:rPr>
        <w:lang w:val="en-US"/>
      </w:rPr>
    </w:pPr>
    <w:r>
      <w:fldChar w:fldCharType="begin"/>
    </w:r>
    <w:r w:rsidRPr="008D2565">
      <w:rPr>
        <w:lang w:val="en-US"/>
      </w:rPr>
      <w:instrText xml:space="preserve"> FILENAME \p  \* MERGEFORMAT </w:instrText>
    </w:r>
    <w:r>
      <w:fldChar w:fldCharType="separate"/>
    </w:r>
    <w:r w:rsidR="001C43ED">
      <w:rPr>
        <w:lang w:val="en-US"/>
      </w:rPr>
      <w:t>P:\FRA\ITU-R\CONF-R\CMR19\000\011ADD19ADD03ADD03F.docx</w:t>
    </w:r>
    <w:r>
      <w:fldChar w:fldCharType="end"/>
    </w:r>
    <w:r w:rsidR="003A709C" w:rsidRPr="008D2565">
      <w:rPr>
        <w:lang w:val="en-US"/>
      </w:rPr>
      <w:t xml:space="preserve"> (460803)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5BBBE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236B9D83" w14:textId="77777777" w:rsidR="0070076C" w:rsidRDefault="0070076C">
      <w:r>
        <w:continuationSeparator/>
      </w:r>
    </w:p>
  </w:footnote>
  <w:footnote w:id="1">
    <w:p w14:paraId="7C07F073" w14:textId="77777777" w:rsidR="003A3BA6" w:rsidRPr="002735C9" w:rsidRDefault="003A3BA6" w:rsidP="003A3BA6">
      <w:pPr>
        <w:pStyle w:val="FootnoteText"/>
        <w:rPr>
          <w:rStyle w:val="FootnoteReference"/>
          <w:lang w:val="fr-CH"/>
        </w:rPr>
      </w:pPr>
      <w:r w:rsidRPr="002735C9">
        <w:rPr>
          <w:rStyle w:val="FootnoteReference"/>
        </w:rPr>
        <w:footnoteRef/>
      </w:r>
      <w:r w:rsidRPr="002735C9">
        <w:rPr>
          <w:rStyle w:val="FootnoteReference"/>
          <w:lang w:val="fr-CH"/>
        </w:rPr>
        <w:tab/>
      </w:r>
      <w:r w:rsidRPr="002735C9">
        <w:rPr>
          <w:lang w:val="fr-CH"/>
        </w:rPr>
        <w:t xml:space="preserve">Voir le § 2.6 de l'Appendice </w:t>
      </w:r>
      <w:r w:rsidRPr="002735C9">
        <w:rPr>
          <w:b/>
          <w:bCs/>
          <w:lang w:val="fr-CH"/>
        </w:rPr>
        <w:t>30B</w:t>
      </w:r>
      <w:r w:rsidRPr="002735C9">
        <w:rPr>
          <w:lang w:val="fr-CH"/>
        </w:rPr>
        <w:t xml:space="preserve"> du RR.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25161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2ED8C24B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11(Add.19)(Add.3)(Add.3)-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A7CCA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C43ED"/>
    <w:rsid w:val="001D606D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48C9"/>
    <w:rsid w:val="002D7E0A"/>
    <w:rsid w:val="00315AFE"/>
    <w:rsid w:val="00346B95"/>
    <w:rsid w:val="003606A6"/>
    <w:rsid w:val="0036650C"/>
    <w:rsid w:val="00393ACD"/>
    <w:rsid w:val="003A3BA6"/>
    <w:rsid w:val="003A583E"/>
    <w:rsid w:val="003A709C"/>
    <w:rsid w:val="003E112B"/>
    <w:rsid w:val="003E1D1C"/>
    <w:rsid w:val="003E7B05"/>
    <w:rsid w:val="003F3719"/>
    <w:rsid w:val="003F6F2D"/>
    <w:rsid w:val="00423831"/>
    <w:rsid w:val="00440554"/>
    <w:rsid w:val="00466211"/>
    <w:rsid w:val="00483196"/>
    <w:rsid w:val="004834A9"/>
    <w:rsid w:val="004D01FC"/>
    <w:rsid w:val="004E28C3"/>
    <w:rsid w:val="004F0A50"/>
    <w:rsid w:val="004F1F8E"/>
    <w:rsid w:val="00512A32"/>
    <w:rsid w:val="005343DA"/>
    <w:rsid w:val="00542BA8"/>
    <w:rsid w:val="00560874"/>
    <w:rsid w:val="00584C70"/>
    <w:rsid w:val="00586CF2"/>
    <w:rsid w:val="005A4B51"/>
    <w:rsid w:val="005A7C75"/>
    <w:rsid w:val="005C3768"/>
    <w:rsid w:val="005C6C3F"/>
    <w:rsid w:val="005D534C"/>
    <w:rsid w:val="0061343C"/>
    <w:rsid w:val="00613635"/>
    <w:rsid w:val="0062093D"/>
    <w:rsid w:val="00637ECF"/>
    <w:rsid w:val="00647B59"/>
    <w:rsid w:val="00666A6C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67A5C"/>
    <w:rsid w:val="00774362"/>
    <w:rsid w:val="00786598"/>
    <w:rsid w:val="00790C74"/>
    <w:rsid w:val="007A04E8"/>
    <w:rsid w:val="007B2C34"/>
    <w:rsid w:val="007E2A6C"/>
    <w:rsid w:val="007E4E27"/>
    <w:rsid w:val="00830086"/>
    <w:rsid w:val="008465D2"/>
    <w:rsid w:val="00851625"/>
    <w:rsid w:val="00863C0A"/>
    <w:rsid w:val="008A3120"/>
    <w:rsid w:val="008A4B97"/>
    <w:rsid w:val="008B3E9B"/>
    <w:rsid w:val="008C5B8E"/>
    <w:rsid w:val="008C5DD5"/>
    <w:rsid w:val="008D256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5993"/>
    <w:rsid w:val="009A6A2B"/>
    <w:rsid w:val="009C7E7C"/>
    <w:rsid w:val="009E6B69"/>
    <w:rsid w:val="00A00473"/>
    <w:rsid w:val="00A03C9B"/>
    <w:rsid w:val="00A11FA4"/>
    <w:rsid w:val="00A15D51"/>
    <w:rsid w:val="00A31CC7"/>
    <w:rsid w:val="00A37105"/>
    <w:rsid w:val="00A606C3"/>
    <w:rsid w:val="00A83B09"/>
    <w:rsid w:val="00A84541"/>
    <w:rsid w:val="00AC534C"/>
    <w:rsid w:val="00AD2852"/>
    <w:rsid w:val="00AE36A0"/>
    <w:rsid w:val="00B00294"/>
    <w:rsid w:val="00B07D03"/>
    <w:rsid w:val="00B24208"/>
    <w:rsid w:val="00B3749C"/>
    <w:rsid w:val="00B64FD0"/>
    <w:rsid w:val="00B72456"/>
    <w:rsid w:val="00B739DC"/>
    <w:rsid w:val="00B84FAD"/>
    <w:rsid w:val="00BA5BD0"/>
    <w:rsid w:val="00BB1D82"/>
    <w:rsid w:val="00BD51C5"/>
    <w:rsid w:val="00BF26E7"/>
    <w:rsid w:val="00C01AD8"/>
    <w:rsid w:val="00C06F9C"/>
    <w:rsid w:val="00C53FCA"/>
    <w:rsid w:val="00C76BAF"/>
    <w:rsid w:val="00C814B9"/>
    <w:rsid w:val="00CD1DBC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4457"/>
    <w:rsid w:val="00EF662E"/>
    <w:rsid w:val="00F10064"/>
    <w:rsid w:val="00F148F1"/>
    <w:rsid w:val="00F1524A"/>
    <w:rsid w:val="00F64888"/>
    <w:rsid w:val="00F711A7"/>
    <w:rsid w:val="00FA3BBF"/>
    <w:rsid w:val="00FC41F8"/>
    <w:rsid w:val="00FD7AA3"/>
    <w:rsid w:val="00FF1C40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20B68AC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qFormat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qFormat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  <w:qFormat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Pr>
      <w:rFonts w:cs="Times New Roman"/>
    </w:rPr>
  </w:style>
  <w:style w:type="character" w:customStyle="1" w:styleId="enumlev1Char">
    <w:name w:val="enumlev1 Char"/>
    <w:basedOn w:val="DefaultParagraphFont"/>
    <w:link w:val="enumlev1"/>
    <w:qFormat/>
    <w:locked/>
    <w:rsid w:val="003A3BA6"/>
    <w:rPr>
      <w:rFonts w:ascii="Times New Roman" w:hAnsi="Times New Roman"/>
      <w:sz w:val="24"/>
      <w:lang w:val="fr-FR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qFormat/>
    <w:locked/>
    <w:rsid w:val="003A3BA6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R16-WRC19-C-0011!A19-A3-A3!MSW-F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4A871B4-D21E-4527-AA46-3C5C4D4F98F3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2574F9C2-A946-4DA4-9455-E4F1C3D68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E3DD2D-2186-4931-A49F-453EDE7BEC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886</Words>
  <Characters>4918</Characters>
  <Application>Microsoft Office Word</Application>
  <DocSecurity>0</DocSecurity>
  <Lines>92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R16-WRC19-C-0011!A19-A3-A3!MSW-F</vt:lpstr>
    </vt:vector>
  </TitlesOfParts>
  <Manager>Secrétariat général - Pool</Manager>
  <Company>Union internationale des télécommunications (UIT)</Company>
  <LinksUpToDate>false</LinksUpToDate>
  <CharactersWithSpaces>5772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R16-WRC19-C-0011!A19-A3-A3!MSW-F</dc:title>
  <dc:subject>Conférence mondiale des radiocommunications - 2019</dc:subject>
  <dc:creator>Documents Proposals Manager (DPM)</dc:creator>
  <cp:keywords>DPM_v2019.9.20.1_prod</cp:keywords>
  <dc:description/>
  <cp:lastModifiedBy>Barbier, Marie-Claire</cp:lastModifiedBy>
  <cp:revision>25</cp:revision>
  <cp:lastPrinted>2019-09-26T06:34:00Z</cp:lastPrinted>
  <dcterms:created xsi:type="dcterms:W3CDTF">2019-09-24T15:01:00Z</dcterms:created>
  <dcterms:modified xsi:type="dcterms:W3CDTF">2019-09-26T06:35:00Z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