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521"/>
        <w:gridCol w:w="3685"/>
      </w:tblGrid>
      <w:tr w:rsidR="005651C9" w:rsidRPr="003246CF" w14:paraId="0CDBE6BC" w14:textId="77777777" w:rsidTr="004D0ED6">
        <w:trPr>
          <w:cantSplit/>
        </w:trPr>
        <w:tc>
          <w:tcPr>
            <w:tcW w:w="6521" w:type="dxa"/>
          </w:tcPr>
          <w:p w14:paraId="46D3CC5A" w14:textId="77777777" w:rsidR="005651C9" w:rsidRPr="003246C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246C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246CF">
              <w:rPr>
                <w:rFonts w:ascii="Verdana" w:hAnsi="Verdana"/>
                <w:b/>
                <w:bCs/>
                <w:szCs w:val="22"/>
              </w:rPr>
              <w:t>9</w:t>
            </w:r>
            <w:r w:rsidRPr="003246CF">
              <w:rPr>
                <w:rFonts w:ascii="Verdana" w:hAnsi="Verdana"/>
                <w:b/>
                <w:bCs/>
                <w:szCs w:val="22"/>
              </w:rPr>
              <w:t>)</w:t>
            </w:r>
            <w:r w:rsidRPr="003246C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246C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246C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246C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246C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685" w:type="dxa"/>
          </w:tcPr>
          <w:p w14:paraId="4653832B" w14:textId="77777777" w:rsidR="005651C9" w:rsidRPr="003246C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246CF">
              <w:rPr>
                <w:szCs w:val="22"/>
                <w:lang w:eastAsia="zh-CN"/>
              </w:rPr>
              <w:drawing>
                <wp:inline distT="0" distB="0" distL="0" distR="0" wp14:anchorId="0C4D7077" wp14:editId="11E03EC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246CF" w14:paraId="4AA4B39D" w14:textId="77777777" w:rsidTr="004D0ED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B2F732A" w14:textId="77777777" w:rsidR="005651C9" w:rsidRPr="003246C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6620D4B" w14:textId="77777777" w:rsidR="005651C9" w:rsidRPr="003246C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246CF" w14:paraId="32D16EFB" w14:textId="77777777" w:rsidTr="004D0ED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B8B5ECF" w14:textId="77777777" w:rsidR="005651C9" w:rsidRPr="003246C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1CC0FDB3" w14:textId="77777777" w:rsidR="005651C9" w:rsidRPr="003246C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3246CF" w14:paraId="4F9DFFB3" w14:textId="77777777" w:rsidTr="004D0ED6">
        <w:trPr>
          <w:cantSplit/>
        </w:trPr>
        <w:tc>
          <w:tcPr>
            <w:tcW w:w="6521" w:type="dxa"/>
          </w:tcPr>
          <w:p w14:paraId="279B5A71" w14:textId="77777777" w:rsidR="005651C9" w:rsidRPr="003246C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246C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85" w:type="dxa"/>
          </w:tcPr>
          <w:p w14:paraId="0DE970ED" w14:textId="77777777" w:rsidR="005651C9" w:rsidRPr="003246CF" w:rsidRDefault="005A295E" w:rsidP="003246CF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3246C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3246C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3246CF">
              <w:rPr>
                <w:rFonts w:ascii="Verdana" w:hAnsi="Verdana"/>
                <w:b/>
                <w:bCs/>
                <w:sz w:val="18"/>
                <w:szCs w:val="18"/>
              </w:rPr>
              <w:t>Add.</w:t>
            </w:r>
            <w:proofErr w:type="gramStart"/>
            <w:r w:rsidRPr="003246CF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proofErr w:type="spellEnd"/>
            <w:r w:rsidRPr="003246CF">
              <w:rPr>
                <w:rFonts w:ascii="Verdana" w:hAnsi="Verdana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3246CF">
              <w:rPr>
                <w:rFonts w:ascii="Verdana" w:hAnsi="Verdana"/>
                <w:b/>
                <w:bCs/>
                <w:sz w:val="18"/>
                <w:szCs w:val="18"/>
              </w:rPr>
              <w:t>Add.3</w:t>
            </w:r>
            <w:proofErr w:type="spellEnd"/>
            <w:r w:rsidRPr="003246CF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3246C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246C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246CF" w14:paraId="29537AD7" w14:textId="77777777" w:rsidTr="004D0ED6">
        <w:trPr>
          <w:cantSplit/>
        </w:trPr>
        <w:tc>
          <w:tcPr>
            <w:tcW w:w="6521" w:type="dxa"/>
          </w:tcPr>
          <w:p w14:paraId="7B675A6E" w14:textId="77777777" w:rsidR="000F33D8" w:rsidRPr="003246C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5" w:type="dxa"/>
          </w:tcPr>
          <w:p w14:paraId="47051716" w14:textId="77777777" w:rsidR="000F33D8" w:rsidRPr="003246CF" w:rsidRDefault="000F33D8" w:rsidP="003246CF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3246CF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3246CF" w14:paraId="052B178C" w14:textId="77777777" w:rsidTr="004D0ED6">
        <w:trPr>
          <w:cantSplit/>
        </w:trPr>
        <w:tc>
          <w:tcPr>
            <w:tcW w:w="6521" w:type="dxa"/>
          </w:tcPr>
          <w:p w14:paraId="029C4767" w14:textId="77777777" w:rsidR="000F33D8" w:rsidRPr="003246C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5" w:type="dxa"/>
          </w:tcPr>
          <w:p w14:paraId="406BDDDC" w14:textId="052DCCC1" w:rsidR="000F33D8" w:rsidRPr="003246CF" w:rsidRDefault="000F33D8" w:rsidP="003246CF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3246CF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7118E7" w:rsidRPr="003246CF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3246CF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7118E7" w:rsidRPr="003246CF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7118E7" w:rsidRPr="003246CF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7118E7" w:rsidRPr="003246CF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3246CF" w14:paraId="7B8A35F9" w14:textId="77777777" w:rsidTr="004D0ED6">
        <w:trPr>
          <w:cantSplit/>
        </w:trPr>
        <w:tc>
          <w:tcPr>
            <w:tcW w:w="10206" w:type="dxa"/>
            <w:gridSpan w:val="2"/>
          </w:tcPr>
          <w:p w14:paraId="6132F913" w14:textId="77777777" w:rsidR="000F33D8" w:rsidRPr="003246C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246CF" w14:paraId="09A99E48" w14:textId="77777777" w:rsidTr="004D0ED6">
        <w:trPr>
          <w:cantSplit/>
        </w:trPr>
        <w:tc>
          <w:tcPr>
            <w:tcW w:w="10206" w:type="dxa"/>
            <w:gridSpan w:val="2"/>
          </w:tcPr>
          <w:p w14:paraId="00459D21" w14:textId="77777777" w:rsidR="000F33D8" w:rsidRPr="003246C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3246CF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3246CF" w14:paraId="243C194E" w14:textId="77777777" w:rsidTr="004D0ED6">
        <w:trPr>
          <w:cantSplit/>
        </w:trPr>
        <w:tc>
          <w:tcPr>
            <w:tcW w:w="10206" w:type="dxa"/>
            <w:gridSpan w:val="2"/>
          </w:tcPr>
          <w:p w14:paraId="4B29F8D6" w14:textId="77777777" w:rsidR="000F33D8" w:rsidRPr="003246C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3246C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246CF" w14:paraId="0ABD70F8" w14:textId="77777777" w:rsidTr="004D0ED6">
        <w:trPr>
          <w:cantSplit/>
        </w:trPr>
        <w:tc>
          <w:tcPr>
            <w:tcW w:w="10206" w:type="dxa"/>
            <w:gridSpan w:val="2"/>
          </w:tcPr>
          <w:p w14:paraId="30A37B49" w14:textId="77777777" w:rsidR="000F33D8" w:rsidRPr="003246C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246CF" w14:paraId="40076E5B" w14:textId="77777777" w:rsidTr="004D0ED6">
        <w:trPr>
          <w:cantSplit/>
        </w:trPr>
        <w:tc>
          <w:tcPr>
            <w:tcW w:w="10206" w:type="dxa"/>
            <w:gridSpan w:val="2"/>
          </w:tcPr>
          <w:p w14:paraId="20A39E95" w14:textId="77777777" w:rsidR="000F33D8" w:rsidRPr="003246C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3246CF">
              <w:rPr>
                <w:lang w:val="ru-RU"/>
              </w:rPr>
              <w:t>Пункт 7(C) повестки дня</w:t>
            </w:r>
          </w:p>
        </w:tc>
      </w:tr>
    </w:tbl>
    <w:bookmarkEnd w:id="6"/>
    <w:p w14:paraId="782163AF" w14:textId="77777777" w:rsidR="00D51940" w:rsidRPr="003246CF" w:rsidRDefault="004D0ED6" w:rsidP="00505F6E">
      <w:pPr>
        <w:pStyle w:val="Normalaftertitle"/>
        <w:rPr>
          <w:szCs w:val="22"/>
        </w:rPr>
      </w:pPr>
      <w:r w:rsidRPr="003246CF">
        <w:t>7</w:t>
      </w:r>
      <w:r w:rsidRPr="003246CF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3246C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3246CF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3FA2D7B" w14:textId="77777777" w:rsidR="00D51940" w:rsidRPr="003246CF" w:rsidRDefault="004D0ED6" w:rsidP="00545A2A">
      <w:pPr>
        <w:rPr>
          <w:szCs w:val="22"/>
        </w:rPr>
      </w:pPr>
      <w:r w:rsidRPr="003246CF">
        <w:t>7(C)</w:t>
      </w:r>
      <w:r w:rsidRPr="003246CF">
        <w:tab/>
        <w:t>Вопрос C − Вопросы, по которым в МСЭ-R был достигнут консенсус и определен единственный метод</w:t>
      </w:r>
    </w:p>
    <w:p w14:paraId="1FAF99BB" w14:textId="1F0C980D" w:rsidR="0003535B" w:rsidRPr="003246CF" w:rsidRDefault="004D0ED6" w:rsidP="00BD0D2F">
      <w:r w:rsidRPr="003246CF">
        <w:t>Вопрос C представляет собой набор нескольких различных тем, считающихся однозначными, в отношении которых в МСЭ-R был достигнут консенсус. Вопросы касаются таких аспектов, как устранение несоответствий в регламентарных положениях, уточнение некоторой существующей практики или повышение прозрачности регламентарного процесса.</w:t>
      </w:r>
    </w:p>
    <w:p w14:paraId="22CC0D1B" w14:textId="43F8337E" w:rsidR="004D0ED6" w:rsidRPr="003246CF" w:rsidRDefault="004D0ED6" w:rsidP="004D0ED6">
      <w:pPr>
        <w:pStyle w:val="Title4"/>
      </w:pPr>
      <w:r w:rsidRPr="003246CF">
        <w:t>Во</w:t>
      </w:r>
      <w:bookmarkStart w:id="7" w:name="_GoBack"/>
      <w:bookmarkEnd w:id="7"/>
      <w:r w:rsidRPr="003246CF">
        <w:t xml:space="preserve">прос </w:t>
      </w:r>
      <w:proofErr w:type="spellStart"/>
      <w:r w:rsidRPr="003246CF">
        <w:t>C2</w:t>
      </w:r>
      <w:proofErr w:type="spellEnd"/>
    </w:p>
    <w:p w14:paraId="091F8F37" w14:textId="51E296C5" w:rsidR="004D0ED6" w:rsidRPr="003246CF" w:rsidRDefault="004D0ED6" w:rsidP="004D0ED6">
      <w:pPr>
        <w:pStyle w:val="Headingb"/>
        <w:rPr>
          <w:lang w:val="ru-RU"/>
        </w:rPr>
      </w:pPr>
      <w:r w:rsidRPr="003246CF">
        <w:rPr>
          <w:lang w:val="ru-RU"/>
        </w:rPr>
        <w:t>Базовая информация</w:t>
      </w:r>
    </w:p>
    <w:p w14:paraId="6B1DB78C" w14:textId="7DC4BFCC" w:rsidR="004D0ED6" w:rsidRPr="003246CF" w:rsidRDefault="004D0ED6" w:rsidP="004D0ED6">
      <w:pPr>
        <w:rPr>
          <w:szCs w:val="24"/>
        </w:rPr>
      </w:pPr>
      <w:r w:rsidRPr="003246CF">
        <w:rPr>
          <w:spacing w:val="-2"/>
          <w:szCs w:val="24"/>
        </w:rPr>
        <w:t xml:space="preserve">В Приложении </w:t>
      </w:r>
      <w:proofErr w:type="spellStart"/>
      <w:r w:rsidRPr="003246CF">
        <w:rPr>
          <w:rStyle w:val="Appref"/>
          <w:b/>
          <w:bCs/>
          <w:szCs w:val="24"/>
        </w:rPr>
        <w:t>30B</w:t>
      </w:r>
      <w:proofErr w:type="spellEnd"/>
      <w:r w:rsidRPr="003246CF">
        <w:rPr>
          <w:spacing w:val="-2"/>
          <w:szCs w:val="24"/>
        </w:rPr>
        <w:t xml:space="preserve"> к РР предусмотрено два блока/поддиапазона частот по 250 МГц каждый в диапазоне частот 10</w:t>
      </w:r>
      <w:r w:rsidR="003246CF">
        <w:rPr>
          <w:spacing w:val="-2"/>
          <w:szCs w:val="24"/>
        </w:rPr>
        <w:t>−</w:t>
      </w:r>
      <w:r w:rsidRPr="003246CF">
        <w:rPr>
          <w:spacing w:val="-2"/>
          <w:szCs w:val="24"/>
        </w:rPr>
        <w:t>11 ГГц, то есть 10,70</w:t>
      </w:r>
      <w:r w:rsidR="003246CF">
        <w:rPr>
          <w:spacing w:val="-2"/>
          <w:szCs w:val="24"/>
        </w:rPr>
        <w:t>−</w:t>
      </w:r>
      <w:r w:rsidRPr="003246CF">
        <w:rPr>
          <w:spacing w:val="-2"/>
          <w:szCs w:val="24"/>
        </w:rPr>
        <w:t>10,95 ГГц, 11,20</w:t>
      </w:r>
      <w:r w:rsidR="003246CF">
        <w:rPr>
          <w:spacing w:val="-2"/>
          <w:szCs w:val="24"/>
        </w:rPr>
        <w:t>−</w:t>
      </w:r>
      <w:r w:rsidRPr="003246CF">
        <w:rPr>
          <w:spacing w:val="-2"/>
          <w:szCs w:val="24"/>
        </w:rPr>
        <w:t>11,45 ГГц для линии вниз и 12,75</w:t>
      </w:r>
      <w:r w:rsidR="003246CF">
        <w:rPr>
          <w:spacing w:val="-2"/>
          <w:szCs w:val="24"/>
        </w:rPr>
        <w:t>−</w:t>
      </w:r>
      <w:r w:rsidRPr="003246CF">
        <w:rPr>
          <w:spacing w:val="-2"/>
          <w:szCs w:val="24"/>
        </w:rPr>
        <w:t>13,0</w:t>
      </w:r>
      <w:r w:rsidR="003246CF">
        <w:rPr>
          <w:spacing w:val="-2"/>
          <w:szCs w:val="24"/>
        </w:rPr>
        <w:t> </w:t>
      </w:r>
      <w:r w:rsidRPr="003246CF">
        <w:rPr>
          <w:spacing w:val="-2"/>
          <w:szCs w:val="24"/>
        </w:rPr>
        <w:t>ГГц, 13,0</w:t>
      </w:r>
      <w:r w:rsidR="003246CF">
        <w:rPr>
          <w:spacing w:val="-2"/>
          <w:szCs w:val="24"/>
        </w:rPr>
        <w:t>−</w:t>
      </w:r>
      <w:r w:rsidRPr="003246CF">
        <w:rPr>
          <w:spacing w:val="-2"/>
          <w:szCs w:val="24"/>
        </w:rPr>
        <w:t>13,25 ГГц для лини</w:t>
      </w:r>
      <w:r w:rsidR="00790A0F" w:rsidRPr="003246CF">
        <w:rPr>
          <w:spacing w:val="-2"/>
          <w:szCs w:val="24"/>
        </w:rPr>
        <w:t>и</w:t>
      </w:r>
      <w:r w:rsidRPr="003246CF">
        <w:rPr>
          <w:spacing w:val="-2"/>
          <w:szCs w:val="24"/>
        </w:rPr>
        <w:t xml:space="preserve"> вверх. Представление для дополнительного использования от администраций при применении Статьи 6 Приложения </w:t>
      </w:r>
      <w:proofErr w:type="spellStart"/>
      <w:r w:rsidRPr="003246CF">
        <w:rPr>
          <w:rStyle w:val="Appref"/>
          <w:b/>
          <w:bCs/>
          <w:szCs w:val="24"/>
        </w:rPr>
        <w:t>30B</w:t>
      </w:r>
      <w:proofErr w:type="spellEnd"/>
      <w:r w:rsidRPr="003246CF">
        <w:rPr>
          <w:spacing w:val="-2"/>
          <w:szCs w:val="24"/>
        </w:rPr>
        <w:t xml:space="preserve"> к РР обычно охватывает оба вышеуказанных блока/</w:t>
      </w:r>
      <w:r w:rsidRPr="003246CF">
        <w:t>поддиапазона</w:t>
      </w:r>
      <w:r w:rsidRPr="003246CF">
        <w:rPr>
          <w:spacing w:val="-2"/>
          <w:szCs w:val="24"/>
        </w:rPr>
        <w:t xml:space="preserve"> по 250 МГц</w:t>
      </w:r>
      <w:r w:rsidR="003246CF" w:rsidRPr="003246CF">
        <w:rPr>
          <w:spacing w:val="-2"/>
          <w:szCs w:val="24"/>
        </w:rPr>
        <w:t>,</w:t>
      </w:r>
      <w:r w:rsidRPr="003246CF">
        <w:rPr>
          <w:spacing w:val="-2"/>
          <w:szCs w:val="24"/>
        </w:rPr>
        <w:t xml:space="preserve"> или можно направить представление только для одного из двух блоков для дополнительного использования</w:t>
      </w:r>
      <w:r w:rsidR="003246CF" w:rsidRPr="003246CF">
        <w:rPr>
          <w:spacing w:val="-2"/>
          <w:szCs w:val="24"/>
        </w:rPr>
        <w:t>,</w:t>
      </w:r>
      <w:r w:rsidRPr="003246CF">
        <w:rPr>
          <w:spacing w:val="-2"/>
          <w:szCs w:val="24"/>
        </w:rPr>
        <w:t xml:space="preserve"> либо при успешном применении Статьи 6</w:t>
      </w:r>
      <w:r w:rsidRPr="003246CF">
        <w:rPr>
          <w:bCs/>
          <w:spacing w:val="-2"/>
          <w:szCs w:val="24"/>
        </w:rPr>
        <w:t xml:space="preserve"> </w:t>
      </w:r>
      <w:r w:rsidRPr="003246CF">
        <w:rPr>
          <w:spacing w:val="-2"/>
          <w:szCs w:val="24"/>
        </w:rPr>
        <w:t xml:space="preserve">для двух блоков/поддиапазонов можно ввести в действие, применяя положения Статьи 8, только один блок/поддиапазон диапазона 13–11 ГГц. </w:t>
      </w:r>
    </w:p>
    <w:p w14:paraId="12D9828D" w14:textId="520731A8" w:rsidR="004D0ED6" w:rsidRPr="003246CF" w:rsidRDefault="004D0ED6" w:rsidP="004D0ED6">
      <w:pPr>
        <w:rPr>
          <w:spacing w:val="-2"/>
          <w:szCs w:val="24"/>
        </w:rPr>
      </w:pPr>
      <w:r w:rsidRPr="003246CF">
        <w:rPr>
          <w:szCs w:val="24"/>
        </w:rPr>
        <w:t xml:space="preserve">Строго говоря, в Приложении </w:t>
      </w:r>
      <w:proofErr w:type="spellStart"/>
      <w:r w:rsidRPr="003246CF">
        <w:rPr>
          <w:b/>
          <w:bCs/>
          <w:szCs w:val="24"/>
        </w:rPr>
        <w:t>30B</w:t>
      </w:r>
      <w:proofErr w:type="spellEnd"/>
      <w:r w:rsidRPr="003246CF">
        <w:rPr>
          <w:szCs w:val="24"/>
        </w:rPr>
        <w:t xml:space="preserve"> к РР отсутствует положение, запрещающее администрациям представлять заявку на один из </w:t>
      </w:r>
      <w:r w:rsidRPr="003246CF">
        <w:rPr>
          <w:spacing w:val="-2"/>
          <w:szCs w:val="24"/>
        </w:rPr>
        <w:t>блоков/поддиапазонов</w:t>
      </w:r>
      <w:r w:rsidRPr="003246CF">
        <w:rPr>
          <w:szCs w:val="24"/>
        </w:rPr>
        <w:t xml:space="preserve"> в процессе прямого представления одного из </w:t>
      </w:r>
      <w:r w:rsidRPr="003246CF">
        <w:rPr>
          <w:spacing w:val="-2"/>
          <w:szCs w:val="24"/>
        </w:rPr>
        <w:t>блоков/поддиапазонов.</w:t>
      </w:r>
      <w:r w:rsidRPr="003246CF">
        <w:rPr>
          <w:rStyle w:val="Appref"/>
          <w:szCs w:val="24"/>
        </w:rPr>
        <w:t xml:space="preserve"> </w:t>
      </w:r>
      <w:r w:rsidR="008E1E67" w:rsidRPr="003246CF">
        <w:rPr>
          <w:szCs w:val="24"/>
        </w:rPr>
        <w:t>В то же время</w:t>
      </w:r>
      <w:r w:rsidRPr="003246CF">
        <w:rPr>
          <w:szCs w:val="24"/>
        </w:rPr>
        <w:t xml:space="preserve"> отсутствует конкретное положение, разрешающее представление такой заявки при подаче заявки на любой из двух </w:t>
      </w:r>
      <w:r w:rsidRPr="003246CF">
        <w:rPr>
          <w:spacing w:val="-2"/>
          <w:szCs w:val="24"/>
        </w:rPr>
        <w:t xml:space="preserve">поддиапазонов в соответствии с Приложением </w:t>
      </w:r>
      <w:r w:rsidRPr="003246CF">
        <w:rPr>
          <w:rStyle w:val="Appref"/>
          <w:b/>
          <w:bCs/>
          <w:spacing w:val="-2"/>
          <w:szCs w:val="24"/>
        </w:rPr>
        <w:t>4</w:t>
      </w:r>
      <w:r w:rsidRPr="003246CF">
        <w:rPr>
          <w:spacing w:val="-2"/>
          <w:szCs w:val="24"/>
        </w:rPr>
        <w:t xml:space="preserve"> к РР.</w:t>
      </w:r>
    </w:p>
    <w:p w14:paraId="5A8FADA8" w14:textId="20C53E8F" w:rsidR="004D0ED6" w:rsidRPr="003246CF" w:rsidRDefault="0013567A" w:rsidP="004D0ED6">
      <w:r w:rsidRPr="003246CF">
        <w:lastRenderedPageBreak/>
        <w:t>Для решения этой проблемы МСЭ</w:t>
      </w:r>
      <w:r w:rsidR="004D0ED6" w:rsidRPr="003246CF">
        <w:t xml:space="preserve">-R </w:t>
      </w:r>
      <w:r w:rsidRPr="003246CF">
        <w:t>сформулировал в Отчете ПСК</w:t>
      </w:r>
      <w:r w:rsidR="004D0ED6" w:rsidRPr="003246CF">
        <w:t xml:space="preserve"> </w:t>
      </w:r>
      <w:r w:rsidRPr="003246CF">
        <w:t>единый подход</w:t>
      </w:r>
      <w:r w:rsidR="004D0ED6" w:rsidRPr="003246CF">
        <w:t xml:space="preserve"> </w:t>
      </w:r>
      <w:r w:rsidRPr="003246CF">
        <w:t>к этому вопросу</w:t>
      </w:r>
      <w:r w:rsidR="004D0ED6" w:rsidRPr="003246CF">
        <w:t xml:space="preserve">, </w:t>
      </w:r>
      <w:r w:rsidRPr="003246CF">
        <w:t>заключа</w:t>
      </w:r>
      <w:r w:rsidR="008E1E67" w:rsidRPr="003246CF">
        <w:t>ющий</w:t>
      </w:r>
      <w:r w:rsidRPr="003246CF">
        <w:t>ся в добавлении примечания к пункту</w:t>
      </w:r>
      <w:r w:rsidR="004D0ED6" w:rsidRPr="003246CF">
        <w:t xml:space="preserve"> 6.1 </w:t>
      </w:r>
      <w:r w:rsidRPr="003246CF">
        <w:t>Статьи</w:t>
      </w:r>
      <w:r w:rsidR="004D0ED6" w:rsidRPr="003246CF">
        <w:t xml:space="preserve"> 6 </w:t>
      </w:r>
      <w:r w:rsidRPr="003246CF">
        <w:t>Приложения</w:t>
      </w:r>
      <w:r w:rsidR="004D0ED6" w:rsidRPr="003246CF">
        <w:t xml:space="preserve"> </w:t>
      </w:r>
      <w:proofErr w:type="spellStart"/>
      <w:r w:rsidR="004D0ED6" w:rsidRPr="003246CF">
        <w:rPr>
          <w:b/>
          <w:bCs/>
        </w:rPr>
        <w:t>30B</w:t>
      </w:r>
      <w:proofErr w:type="spellEnd"/>
      <w:r w:rsidRPr="003246CF">
        <w:t xml:space="preserve"> к РР</w:t>
      </w:r>
      <w:r w:rsidR="004D0ED6" w:rsidRPr="003246CF">
        <w:t xml:space="preserve">, </w:t>
      </w:r>
      <w:r w:rsidRPr="003246CF">
        <w:t>чтобы обеспечить возможность</w:t>
      </w:r>
      <w:r w:rsidR="004D0ED6" w:rsidRPr="003246CF">
        <w:t>:</w:t>
      </w:r>
    </w:p>
    <w:p w14:paraId="5505E74A" w14:textId="36FA8A55" w:rsidR="004D0ED6" w:rsidRPr="003246CF" w:rsidRDefault="004D0ED6" w:rsidP="004D0ED6">
      <w:pPr>
        <w:pStyle w:val="enumlev1"/>
      </w:pPr>
      <w:r w:rsidRPr="003246CF">
        <w:t>a)</w:t>
      </w:r>
      <w:r w:rsidRPr="003246CF">
        <w:tab/>
        <w:t xml:space="preserve">для представления согласно § 6.1 заявки на дополнительное использование двух блоков/поддиапазонов частот в диапазоне 10–11 ГГц, но с введением в </w:t>
      </w:r>
      <w:r w:rsidR="00E4560D" w:rsidRPr="003246CF">
        <w:t>эксплуатацию</w:t>
      </w:r>
      <w:r w:rsidRPr="003246CF">
        <w:t xml:space="preserve"> только одного из блоков/поддиапазонов; или</w:t>
      </w:r>
    </w:p>
    <w:p w14:paraId="5E86D2E1" w14:textId="0F11F410" w:rsidR="004D0ED6" w:rsidRPr="003246CF" w:rsidRDefault="004D0ED6" w:rsidP="004D0ED6">
      <w:pPr>
        <w:pStyle w:val="enumlev1"/>
      </w:pPr>
      <w:r w:rsidRPr="003246CF">
        <w:t>b)</w:t>
      </w:r>
      <w:r w:rsidRPr="003246CF">
        <w:tab/>
        <w:t xml:space="preserve">для представления согласно § 6.1 заявки на дополнительное использование только одного из двух блоков/поддиапазонов частот в диапазоне 10–11 ГГц и </w:t>
      </w:r>
      <w:proofErr w:type="gramStart"/>
      <w:r w:rsidRPr="003246CF">
        <w:t>заявления</w:t>
      </w:r>
      <w:proofErr w:type="gramEnd"/>
      <w:r w:rsidRPr="003246CF">
        <w:t xml:space="preserve"> и введения в </w:t>
      </w:r>
      <w:r w:rsidR="00E4560D" w:rsidRPr="003246CF">
        <w:t>эксплуатацию</w:t>
      </w:r>
      <w:r w:rsidRPr="003246CF">
        <w:t xml:space="preserve"> этого блока/поддиапазона;</w:t>
      </w:r>
    </w:p>
    <w:p w14:paraId="7554E923" w14:textId="7651ECD0" w:rsidR="004D0ED6" w:rsidRPr="003246CF" w:rsidRDefault="004D0ED6" w:rsidP="004D0ED6">
      <w:pPr>
        <w:pStyle w:val="enumlev1"/>
      </w:pPr>
      <w:r w:rsidRPr="003246CF">
        <w:t>c)</w:t>
      </w:r>
      <w:r w:rsidRPr="003246CF">
        <w:tab/>
      </w:r>
      <w:r w:rsidR="00E4560D" w:rsidRPr="003246CF">
        <w:t>для Бюро</w:t>
      </w:r>
      <w:r w:rsidRPr="003246CF">
        <w:t xml:space="preserve">, </w:t>
      </w:r>
      <w:r w:rsidR="00E4560D" w:rsidRPr="003246CF">
        <w:t>примен</w:t>
      </w:r>
      <w:r w:rsidR="00CB2568" w:rsidRPr="003246CF">
        <w:t>яя</w:t>
      </w:r>
      <w:r w:rsidR="00E4560D" w:rsidRPr="003246CF">
        <w:t xml:space="preserve"> Стать</w:t>
      </w:r>
      <w:r w:rsidR="00CB2568" w:rsidRPr="003246CF">
        <w:t>ю</w:t>
      </w:r>
      <w:r w:rsidR="00E4560D" w:rsidRPr="003246CF">
        <w:t xml:space="preserve"> </w:t>
      </w:r>
      <w:r w:rsidRPr="003246CF">
        <w:t xml:space="preserve">6, </w:t>
      </w:r>
      <w:r w:rsidR="00AA7AF0" w:rsidRPr="003246CF">
        <w:t>обраб</w:t>
      </w:r>
      <w:r w:rsidR="008E1E67" w:rsidRPr="003246CF">
        <w:t>ота</w:t>
      </w:r>
      <w:r w:rsidR="00AA7AF0" w:rsidRPr="003246CF">
        <w:t>ть соответствующую заявку</w:t>
      </w:r>
      <w:r w:rsidRPr="003246CF">
        <w:t xml:space="preserve"> </w:t>
      </w:r>
      <w:r w:rsidR="00AA7AF0" w:rsidRPr="003246CF">
        <w:t>согласно ее представлению</w:t>
      </w:r>
      <w:r w:rsidRPr="003246CF">
        <w:t xml:space="preserve">, </w:t>
      </w:r>
      <w:r w:rsidR="00AA7AF0" w:rsidRPr="003246CF">
        <w:t>то есть</w:t>
      </w:r>
      <w:r w:rsidRPr="003246CF">
        <w:t xml:space="preserve">, </w:t>
      </w:r>
      <w:r w:rsidR="00AA7AF0" w:rsidRPr="003246CF">
        <w:t>рассм</w:t>
      </w:r>
      <w:r w:rsidR="008E1E67" w:rsidRPr="003246CF">
        <w:t>о</w:t>
      </w:r>
      <w:r w:rsidR="00AA7AF0" w:rsidRPr="003246CF">
        <w:t>тр</w:t>
      </w:r>
      <w:r w:rsidR="008E1E67" w:rsidRPr="003246CF">
        <w:t>е</w:t>
      </w:r>
      <w:r w:rsidR="00AA7AF0" w:rsidRPr="003246CF">
        <w:t>ть два блока/поддиапазона или один из двух блоков/поддиапазонов и продолж</w:t>
      </w:r>
      <w:r w:rsidR="008E1E67" w:rsidRPr="003246CF">
        <w:t>и</w:t>
      </w:r>
      <w:r w:rsidR="00AA7AF0" w:rsidRPr="003246CF">
        <w:t>ть обработку полученной заявки</w:t>
      </w:r>
      <w:r w:rsidRPr="003246CF">
        <w:t>;</w:t>
      </w:r>
    </w:p>
    <w:p w14:paraId="5580D707" w14:textId="4D14F8BB" w:rsidR="004D0ED6" w:rsidRPr="003246CF" w:rsidRDefault="004D0ED6" w:rsidP="004D0ED6">
      <w:pPr>
        <w:pStyle w:val="enumlev1"/>
      </w:pPr>
      <w:r w:rsidRPr="003246CF">
        <w:t>d)</w:t>
      </w:r>
      <w:r w:rsidRPr="003246CF">
        <w:tab/>
      </w:r>
      <w:r w:rsidR="00E4560D" w:rsidRPr="003246CF">
        <w:t xml:space="preserve">для </w:t>
      </w:r>
      <w:r w:rsidR="0049233A" w:rsidRPr="003246CF">
        <w:t>Б</w:t>
      </w:r>
      <w:r w:rsidR="00E4560D" w:rsidRPr="003246CF">
        <w:t>юро</w:t>
      </w:r>
      <w:r w:rsidRPr="003246CF">
        <w:t xml:space="preserve">, </w:t>
      </w:r>
      <w:r w:rsidR="00E4560D" w:rsidRPr="003246CF">
        <w:t>примен</w:t>
      </w:r>
      <w:r w:rsidR="00CB2568" w:rsidRPr="003246CF">
        <w:t>я</w:t>
      </w:r>
      <w:r w:rsidR="00E4560D" w:rsidRPr="003246CF">
        <w:t>я Стать</w:t>
      </w:r>
      <w:r w:rsidR="00CB2568" w:rsidRPr="003246CF">
        <w:t>ю</w:t>
      </w:r>
      <w:r w:rsidRPr="003246CF">
        <w:t xml:space="preserve"> 8, </w:t>
      </w:r>
      <w:r w:rsidR="008E1E67" w:rsidRPr="003246CF">
        <w:t>обработать</w:t>
      </w:r>
      <w:r w:rsidR="0049233A" w:rsidRPr="003246CF">
        <w:t xml:space="preserve"> только один из двух блоков/поддиапазонов частот</w:t>
      </w:r>
      <w:r w:rsidRPr="003246CF">
        <w:t xml:space="preserve">, </w:t>
      </w:r>
      <w:r w:rsidR="00CB2568" w:rsidRPr="003246CF">
        <w:t>даже если</w:t>
      </w:r>
      <w:r w:rsidR="0049233A" w:rsidRPr="003246CF">
        <w:t xml:space="preserve"> </w:t>
      </w:r>
      <w:r w:rsidR="00CB2568" w:rsidRPr="003246CF">
        <w:t xml:space="preserve">администрация просила обработать </w:t>
      </w:r>
      <w:r w:rsidR="0049233A" w:rsidRPr="003246CF">
        <w:t>два блока/поддиапазона частот</w:t>
      </w:r>
      <w:r w:rsidRPr="003246CF">
        <w:t xml:space="preserve"> </w:t>
      </w:r>
      <w:r w:rsidR="00CB2568" w:rsidRPr="003246CF">
        <w:t>согласно Статье</w:t>
      </w:r>
      <w:r w:rsidRPr="003246CF">
        <w:t xml:space="preserve"> </w:t>
      </w:r>
      <w:proofErr w:type="gramStart"/>
      <w:r w:rsidRPr="003246CF">
        <w:t>6</w:t>
      </w:r>
      <w:proofErr w:type="gramEnd"/>
      <w:r w:rsidRPr="003246CF">
        <w:t xml:space="preserve"> </w:t>
      </w:r>
      <w:r w:rsidR="00CB2568" w:rsidRPr="003246CF">
        <w:t>и</w:t>
      </w:r>
      <w:r w:rsidRPr="003246CF">
        <w:t xml:space="preserve"> </w:t>
      </w:r>
      <w:r w:rsidR="006219B0" w:rsidRPr="003246CF">
        <w:t>они были</w:t>
      </w:r>
      <w:r w:rsidR="00CB2568" w:rsidRPr="003246CF">
        <w:t xml:space="preserve"> успешно скоординирован</w:t>
      </w:r>
      <w:r w:rsidR="006219B0" w:rsidRPr="003246CF">
        <w:t>ы</w:t>
      </w:r>
      <w:r w:rsidR="00CB2568" w:rsidRPr="003246CF">
        <w:t xml:space="preserve"> </w:t>
      </w:r>
      <w:r w:rsidR="006219B0" w:rsidRPr="003246CF">
        <w:t>согласно Статье 6, при этом только один блок/поддиапазон частот был введен в действие</w:t>
      </w:r>
      <w:r w:rsidRPr="003246CF">
        <w:t>.</w:t>
      </w:r>
    </w:p>
    <w:p w14:paraId="4AC6165D" w14:textId="425232B2" w:rsidR="004D0ED6" w:rsidRPr="003246CF" w:rsidRDefault="006219B0" w:rsidP="004D0ED6">
      <w:r w:rsidRPr="003246CF">
        <w:t>Предлагается</w:t>
      </w:r>
      <w:r w:rsidR="004D0ED6" w:rsidRPr="003246CF">
        <w:t xml:space="preserve"> </w:t>
      </w:r>
      <w:r w:rsidRPr="003246CF">
        <w:t xml:space="preserve">внести </w:t>
      </w:r>
      <w:r w:rsidRPr="003246CF">
        <w:rPr>
          <w:color w:val="000000"/>
          <w:shd w:val="clear" w:color="auto" w:fill="FFFFFF"/>
        </w:rPr>
        <w:t>добавления в Регламент радиосвязи</w:t>
      </w:r>
      <w:r w:rsidR="004D0ED6" w:rsidRPr="003246CF">
        <w:t xml:space="preserve"> </w:t>
      </w:r>
      <w:r w:rsidRPr="003246CF">
        <w:t>согласно единственному методу, предложенному МСЭ</w:t>
      </w:r>
      <w:r w:rsidR="004D0ED6" w:rsidRPr="003246CF">
        <w:t>-R.</w:t>
      </w:r>
    </w:p>
    <w:p w14:paraId="2EA970CE" w14:textId="0DD72CAC" w:rsidR="009B5CC2" w:rsidRPr="003246CF" w:rsidRDefault="009B5CC2" w:rsidP="004D0ED6">
      <w:r w:rsidRPr="003246CF">
        <w:br w:type="page"/>
      </w:r>
    </w:p>
    <w:p w14:paraId="35594875" w14:textId="2CC4FF0A" w:rsidR="00E30ECE" w:rsidRPr="003246CF" w:rsidRDefault="004D0ED6" w:rsidP="004D0ED6">
      <w:pPr>
        <w:pStyle w:val="AppendixNo"/>
      </w:pPr>
      <w:bookmarkStart w:id="8" w:name="_Toc459987209"/>
      <w:bookmarkStart w:id="9" w:name="_Toc459987900"/>
      <w:r w:rsidRPr="003246CF">
        <w:lastRenderedPageBreak/>
        <w:t xml:space="preserve">ПРИЛОЖЕНИЕ </w:t>
      </w:r>
      <w:proofErr w:type="spellStart"/>
      <w:r w:rsidRPr="003246CF">
        <w:rPr>
          <w:rStyle w:val="href"/>
        </w:rPr>
        <w:t>30B</w:t>
      </w:r>
      <w:proofErr w:type="spellEnd"/>
      <w:r w:rsidR="003246CF">
        <w:t xml:space="preserve"> </w:t>
      </w:r>
      <w:r w:rsidRPr="003246CF">
        <w:t>(</w:t>
      </w:r>
      <w:r w:rsidRPr="003246CF">
        <w:rPr>
          <w:caps w:val="0"/>
        </w:rPr>
        <w:t>ПЕРЕСМ</w:t>
      </w:r>
      <w:r w:rsidRPr="003246CF">
        <w:t>. ВКР-15)</w:t>
      </w:r>
      <w:bookmarkEnd w:id="8"/>
      <w:bookmarkEnd w:id="9"/>
    </w:p>
    <w:p w14:paraId="3D3D7E21" w14:textId="77777777" w:rsidR="00E30ECE" w:rsidRPr="003246CF" w:rsidRDefault="004D0ED6" w:rsidP="000658FC">
      <w:pPr>
        <w:pStyle w:val="Appendixtitle"/>
      </w:pPr>
      <w:bookmarkStart w:id="10" w:name="_Toc459987210"/>
      <w:bookmarkStart w:id="11" w:name="_Toc459987901"/>
      <w:r w:rsidRPr="003246CF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3246CF">
        <w:br/>
        <w:t>10,70–10,95 ГГц, 11,20–11,45 ГГц и 12,75–13,25 ГГц</w:t>
      </w:r>
      <w:bookmarkEnd w:id="10"/>
      <w:bookmarkEnd w:id="11"/>
    </w:p>
    <w:p w14:paraId="7B1C98B8" w14:textId="77777777" w:rsidR="00E30ECE" w:rsidRPr="003246CF" w:rsidRDefault="004D0ED6" w:rsidP="000658FC">
      <w:pPr>
        <w:pStyle w:val="AppArtNo"/>
      </w:pPr>
      <w:proofErr w:type="gramStart"/>
      <w:r w:rsidRPr="003246CF">
        <w:t>СТАТЬЯ  6</w:t>
      </w:r>
      <w:proofErr w:type="gramEnd"/>
      <w:r w:rsidRPr="003246CF">
        <w:rPr>
          <w:sz w:val="16"/>
          <w:szCs w:val="16"/>
        </w:rPr>
        <w:t>     (Пересм. ВКР-15)</w:t>
      </w:r>
    </w:p>
    <w:p w14:paraId="131BB7CB" w14:textId="2091BB7E" w:rsidR="00E30ECE" w:rsidRPr="003246CF" w:rsidRDefault="004D0ED6" w:rsidP="000658FC">
      <w:pPr>
        <w:pStyle w:val="AppArttitle"/>
        <w:rPr>
          <w:b w:val="0"/>
          <w:sz w:val="16"/>
          <w:szCs w:val="16"/>
        </w:rPr>
      </w:pPr>
      <w:r w:rsidRPr="003246CF">
        <w:t xml:space="preserve">Процедуры для преобразования выделения в присвоение, </w:t>
      </w:r>
      <w:r w:rsidRPr="003246CF">
        <w:br/>
        <w:t xml:space="preserve">для введения дополнительной системы или для изменения </w:t>
      </w:r>
      <w:r w:rsidRPr="003246CF">
        <w:br/>
        <w:t>присвоения в Списке</w:t>
      </w:r>
      <w:r w:rsidRPr="003246CF">
        <w:rPr>
          <w:rStyle w:val="FootnoteReference"/>
          <w:b w:val="0"/>
          <w:bCs/>
        </w:rPr>
        <w:t>1, 2</w:t>
      </w:r>
      <w:r w:rsidRPr="003246CF">
        <w:rPr>
          <w:bCs/>
          <w:sz w:val="16"/>
          <w:szCs w:val="16"/>
        </w:rPr>
        <w:t>  </w:t>
      </w:r>
      <w:proofErr w:type="gramStart"/>
      <w:r w:rsidRPr="003246CF">
        <w:rPr>
          <w:bCs/>
          <w:sz w:val="16"/>
          <w:szCs w:val="16"/>
        </w:rPr>
        <w:t>   </w:t>
      </w:r>
      <w:r w:rsidRPr="003246CF">
        <w:rPr>
          <w:b w:val="0"/>
          <w:sz w:val="16"/>
          <w:szCs w:val="16"/>
        </w:rPr>
        <w:t>(</w:t>
      </w:r>
      <w:proofErr w:type="gramEnd"/>
      <w:r w:rsidRPr="003246CF">
        <w:rPr>
          <w:b w:val="0"/>
          <w:sz w:val="16"/>
          <w:szCs w:val="16"/>
        </w:rPr>
        <w:t>ВКР-15)</w:t>
      </w:r>
    </w:p>
    <w:p w14:paraId="29669E6B" w14:textId="77777777" w:rsidR="00CC2040" w:rsidRPr="003246CF" w:rsidRDefault="004D0ED6">
      <w:pPr>
        <w:pStyle w:val="Proposal"/>
      </w:pPr>
      <w:proofErr w:type="spellStart"/>
      <w:r w:rsidRPr="003246CF">
        <w:t>ADD</w:t>
      </w:r>
      <w:proofErr w:type="spellEnd"/>
      <w:r w:rsidRPr="003246CF">
        <w:tab/>
      </w:r>
      <w:proofErr w:type="spellStart"/>
      <w:r w:rsidRPr="003246CF">
        <w:t>IAP</w:t>
      </w:r>
      <w:proofErr w:type="spellEnd"/>
      <w:r w:rsidRPr="003246CF">
        <w:t>/</w:t>
      </w:r>
      <w:proofErr w:type="spellStart"/>
      <w:r w:rsidRPr="003246CF">
        <w:t>11A19A3A2</w:t>
      </w:r>
      <w:proofErr w:type="spellEnd"/>
      <w:r w:rsidRPr="003246CF">
        <w:t>/1</w:t>
      </w:r>
      <w:r w:rsidRPr="003246CF">
        <w:rPr>
          <w:vanish/>
          <w:color w:val="7F7F7F" w:themeColor="text1" w:themeTint="80"/>
          <w:vertAlign w:val="superscript"/>
        </w:rPr>
        <w:t>#50067</w:t>
      </w:r>
    </w:p>
    <w:p w14:paraId="60D84723" w14:textId="4DAF38C5" w:rsidR="00A5302E" w:rsidRPr="003246CF" w:rsidRDefault="004D0ED6" w:rsidP="00301E49">
      <w:pPr>
        <w:rPr>
          <w:b/>
          <w:bCs/>
          <w:spacing w:val="-2"/>
        </w:rPr>
      </w:pPr>
      <w:proofErr w:type="spellStart"/>
      <w:r w:rsidRPr="003246CF">
        <w:rPr>
          <w:rStyle w:val="Provsplit"/>
        </w:rPr>
        <w:t>6.1</w:t>
      </w:r>
      <w:r w:rsidRPr="003246CF">
        <w:rPr>
          <w:rStyle w:val="Provsplit"/>
          <w:i/>
          <w:iCs/>
        </w:rPr>
        <w:t>bis</w:t>
      </w:r>
      <w:proofErr w:type="spellEnd"/>
      <w:r w:rsidRPr="003246CF">
        <w:rPr>
          <w:b/>
          <w:bCs/>
          <w:spacing w:val="-2"/>
        </w:rPr>
        <w:tab/>
      </w:r>
      <w:r w:rsidRPr="003246CF">
        <w:rPr>
          <w:spacing w:val="-2"/>
        </w:rPr>
        <w:t xml:space="preserve">Администрации при представлении заявки на дополнительное использование в соответствии с § 6.1 Приложения </w:t>
      </w:r>
      <w:proofErr w:type="spellStart"/>
      <w:r w:rsidRPr="003246CF">
        <w:rPr>
          <w:b/>
          <w:bCs/>
          <w:spacing w:val="-2"/>
        </w:rPr>
        <w:t>30B</w:t>
      </w:r>
      <w:proofErr w:type="spellEnd"/>
      <w:r w:rsidRPr="003246CF">
        <w:rPr>
          <w:spacing w:val="-2"/>
        </w:rPr>
        <w:t xml:space="preserve"> могут представить </w:t>
      </w:r>
      <w:r w:rsidR="004D4761" w:rsidRPr="003246CF">
        <w:rPr>
          <w:spacing w:val="-2"/>
        </w:rPr>
        <w:t xml:space="preserve">информацию, содержащуюся в </w:t>
      </w:r>
      <w:r w:rsidRPr="003246CF">
        <w:rPr>
          <w:spacing w:val="-2"/>
        </w:rPr>
        <w:t>Приложени</w:t>
      </w:r>
      <w:r w:rsidR="004D4761" w:rsidRPr="003246CF">
        <w:rPr>
          <w:spacing w:val="-2"/>
        </w:rPr>
        <w:t>и</w:t>
      </w:r>
      <w:r w:rsidRPr="003246CF">
        <w:rPr>
          <w:spacing w:val="-2"/>
        </w:rPr>
        <w:t xml:space="preserve"> </w:t>
      </w:r>
      <w:r w:rsidRPr="003246CF">
        <w:rPr>
          <w:b/>
          <w:bCs/>
          <w:spacing w:val="-2"/>
        </w:rPr>
        <w:t xml:space="preserve">4 </w:t>
      </w:r>
      <w:r w:rsidRPr="003246CF">
        <w:rPr>
          <w:spacing w:val="-2"/>
        </w:rPr>
        <w:t>для обоих блоков/поддиапазонов по 250 МГц каждый (10,7−10,95 ГГц или 11,2−11,45 ГГц для линии вниз и 12,75−13,0 ГГц или 13,0−13,25 ГГц для линии вверх) и заявить в соответствии со Статьей 8 и ввести в действие только один из двух блоков/поддиапазонов по 250 МГц каждый (10,7−10,95 ГГц или 11,2−11,45 ГГц для линии вниз и 12,75−13,0 ГГц или 13,0−13,25 ГГц для линии вверх), или представить в соответствии с § 6.1 любой из двух блоков/поддиапазонов по 250 МГц каждый (10,7−10,95 ГГц или 11,2−11,45 ГГц для линии вниз и 12,75−13,0 ГГц или 13,0−13,25 ГГц для линии вверх) и заявить и ввести в действие в соответствии со Статьей 8 этот блок/поддиапазон. Бюро должно обработать заявку на этот блок/поддиапазон, так как она была представлена в соответствии со Статьей 6, а также должно применить Статью 8 в отношении этого заявленного и введенного в действие блока/поддиапазона и исключить другой блок/поддиапазон из своей базы данных.</w:t>
      </w:r>
      <w:r w:rsidRPr="003246CF">
        <w:rPr>
          <w:sz w:val="16"/>
          <w:szCs w:val="16"/>
        </w:rPr>
        <w:t>     (ВКР-19)</w:t>
      </w:r>
    </w:p>
    <w:p w14:paraId="642DE281" w14:textId="65F0DCDB" w:rsidR="00CC2040" w:rsidRPr="003246CF" w:rsidRDefault="004D0ED6">
      <w:pPr>
        <w:pStyle w:val="Reasons"/>
        <w:rPr>
          <w:szCs w:val="22"/>
        </w:rPr>
      </w:pPr>
      <w:r w:rsidRPr="003246CF">
        <w:rPr>
          <w:b/>
        </w:rPr>
        <w:t>Основания</w:t>
      </w:r>
      <w:proofErr w:type="gramStart"/>
      <w:r w:rsidRPr="003246CF">
        <w:rPr>
          <w:bCs/>
        </w:rPr>
        <w:t>:</w:t>
      </w:r>
      <w:r w:rsidRPr="003246CF">
        <w:tab/>
      </w:r>
      <w:r w:rsidR="00E020B2" w:rsidRPr="003246CF">
        <w:rPr>
          <w:szCs w:val="22"/>
        </w:rPr>
        <w:t>Требуются</w:t>
      </w:r>
      <w:proofErr w:type="gramEnd"/>
      <w:r w:rsidR="00E020B2" w:rsidRPr="003246CF">
        <w:rPr>
          <w:szCs w:val="22"/>
        </w:rPr>
        <w:t xml:space="preserve"> дополнения для в</w:t>
      </w:r>
      <w:r w:rsidR="00E020B2" w:rsidRPr="003246CF">
        <w:rPr>
          <w:color w:val="000000"/>
          <w:szCs w:val="22"/>
          <w:shd w:val="clear" w:color="auto" w:fill="FFFFFF"/>
        </w:rPr>
        <w:t>несение обновлений в Регламент радиосвязи</w:t>
      </w:r>
      <w:r w:rsidR="00E020B2" w:rsidRPr="003246CF">
        <w:rPr>
          <w:szCs w:val="22"/>
        </w:rPr>
        <w:t xml:space="preserve"> в соответствии с существующей практикой, используемой администрациями в </w:t>
      </w:r>
      <w:r w:rsidR="00E020B2" w:rsidRPr="003246CF">
        <w:rPr>
          <w:color w:val="000000"/>
          <w:szCs w:val="22"/>
          <w:shd w:val="clear" w:color="auto" w:fill="FFFFFF"/>
        </w:rPr>
        <w:t>процедурах применения</w:t>
      </w:r>
      <w:r w:rsidR="00E020B2" w:rsidRPr="003246CF">
        <w:rPr>
          <w:szCs w:val="22"/>
        </w:rPr>
        <w:t xml:space="preserve"> для дополнительного использования и/или ввода в эксплуатацию </w:t>
      </w:r>
      <w:r w:rsidR="00E020B2" w:rsidRPr="003246CF">
        <w:rPr>
          <w:spacing w:val="-2"/>
          <w:szCs w:val="22"/>
        </w:rPr>
        <w:t>блока/поддиапазона</w:t>
      </w:r>
      <w:r w:rsidR="00E020B2" w:rsidRPr="003246CF">
        <w:rPr>
          <w:szCs w:val="22"/>
        </w:rPr>
        <w:t xml:space="preserve"> частот</w:t>
      </w:r>
      <w:r w:rsidR="00E020B2" w:rsidRPr="003246CF">
        <w:rPr>
          <w:spacing w:val="-2"/>
          <w:szCs w:val="22"/>
        </w:rPr>
        <w:t xml:space="preserve"> по 250</w:t>
      </w:r>
      <w:r w:rsidR="003246CF" w:rsidRPr="003246CF">
        <w:rPr>
          <w:spacing w:val="-2"/>
          <w:szCs w:val="22"/>
        </w:rPr>
        <w:t> </w:t>
      </w:r>
      <w:r w:rsidR="00E020B2" w:rsidRPr="003246CF">
        <w:rPr>
          <w:spacing w:val="-2"/>
          <w:szCs w:val="22"/>
        </w:rPr>
        <w:t xml:space="preserve">МГц </w:t>
      </w:r>
      <w:r w:rsidR="00E020B2" w:rsidRPr="003246CF">
        <w:rPr>
          <w:szCs w:val="22"/>
        </w:rPr>
        <w:t>в диапазоне 10</w:t>
      </w:r>
      <w:r w:rsidR="003246CF">
        <w:rPr>
          <w:szCs w:val="22"/>
        </w:rPr>
        <w:t>−</w:t>
      </w:r>
      <w:r w:rsidR="00E020B2" w:rsidRPr="003246CF">
        <w:rPr>
          <w:szCs w:val="22"/>
        </w:rPr>
        <w:t>11 ГГц с учетом потребностей</w:t>
      </w:r>
      <w:r w:rsidR="00A602E9" w:rsidRPr="003246CF">
        <w:rPr>
          <w:szCs w:val="22"/>
        </w:rPr>
        <w:t xml:space="preserve"> этих администраций</w:t>
      </w:r>
      <w:r w:rsidRPr="003246CF">
        <w:rPr>
          <w:szCs w:val="22"/>
        </w:rPr>
        <w:t>.</w:t>
      </w:r>
    </w:p>
    <w:p w14:paraId="4F575211" w14:textId="77777777" w:rsidR="00CC2040" w:rsidRPr="003246CF" w:rsidRDefault="004D0ED6">
      <w:pPr>
        <w:pStyle w:val="Proposal"/>
        <w:rPr>
          <w:szCs w:val="22"/>
        </w:rPr>
      </w:pPr>
      <w:proofErr w:type="spellStart"/>
      <w:r w:rsidRPr="003246CF">
        <w:rPr>
          <w:szCs w:val="22"/>
        </w:rPr>
        <w:t>ADD</w:t>
      </w:r>
      <w:proofErr w:type="spellEnd"/>
      <w:r w:rsidRPr="003246CF">
        <w:rPr>
          <w:szCs w:val="22"/>
        </w:rPr>
        <w:tab/>
      </w:r>
      <w:proofErr w:type="spellStart"/>
      <w:r w:rsidRPr="003246CF">
        <w:rPr>
          <w:szCs w:val="22"/>
        </w:rPr>
        <w:t>IAP</w:t>
      </w:r>
      <w:proofErr w:type="spellEnd"/>
      <w:r w:rsidRPr="003246CF">
        <w:rPr>
          <w:szCs w:val="22"/>
        </w:rPr>
        <w:t>/</w:t>
      </w:r>
      <w:proofErr w:type="spellStart"/>
      <w:r w:rsidRPr="003246CF">
        <w:rPr>
          <w:szCs w:val="22"/>
        </w:rPr>
        <w:t>11A19A3A2</w:t>
      </w:r>
      <w:proofErr w:type="spellEnd"/>
      <w:r w:rsidRPr="003246CF">
        <w:rPr>
          <w:szCs w:val="22"/>
        </w:rPr>
        <w:t>/2</w:t>
      </w:r>
      <w:r w:rsidRPr="003246CF">
        <w:rPr>
          <w:vanish/>
          <w:color w:val="7F7F7F" w:themeColor="text1" w:themeTint="80"/>
          <w:szCs w:val="22"/>
          <w:vertAlign w:val="superscript"/>
        </w:rPr>
        <w:t>#50068</w:t>
      </w:r>
    </w:p>
    <w:p w14:paraId="63F442E5" w14:textId="77777777" w:rsidR="00A5302E" w:rsidRPr="003246CF" w:rsidRDefault="004D0ED6" w:rsidP="00301E49">
      <w:pPr>
        <w:rPr>
          <w:i/>
          <w:szCs w:val="22"/>
        </w:rPr>
      </w:pPr>
      <w:proofErr w:type="spellStart"/>
      <w:r w:rsidRPr="003246CF">
        <w:rPr>
          <w:rStyle w:val="Provsplit"/>
          <w:szCs w:val="22"/>
        </w:rPr>
        <w:t>6.17</w:t>
      </w:r>
      <w:r w:rsidRPr="003246CF">
        <w:rPr>
          <w:rStyle w:val="Provsplit"/>
          <w:i/>
          <w:iCs/>
          <w:szCs w:val="22"/>
        </w:rPr>
        <w:t>bis</w:t>
      </w:r>
      <w:proofErr w:type="spellEnd"/>
      <w:r w:rsidRPr="003246CF">
        <w:rPr>
          <w:i/>
          <w:szCs w:val="22"/>
        </w:rPr>
        <w:tab/>
      </w:r>
      <w:r w:rsidRPr="003246CF">
        <w:rPr>
          <w:szCs w:val="22"/>
        </w:rPr>
        <w:t>Администрация, представившая заявку на дополнительное использование в соответствии с § 6.1, может обратиться с просьбой к Бюро внести в Список только один блок/поддиапазон шириной 250 МГц (10,7−10,95 ГГц или 11,2−11,45 ГГц для линии вниз и 12,75−13,0 ГГц или 13,0−13,25 ГГц для линии вверх).</w:t>
      </w:r>
      <w:r w:rsidRPr="003246CF">
        <w:rPr>
          <w:sz w:val="16"/>
          <w:szCs w:val="16"/>
        </w:rPr>
        <w:t>     (ВКР-19)</w:t>
      </w:r>
    </w:p>
    <w:p w14:paraId="2CB73A89" w14:textId="7ABF87AF" w:rsidR="00CC2040" w:rsidRPr="003246CF" w:rsidRDefault="004D0ED6">
      <w:pPr>
        <w:pStyle w:val="Reasons"/>
        <w:rPr>
          <w:szCs w:val="22"/>
        </w:rPr>
      </w:pPr>
      <w:r w:rsidRPr="003246CF">
        <w:rPr>
          <w:b/>
          <w:szCs w:val="22"/>
        </w:rPr>
        <w:t>Основания</w:t>
      </w:r>
      <w:proofErr w:type="gramStart"/>
      <w:r w:rsidRPr="003246CF">
        <w:rPr>
          <w:bCs/>
          <w:szCs w:val="22"/>
        </w:rPr>
        <w:t>:</w:t>
      </w:r>
      <w:r w:rsidRPr="003246CF">
        <w:rPr>
          <w:szCs w:val="22"/>
        </w:rPr>
        <w:tab/>
      </w:r>
      <w:r w:rsidR="004D4761" w:rsidRPr="003246CF">
        <w:rPr>
          <w:szCs w:val="22"/>
        </w:rPr>
        <w:t>Требуются</w:t>
      </w:r>
      <w:proofErr w:type="gramEnd"/>
      <w:r w:rsidR="004D4761" w:rsidRPr="003246CF">
        <w:rPr>
          <w:szCs w:val="22"/>
        </w:rPr>
        <w:t xml:space="preserve"> дополнения для в</w:t>
      </w:r>
      <w:r w:rsidR="004D4761" w:rsidRPr="003246CF">
        <w:rPr>
          <w:color w:val="000000"/>
          <w:szCs w:val="22"/>
          <w:shd w:val="clear" w:color="auto" w:fill="FFFFFF"/>
        </w:rPr>
        <w:t>несение обновлений в Регламент радиосвязи</w:t>
      </w:r>
      <w:r w:rsidR="004D4761" w:rsidRPr="003246CF">
        <w:rPr>
          <w:szCs w:val="22"/>
        </w:rPr>
        <w:t xml:space="preserve"> в соответствии с существующей практикой, используемой администрациями в </w:t>
      </w:r>
      <w:r w:rsidR="004D4761" w:rsidRPr="003246CF">
        <w:rPr>
          <w:color w:val="000000"/>
          <w:szCs w:val="22"/>
          <w:shd w:val="clear" w:color="auto" w:fill="FFFFFF"/>
        </w:rPr>
        <w:t>процедурах применения</w:t>
      </w:r>
      <w:r w:rsidRPr="003246CF">
        <w:rPr>
          <w:szCs w:val="22"/>
        </w:rPr>
        <w:t xml:space="preserve"> </w:t>
      </w:r>
      <w:r w:rsidR="004D4761" w:rsidRPr="003246CF">
        <w:rPr>
          <w:szCs w:val="22"/>
        </w:rPr>
        <w:t>для дополнительного использования</w:t>
      </w:r>
      <w:r w:rsidRPr="003246CF">
        <w:rPr>
          <w:szCs w:val="22"/>
        </w:rPr>
        <w:t xml:space="preserve"> </w:t>
      </w:r>
      <w:r w:rsidR="004D4761" w:rsidRPr="003246CF">
        <w:rPr>
          <w:szCs w:val="22"/>
        </w:rPr>
        <w:t>и</w:t>
      </w:r>
      <w:r w:rsidRPr="003246CF">
        <w:rPr>
          <w:szCs w:val="22"/>
        </w:rPr>
        <w:t>/</w:t>
      </w:r>
      <w:r w:rsidR="004D4761" w:rsidRPr="003246CF">
        <w:rPr>
          <w:szCs w:val="22"/>
        </w:rPr>
        <w:t>или</w:t>
      </w:r>
      <w:r w:rsidRPr="003246CF">
        <w:rPr>
          <w:szCs w:val="22"/>
        </w:rPr>
        <w:t xml:space="preserve"> </w:t>
      </w:r>
      <w:r w:rsidR="004D4761" w:rsidRPr="003246CF">
        <w:rPr>
          <w:szCs w:val="22"/>
        </w:rPr>
        <w:t>ввода в эксплуатацию</w:t>
      </w:r>
      <w:r w:rsidRPr="003246CF">
        <w:rPr>
          <w:szCs w:val="22"/>
        </w:rPr>
        <w:t xml:space="preserve"> </w:t>
      </w:r>
      <w:r w:rsidR="004D4761" w:rsidRPr="003246CF">
        <w:rPr>
          <w:spacing w:val="-2"/>
          <w:szCs w:val="22"/>
        </w:rPr>
        <w:t>блока/поддиапазона</w:t>
      </w:r>
      <w:r w:rsidRPr="003246CF">
        <w:rPr>
          <w:szCs w:val="22"/>
        </w:rPr>
        <w:t xml:space="preserve"> </w:t>
      </w:r>
      <w:r w:rsidR="00E020B2" w:rsidRPr="003246CF">
        <w:rPr>
          <w:szCs w:val="22"/>
        </w:rPr>
        <w:t>частот</w:t>
      </w:r>
      <w:r w:rsidR="00E020B2" w:rsidRPr="003246CF">
        <w:rPr>
          <w:spacing w:val="-2"/>
          <w:szCs w:val="22"/>
        </w:rPr>
        <w:t xml:space="preserve"> </w:t>
      </w:r>
      <w:r w:rsidR="004D4761" w:rsidRPr="003246CF">
        <w:rPr>
          <w:spacing w:val="-2"/>
          <w:szCs w:val="22"/>
        </w:rPr>
        <w:t>по 250</w:t>
      </w:r>
      <w:r w:rsidR="003246CF" w:rsidRPr="003246CF">
        <w:rPr>
          <w:spacing w:val="-2"/>
          <w:szCs w:val="22"/>
        </w:rPr>
        <w:t> </w:t>
      </w:r>
      <w:r w:rsidR="004D4761" w:rsidRPr="003246CF">
        <w:rPr>
          <w:spacing w:val="-2"/>
          <w:szCs w:val="22"/>
        </w:rPr>
        <w:t xml:space="preserve">МГц </w:t>
      </w:r>
      <w:r w:rsidR="00E020B2" w:rsidRPr="003246CF">
        <w:rPr>
          <w:szCs w:val="22"/>
        </w:rPr>
        <w:t>в диапазоне 10–11 ГГц с учетом потребностей</w:t>
      </w:r>
      <w:r w:rsidR="00A602E9" w:rsidRPr="003246CF">
        <w:rPr>
          <w:szCs w:val="22"/>
        </w:rPr>
        <w:t xml:space="preserve"> этих администраций</w:t>
      </w:r>
      <w:r w:rsidRPr="003246CF">
        <w:rPr>
          <w:szCs w:val="22"/>
        </w:rPr>
        <w:t>.</w:t>
      </w:r>
    </w:p>
    <w:p w14:paraId="55FCF358" w14:textId="0C1A771F" w:rsidR="004D0ED6" w:rsidRPr="003246CF" w:rsidRDefault="004D0ED6" w:rsidP="004D0ED6">
      <w:pPr>
        <w:spacing w:before="480"/>
        <w:jc w:val="center"/>
      </w:pPr>
      <w:r w:rsidRPr="003246CF">
        <w:t>______________</w:t>
      </w:r>
    </w:p>
    <w:sectPr w:rsidR="004D0ED6" w:rsidRPr="003246C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56E82" w14:textId="77777777" w:rsidR="00F1578A" w:rsidRDefault="00F1578A">
      <w:r>
        <w:separator/>
      </w:r>
    </w:p>
  </w:endnote>
  <w:endnote w:type="continuationSeparator" w:id="0">
    <w:p w14:paraId="218225A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F228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CD65C6" w14:textId="40F6D86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95514">
      <w:rPr>
        <w:noProof/>
        <w:lang w:val="fr-FR"/>
      </w:rPr>
      <w:t>P:\RUS\ITU-R\CONF-R\CMR19\000\011ADD19ADD03ADD02R.docx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5514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5514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F640E" w14:textId="38E6AA0E" w:rsidR="00567276" w:rsidRDefault="004D0ED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95514">
      <w:rPr>
        <w:lang w:val="fr-FR"/>
      </w:rPr>
      <w:t>P:\RUS\ITU-R\CONF-R\CMR19\000\011ADD19ADD03ADD02R.docx</w:t>
    </w:r>
    <w:r>
      <w:fldChar w:fldCharType="end"/>
    </w:r>
    <w:r>
      <w:t xml:space="preserve"> (460801)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CC0D" w14:textId="77022FF0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95514">
      <w:rPr>
        <w:lang w:val="fr-FR"/>
      </w:rPr>
      <w:t>P:\RUS\ITU-R\CONF-R\CMR19\000\011ADD19ADD03ADD02R.docx</w:t>
    </w:r>
    <w:r>
      <w:fldChar w:fldCharType="end"/>
    </w:r>
    <w:r w:rsidR="004D0ED6">
      <w:t xml:space="preserve"> (460801)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1352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137925A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AD2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289397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</w:t>
    </w:r>
    <w:proofErr w:type="gramStart"/>
    <w:r w:rsidR="00F761D2">
      <w:t>19)(</w:t>
    </w:r>
    <w:proofErr w:type="gramEnd"/>
    <w:r w:rsidR="00F761D2">
      <w:t>Add.3)(Add.2)-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21C5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567A"/>
    <w:rsid w:val="001521AE"/>
    <w:rsid w:val="00162BDF"/>
    <w:rsid w:val="001A5585"/>
    <w:rsid w:val="001E5FB4"/>
    <w:rsid w:val="00202CA0"/>
    <w:rsid w:val="00230582"/>
    <w:rsid w:val="002449AA"/>
    <w:rsid w:val="00245A1F"/>
    <w:rsid w:val="00290C74"/>
    <w:rsid w:val="002A2D3F"/>
    <w:rsid w:val="002E58B9"/>
    <w:rsid w:val="00300F84"/>
    <w:rsid w:val="003246CF"/>
    <w:rsid w:val="003258F2"/>
    <w:rsid w:val="00344EB8"/>
    <w:rsid w:val="00346BEC"/>
    <w:rsid w:val="00371E4B"/>
    <w:rsid w:val="003C583C"/>
    <w:rsid w:val="003F0078"/>
    <w:rsid w:val="004011D5"/>
    <w:rsid w:val="00434A7C"/>
    <w:rsid w:val="0045143A"/>
    <w:rsid w:val="0049233A"/>
    <w:rsid w:val="004A58F4"/>
    <w:rsid w:val="004B716F"/>
    <w:rsid w:val="004C1369"/>
    <w:rsid w:val="004C47ED"/>
    <w:rsid w:val="004D0ED6"/>
    <w:rsid w:val="004D4761"/>
    <w:rsid w:val="004F3B0D"/>
    <w:rsid w:val="00505F6E"/>
    <w:rsid w:val="00507BBC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19B0"/>
    <w:rsid w:val="00657DE0"/>
    <w:rsid w:val="00692C06"/>
    <w:rsid w:val="006A6E9B"/>
    <w:rsid w:val="007118E7"/>
    <w:rsid w:val="00763F4F"/>
    <w:rsid w:val="00775720"/>
    <w:rsid w:val="00790A0F"/>
    <w:rsid w:val="007917AE"/>
    <w:rsid w:val="007A08B5"/>
    <w:rsid w:val="007B5E68"/>
    <w:rsid w:val="00811633"/>
    <w:rsid w:val="00812452"/>
    <w:rsid w:val="00815749"/>
    <w:rsid w:val="00872FC8"/>
    <w:rsid w:val="008B43F2"/>
    <w:rsid w:val="008C3257"/>
    <w:rsid w:val="008C401C"/>
    <w:rsid w:val="008E1E67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02E9"/>
    <w:rsid w:val="00A61057"/>
    <w:rsid w:val="00A710E7"/>
    <w:rsid w:val="00A81026"/>
    <w:rsid w:val="00A97EC0"/>
    <w:rsid w:val="00AA7AF0"/>
    <w:rsid w:val="00AC66E6"/>
    <w:rsid w:val="00B24E60"/>
    <w:rsid w:val="00B468A6"/>
    <w:rsid w:val="00B75113"/>
    <w:rsid w:val="00B95514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B2568"/>
    <w:rsid w:val="00CC2040"/>
    <w:rsid w:val="00CC47C6"/>
    <w:rsid w:val="00CC4DE6"/>
    <w:rsid w:val="00CE5E47"/>
    <w:rsid w:val="00CF020F"/>
    <w:rsid w:val="00D53715"/>
    <w:rsid w:val="00DE2EBA"/>
    <w:rsid w:val="00E020B2"/>
    <w:rsid w:val="00E2253F"/>
    <w:rsid w:val="00E43E99"/>
    <w:rsid w:val="00E4560D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6DB3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BFE74-0070-44F1-A35A-F79849AA99E6}">
  <ds:schemaRefs>
    <ds:schemaRef ds:uri="http://purl.org/dc/elements/1.1/"/>
    <ds:schemaRef ds:uri="http://schemas.microsoft.com/office/2006/documentManagement/types"/>
    <ds:schemaRef ds:uri="32a1a8c5-2265-4ebc-b7a0-2071e2c5c9bb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A821DE-989A-401A-B9F3-8B1CEE1FE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CBB84-03A5-44EB-9BDB-D5AA38D05A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5FD943-4719-47B0-BC73-03B562DA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823</Words>
  <Characters>5271</Characters>
  <Application>Microsoft Office Word</Application>
  <DocSecurity>0</DocSecurity>
  <Lines>101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R16-WRC19-C-0011!A19-A3-A2!MSW-R</vt:lpstr>
    </vt:vector>
  </TitlesOfParts>
  <Manager>General Secretariat - Pool</Manager>
  <Company>International Telecommunication Union (ITU)</Company>
  <LinksUpToDate>false</LinksUpToDate>
  <CharactersWithSpaces>6077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R16-WRC19-C-0011!A19-A3-A2!MSW-R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6</cp:revision>
  <cp:lastPrinted>2019-10-17T15:29:00Z</cp:lastPrinted>
  <dcterms:created xsi:type="dcterms:W3CDTF">2019-10-08T05:52:00Z</dcterms:created>
  <dcterms:modified xsi:type="dcterms:W3CDTF">2019-10-17T15:29:00Z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